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8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439420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459740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jc w:val="center"/>
        <w:ind w:left="480"/>
        <w:spacing w:after="0" w:line="208" w:lineRule="auto"/>
        <w:rPr>
          <w:sz w:val="20"/>
          <w:szCs w:val="20"/>
          <w:color w:val="auto"/>
        </w:rPr>
      </w:pPr>
      <w:r>
        <w:rPr>
          <w:rFonts w:ascii="Calibri" w:cs="Calibri" w:eastAsia="Calibri" w:hAnsi="Calibri"/>
          <w:sz w:val="20"/>
          <w:szCs w:val="20"/>
          <w:b w:val="1"/>
          <w:bCs w:val="1"/>
          <w:color w:val="auto"/>
        </w:rPr>
        <w:t>SECURITIES AND EXCHANGE COMMISSION</w:t>
      </w:r>
    </w:p>
    <w:p>
      <w:pPr>
        <w:jc w:val="center"/>
        <w:ind w:left="500"/>
        <w:spacing w:after="0" w:line="214" w:lineRule="auto"/>
        <w:rPr>
          <w:sz w:val="20"/>
          <w:szCs w:val="20"/>
          <w:color w:val="auto"/>
        </w:rPr>
      </w:pPr>
      <w:r>
        <w:rPr>
          <w:rFonts w:ascii="Calibri" w:cs="Calibri" w:eastAsia="Calibri" w:hAnsi="Calibri"/>
          <w:sz w:val="13"/>
          <w:szCs w:val="13"/>
          <w:b w:val="1"/>
          <w:bCs w:val="1"/>
          <w:color w:val="auto"/>
        </w:rPr>
        <w:t>WASHINGTON, D.C. 20549</w:t>
      </w:r>
    </w:p>
    <w:p>
      <w:pPr>
        <w:ind w:left="5620"/>
        <w:spacing w:after="0" w:line="236" w:lineRule="auto"/>
        <w:rPr>
          <w:sz w:val="20"/>
          <w:szCs w:val="20"/>
          <w:color w:val="auto"/>
        </w:rPr>
      </w:pPr>
      <w:r>
        <w:rPr>
          <w:rFonts w:ascii="Calibri" w:cs="Calibri" w:eastAsia="Calibri" w:hAnsi="Calibri"/>
          <w:sz w:val="8"/>
          <w:szCs w:val="8"/>
          <w:u w:val="single" w:color="auto"/>
          <w:color w:val="auto"/>
        </w:rPr>
        <w:t>_____________</w:t>
      </w:r>
    </w:p>
    <w:p>
      <w:pPr>
        <w:spacing w:after="0" w:line="49" w:lineRule="exact"/>
        <w:rPr>
          <w:sz w:val="24"/>
          <w:szCs w:val="24"/>
          <w:color w:val="auto"/>
        </w:rPr>
      </w:pPr>
    </w:p>
    <w:p>
      <w:pPr>
        <w:jc w:val="center"/>
        <w:ind w:left="480"/>
        <w:spacing w:after="0"/>
        <w:rPr>
          <w:sz w:val="20"/>
          <w:szCs w:val="20"/>
          <w:color w:val="auto"/>
        </w:rPr>
      </w:pPr>
      <w:r>
        <w:rPr>
          <w:rFonts w:ascii="Calibri" w:cs="Calibri" w:eastAsia="Calibri" w:hAnsi="Calibri"/>
          <w:sz w:val="20"/>
          <w:szCs w:val="20"/>
          <w:b w:val="1"/>
          <w:bCs w:val="1"/>
          <w:color w:val="auto"/>
        </w:rPr>
        <w:t>FORM 10-K</w:t>
      </w:r>
    </w:p>
    <w:p>
      <w:pPr>
        <w:ind w:left="5620"/>
        <w:spacing w:after="0"/>
        <w:rPr>
          <w:sz w:val="20"/>
          <w:szCs w:val="20"/>
          <w:color w:val="auto"/>
        </w:rPr>
      </w:pPr>
      <w:r>
        <w:rPr>
          <w:rFonts w:ascii="Calibri" w:cs="Calibri" w:eastAsia="Calibri" w:hAnsi="Calibri"/>
          <w:sz w:val="8"/>
          <w:szCs w:val="8"/>
          <w:u w:val="single" w:color="auto"/>
          <w:color w:val="auto"/>
        </w:rPr>
        <w:t>_____________</w:t>
      </w:r>
    </w:p>
    <w:p>
      <w:pPr>
        <w:spacing w:after="0" w:line="193" w:lineRule="exact"/>
        <w:rPr>
          <w:sz w:val="24"/>
          <w:szCs w:val="24"/>
          <w:color w:val="auto"/>
        </w:rPr>
      </w:pPr>
    </w:p>
    <w:p>
      <w:pPr>
        <w:spacing w:after="0"/>
        <w:rPr>
          <w:sz w:val="20"/>
          <w:szCs w:val="20"/>
          <w:color w:val="auto"/>
        </w:rPr>
      </w:pPr>
      <w:r>
        <w:rPr>
          <w:rFonts w:ascii="Calibri" w:cs="Calibri" w:eastAsia="Calibri" w:hAnsi="Calibri"/>
          <w:sz w:val="11"/>
          <w:szCs w:val="11"/>
          <w:color w:val="auto"/>
        </w:rPr>
        <w:t>(Mark One)</w:t>
      </w:r>
    </w:p>
    <w:p>
      <w:pPr>
        <w:spacing w:after="0" w:line="26" w:lineRule="exact"/>
        <w:rPr>
          <w:sz w:val="24"/>
          <w:szCs w:val="24"/>
          <w:color w:val="auto"/>
        </w:rPr>
      </w:pPr>
    </w:p>
    <w:p>
      <w:pPr>
        <w:ind w:left="920" w:hanging="392"/>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72" w:lineRule="exact"/>
        <w:rPr>
          <w:sz w:val="24"/>
          <w:szCs w:val="24"/>
          <w:color w:val="auto"/>
        </w:rPr>
      </w:pPr>
    </w:p>
    <w:p>
      <w:pPr>
        <w:jc w:val="center"/>
        <w:ind w:left="500"/>
        <w:spacing w:after="0"/>
        <w:rPr>
          <w:sz w:val="20"/>
          <w:szCs w:val="20"/>
          <w:color w:val="auto"/>
        </w:rPr>
      </w:pPr>
      <w:r>
        <w:rPr>
          <w:rFonts w:ascii="Calibri" w:cs="Calibri" w:eastAsia="Calibri" w:hAnsi="Calibri"/>
          <w:sz w:val="11"/>
          <w:szCs w:val="11"/>
          <w:b w:val="1"/>
          <w:bCs w:val="1"/>
          <w:color w:val="auto"/>
        </w:rPr>
        <w:t>For the fscal year ended October 31, 2022</w:t>
      </w:r>
    </w:p>
    <w:p>
      <w:pPr>
        <w:spacing w:after="0" w:line="25" w:lineRule="exact"/>
        <w:rPr>
          <w:sz w:val="24"/>
          <w:szCs w:val="24"/>
          <w:color w:val="auto"/>
        </w:rPr>
      </w:pPr>
    </w:p>
    <w:p>
      <w:pPr>
        <w:jc w:val="center"/>
        <w:ind w:left="500"/>
        <w:spacing w:after="0"/>
        <w:rPr>
          <w:sz w:val="20"/>
          <w:szCs w:val="20"/>
          <w:color w:val="auto"/>
        </w:rPr>
      </w:pPr>
      <w:r>
        <w:rPr>
          <w:rFonts w:ascii="Calibri" w:cs="Calibri" w:eastAsia="Calibri" w:hAnsi="Calibri"/>
          <w:sz w:val="11"/>
          <w:szCs w:val="11"/>
          <w:b w:val="1"/>
          <w:bCs w:val="1"/>
          <w:color w:val="auto"/>
        </w:rPr>
        <w:t>OR</w:t>
      </w:r>
    </w:p>
    <w:p>
      <w:pPr>
        <w:spacing w:after="0" w:line="227" w:lineRule="exact"/>
        <w:rPr>
          <w:sz w:val="24"/>
          <w:szCs w:val="24"/>
          <w:color w:val="auto"/>
        </w:rPr>
      </w:pPr>
    </w:p>
    <w:p>
      <w:pPr>
        <w:ind w:left="920" w:hanging="392"/>
        <w:spacing w:after="0"/>
        <w:tabs>
          <w:tab w:leader="none" w:pos="92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62" w:lineRule="exact"/>
        <w:rPr>
          <w:sz w:val="24"/>
          <w:szCs w:val="24"/>
          <w:color w:val="auto"/>
        </w:rPr>
      </w:pPr>
    </w:p>
    <w:p>
      <w:pPr>
        <w:ind w:left="4600"/>
        <w:spacing w:after="0"/>
        <w:tabs>
          <w:tab w:leader="none" w:pos="6540" w:val="left"/>
        </w:tabs>
        <w:rPr>
          <w:sz w:val="20"/>
          <w:szCs w:val="20"/>
          <w:color w:val="auto"/>
        </w:rPr>
      </w:pPr>
      <w:r>
        <w:rPr>
          <w:rFonts w:ascii="Calibri" w:cs="Calibri" w:eastAsia="Calibri" w:hAnsi="Calibri"/>
          <w:sz w:val="11"/>
          <w:szCs w:val="11"/>
          <w:b w:val="1"/>
          <w:bCs w:val="1"/>
          <w:color w:val="auto"/>
        </w:rPr>
        <w:t>For the transiton period from</w:t>
      </w:r>
      <w:r>
        <w:rPr>
          <w:sz w:val="20"/>
          <w:szCs w:val="20"/>
          <w:color w:val="auto"/>
        </w:rPr>
        <w:tab/>
      </w:r>
      <w:r>
        <w:rPr>
          <w:rFonts w:ascii="Calibri" w:cs="Calibri" w:eastAsia="Calibri" w:hAnsi="Calibri"/>
          <w:sz w:val="11"/>
          <w:szCs w:val="1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3825875</wp:posOffset>
            </wp:positionH>
            <wp:positionV relativeFrom="paragraph">
              <wp:posOffset>-10160</wp:posOffset>
            </wp:positionV>
            <wp:extent cx="7442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4220" cy="6985"/>
                    </a:xfrm>
                    <a:prstGeom prst="rect">
                      <a:avLst/>
                    </a:prstGeom>
                    <a:noFill/>
                  </pic:spPr>
                </pic:pic>
              </a:graphicData>
            </a:graphic>
          </wp:anchor>
        </w:drawing>
      </w:r>
    </w:p>
    <w:p>
      <w:pPr>
        <w:spacing w:after="0" w:line="15" w:lineRule="exact"/>
        <w:rPr>
          <w:sz w:val="24"/>
          <w:szCs w:val="24"/>
          <w:color w:val="auto"/>
        </w:rPr>
      </w:pPr>
    </w:p>
    <w:p>
      <w:pPr>
        <w:jc w:val="center"/>
        <w:ind w:left="500"/>
        <w:spacing w:after="0"/>
        <w:rPr>
          <w:sz w:val="20"/>
          <w:szCs w:val="20"/>
          <w:color w:val="auto"/>
        </w:rPr>
      </w:pPr>
      <w:r>
        <w:rPr>
          <w:rFonts w:ascii="Calibri" w:cs="Calibri" w:eastAsia="Calibri" w:hAnsi="Calibri"/>
          <w:sz w:val="11"/>
          <w:szCs w:val="11"/>
          <w:b w:val="1"/>
          <w:bCs w:val="1"/>
          <w:color w:val="auto"/>
        </w:rPr>
        <w:t>Commission fle number: 001-39561</w:t>
      </w:r>
    </w:p>
    <w:p>
      <w:pPr>
        <w:ind w:left="5620"/>
        <w:spacing w:after="0" w:line="216" w:lineRule="auto"/>
        <w:rPr>
          <w:sz w:val="20"/>
          <w:szCs w:val="20"/>
          <w:color w:val="auto"/>
        </w:rPr>
      </w:pPr>
      <w:r>
        <w:rPr>
          <w:rFonts w:ascii="Calibri" w:cs="Calibri" w:eastAsia="Calibri" w:hAnsi="Calibri"/>
          <w:sz w:val="8"/>
          <w:szCs w:val="8"/>
          <w:u w:val="single" w:color="auto"/>
          <w:color w:val="auto"/>
        </w:rPr>
        <w:t>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67945</wp:posOffset>
            </wp:positionV>
            <wp:extent cx="1347470" cy="572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7470" cy="572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MISSION PRODUCE, INC.</w:t>
      </w:r>
    </w:p>
    <w:p>
      <w:pPr>
        <w:sectPr>
          <w:pgSz w:w="11900" w:h="16838" w:orient="portrait"/>
          <w:cols w:equalWidth="0" w:num="1">
            <w:col w:w="11280"/>
          </w:cols>
          <w:pgMar w:left="300" w:top="813" w:right="319" w:bottom="1440" w:gutter="0" w:footer="0" w:header="0"/>
        </w:sectPr>
      </w:pPr>
    </w:p>
    <w:p>
      <w:pPr>
        <w:jc w:val="center"/>
        <w:ind w:left="4120"/>
        <w:spacing w:after="0"/>
        <w:rPr>
          <w:sz w:val="20"/>
          <w:szCs w:val="20"/>
          <w:color w:val="auto"/>
        </w:rPr>
      </w:pPr>
      <w:r>
        <w:rPr>
          <w:rFonts w:ascii="Calibri" w:cs="Calibri" w:eastAsia="Calibri" w:hAnsi="Calibri"/>
          <w:sz w:val="10"/>
          <w:szCs w:val="10"/>
          <w:b w:val="1"/>
          <w:bCs w:val="1"/>
          <w:color w:val="auto"/>
        </w:rPr>
        <w:t>(Exact name of Registrant as specifed in its charter)</w:t>
      </w:r>
    </w:p>
    <w:p>
      <w:pPr>
        <w:ind w:left="5620"/>
        <w:spacing w:after="0" w:line="224" w:lineRule="auto"/>
        <w:rPr>
          <w:sz w:val="20"/>
          <w:szCs w:val="20"/>
          <w:color w:val="auto"/>
        </w:rPr>
      </w:pPr>
      <w:r>
        <w:rPr>
          <w:rFonts w:ascii="Calibri" w:cs="Calibri" w:eastAsia="Calibri" w:hAnsi="Calibri"/>
          <w:sz w:val="8"/>
          <w:szCs w:val="8"/>
          <w:u w:val="single" w:color="auto"/>
          <w:color w:val="auto"/>
        </w:rPr>
        <w:t>_____________</w:t>
      </w:r>
    </w:p>
    <w:p>
      <w:pPr>
        <w:spacing w:after="0" w:line="192" w:lineRule="exact"/>
        <w:rPr>
          <w:sz w:val="24"/>
          <w:szCs w:val="24"/>
          <w:color w:val="auto"/>
        </w:rPr>
      </w:pPr>
    </w:p>
    <w:p>
      <w:pPr>
        <w:jc w:val="center"/>
        <w:ind w:right="1900"/>
        <w:spacing w:after="0"/>
        <w:rPr>
          <w:sz w:val="20"/>
          <w:szCs w:val="20"/>
          <w:color w:val="auto"/>
        </w:rPr>
      </w:pPr>
      <w:r>
        <w:rPr>
          <w:rFonts w:ascii="Calibri" w:cs="Calibri" w:eastAsia="Calibri" w:hAnsi="Calibri"/>
          <w:sz w:val="11"/>
          <w:szCs w:val="11"/>
          <w:b w:val="1"/>
          <w:bCs w:val="1"/>
          <w:color w:val="auto"/>
        </w:rPr>
        <w:t>Delaware</w:t>
      </w:r>
    </w:p>
    <w:p>
      <w:pPr>
        <w:ind w:left="2240"/>
        <w:spacing w:after="0" w:line="206" w:lineRule="auto"/>
        <w:rPr>
          <w:sz w:val="20"/>
          <w:szCs w:val="20"/>
          <w:color w:val="auto"/>
        </w:rPr>
      </w:pPr>
      <w:r>
        <w:rPr>
          <w:rFonts w:ascii="Calibri" w:cs="Calibri" w:eastAsia="Calibri" w:hAnsi="Calibri"/>
          <w:sz w:val="11"/>
          <w:szCs w:val="11"/>
          <w:b w:val="1"/>
          <w:bCs w:val="1"/>
          <w:color w:val="auto"/>
        </w:rPr>
        <w:t>(State or Other Jurisdicton of</w:t>
      </w:r>
    </w:p>
    <w:p>
      <w:pPr>
        <w:ind w:left="2220"/>
        <w:spacing w:after="0" w:line="227" w:lineRule="auto"/>
        <w:rPr>
          <w:sz w:val="20"/>
          <w:szCs w:val="20"/>
          <w:color w:val="auto"/>
        </w:rPr>
      </w:pPr>
      <w:r>
        <w:rPr>
          <w:rFonts w:ascii="Calibri" w:cs="Calibri" w:eastAsia="Calibri" w:hAnsi="Calibri"/>
          <w:sz w:val="11"/>
          <w:szCs w:val="11"/>
          <w:b w:val="1"/>
          <w:bCs w:val="1"/>
          <w:color w:val="auto"/>
        </w:rPr>
        <w:t>Incorporaton or Organizaton)</w:t>
      </w:r>
    </w:p>
    <w:p>
      <w:pPr>
        <w:spacing w:after="0" w:line="122" w:lineRule="exact"/>
        <w:rPr>
          <w:sz w:val="24"/>
          <w:szCs w:val="24"/>
          <w:color w:val="auto"/>
        </w:rPr>
      </w:pPr>
    </w:p>
    <w:p>
      <w:pPr>
        <w:jc w:val="center"/>
        <w:ind w:right="1900"/>
        <w:spacing w:after="0"/>
        <w:rPr>
          <w:sz w:val="20"/>
          <w:szCs w:val="20"/>
          <w:color w:val="auto"/>
        </w:rPr>
      </w:pPr>
      <w:r>
        <w:rPr>
          <w:rFonts w:ascii="Calibri" w:cs="Calibri" w:eastAsia="Calibri" w:hAnsi="Calibri"/>
          <w:sz w:val="11"/>
          <w:szCs w:val="11"/>
          <w:b w:val="1"/>
          <w:bCs w:val="1"/>
          <w:color w:val="auto"/>
        </w:rPr>
        <w:t>2710 Camino Del Sol</w:t>
      </w:r>
    </w:p>
    <w:p>
      <w:pPr>
        <w:spacing w:after="0" w:line="4" w:lineRule="exact"/>
        <w:rPr>
          <w:sz w:val="24"/>
          <w:szCs w:val="24"/>
          <w:color w:val="auto"/>
        </w:rPr>
      </w:pPr>
    </w:p>
    <w:p>
      <w:pPr>
        <w:jc w:val="center"/>
        <w:ind w:right="1900"/>
        <w:spacing w:after="0"/>
        <w:rPr>
          <w:sz w:val="20"/>
          <w:szCs w:val="20"/>
          <w:color w:val="auto"/>
        </w:rPr>
      </w:pPr>
      <w:r>
        <w:rPr>
          <w:rFonts w:ascii="Calibri" w:cs="Calibri" w:eastAsia="Calibri" w:hAnsi="Calibri"/>
          <w:sz w:val="11"/>
          <w:szCs w:val="11"/>
          <w:b w:val="1"/>
          <w:bCs w:val="1"/>
          <w:color w:val="auto"/>
        </w:rPr>
        <w:t>Oxnard, California</w:t>
      </w:r>
    </w:p>
    <w:p>
      <w:pPr>
        <w:spacing w:after="0" w:line="2" w:lineRule="exact"/>
        <w:rPr>
          <w:sz w:val="24"/>
          <w:szCs w:val="24"/>
          <w:color w:val="auto"/>
        </w:rPr>
      </w:pPr>
    </w:p>
    <w:p>
      <w:pPr>
        <w:ind w:left="2040"/>
        <w:spacing w:after="0"/>
        <w:rPr>
          <w:sz w:val="20"/>
          <w:szCs w:val="20"/>
          <w:color w:val="auto"/>
        </w:rPr>
      </w:pPr>
      <w:r>
        <w:rPr>
          <w:rFonts w:ascii="Calibri" w:cs="Calibri" w:eastAsia="Calibri" w:hAnsi="Calibri"/>
          <w:sz w:val="11"/>
          <w:szCs w:val="11"/>
          <w:b w:val="1"/>
          <w:bCs w:val="1"/>
          <w:color w:val="auto"/>
        </w:rPr>
        <w:t>(Address of Principal Executve Ofces)</w:t>
      </w:r>
    </w:p>
    <w:p>
      <w:pPr>
        <w:spacing w:after="0" w:line="185" w:lineRule="exact"/>
        <w:rPr>
          <w:sz w:val="24"/>
          <w:szCs w:val="24"/>
          <w:color w:val="auto"/>
        </w:rPr>
      </w:pPr>
    </w:p>
    <w:p>
      <w:pPr>
        <w:jc w:val="center"/>
        <w:ind w:left="4120"/>
        <w:spacing w:after="0"/>
        <w:rPr>
          <w:sz w:val="20"/>
          <w:szCs w:val="20"/>
          <w:color w:val="auto"/>
        </w:rPr>
      </w:pPr>
      <w:r>
        <w:rPr>
          <w:rFonts w:ascii="Calibri" w:cs="Calibri" w:eastAsia="Calibri" w:hAnsi="Calibri"/>
          <w:sz w:val="11"/>
          <w:szCs w:val="11"/>
          <w:b w:val="1"/>
          <w:bCs w:val="1"/>
          <w:color w:val="auto"/>
        </w:rPr>
        <w:t>Registrant’s Telephone Number, Including Area Code: (805) 981-3650</w:t>
      </w:r>
    </w:p>
    <w:p>
      <w:pPr>
        <w:ind w:left="5620"/>
        <w:spacing w:after="0" w:line="216" w:lineRule="auto"/>
        <w:rPr>
          <w:sz w:val="20"/>
          <w:szCs w:val="20"/>
          <w:color w:val="auto"/>
        </w:rPr>
      </w:pPr>
      <w:r>
        <w:rPr>
          <w:rFonts w:ascii="Calibri" w:cs="Calibri" w:eastAsia="Calibri" w:hAnsi="Calibri"/>
          <w:sz w:val="8"/>
          <w:szCs w:val="8"/>
          <w:u w:val="single" w:color="auto"/>
          <w:color w:val="auto"/>
        </w:rPr>
        <w:t>_____________</w:t>
      </w:r>
    </w:p>
    <w:p>
      <w:pPr>
        <w:spacing w:after="0" w:line="86" w:lineRule="exact"/>
        <w:rPr>
          <w:sz w:val="24"/>
          <w:szCs w:val="24"/>
          <w:color w:val="auto"/>
        </w:rPr>
      </w:pPr>
    </w:p>
    <w:p>
      <w:pPr>
        <w:ind w:left="4560"/>
        <w:spacing w:after="0"/>
        <w:rPr>
          <w:sz w:val="20"/>
          <w:szCs w:val="20"/>
          <w:color w:val="auto"/>
        </w:rPr>
      </w:pPr>
      <w:r>
        <w:rPr>
          <w:rFonts w:ascii="Calibri" w:cs="Calibri" w:eastAsia="Calibri" w:hAnsi="Calibri"/>
          <w:sz w:val="11"/>
          <w:szCs w:val="11"/>
          <w:b w:val="1"/>
          <w:bCs w:val="1"/>
          <w:color w:val="auto"/>
        </w:rPr>
        <w:t>Securites registered pursuant to Secton 12(b) of the Act:</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080"/>
        <w:spacing w:after="0"/>
        <w:rPr>
          <w:sz w:val="20"/>
          <w:szCs w:val="20"/>
          <w:color w:val="auto"/>
        </w:rPr>
      </w:pPr>
      <w:r>
        <w:rPr>
          <w:rFonts w:ascii="Calibri" w:cs="Calibri" w:eastAsia="Calibri" w:hAnsi="Calibri"/>
          <w:sz w:val="11"/>
          <w:szCs w:val="11"/>
          <w:b w:val="1"/>
          <w:bCs w:val="1"/>
          <w:color w:val="auto"/>
        </w:rPr>
        <w:t>95-3847744</w:t>
      </w:r>
    </w:p>
    <w:p>
      <w:pPr>
        <w:spacing w:after="0" w:line="2" w:lineRule="exact"/>
        <w:rPr>
          <w:sz w:val="24"/>
          <w:szCs w:val="24"/>
          <w:color w:val="auto"/>
        </w:rPr>
      </w:pPr>
    </w:p>
    <w:p>
      <w:pPr>
        <w:jc w:val="center"/>
        <w:ind w:right="2080"/>
        <w:spacing w:after="0"/>
        <w:rPr>
          <w:sz w:val="20"/>
          <w:szCs w:val="20"/>
          <w:color w:val="auto"/>
        </w:rPr>
      </w:pPr>
      <w:r>
        <w:rPr>
          <w:rFonts w:ascii="Calibri" w:cs="Calibri" w:eastAsia="Calibri" w:hAnsi="Calibri"/>
          <w:sz w:val="11"/>
          <w:szCs w:val="11"/>
          <w:b w:val="1"/>
          <w:bCs w:val="1"/>
          <w:color w:val="auto"/>
        </w:rPr>
        <w:t>(I.R.S. Employer</w:t>
      </w:r>
    </w:p>
    <w:p>
      <w:pPr>
        <w:jc w:val="center"/>
        <w:ind w:right="2080"/>
        <w:spacing w:after="0" w:line="227" w:lineRule="auto"/>
        <w:rPr>
          <w:sz w:val="20"/>
          <w:szCs w:val="20"/>
          <w:color w:val="auto"/>
        </w:rPr>
      </w:pPr>
      <w:r>
        <w:rPr>
          <w:rFonts w:ascii="Calibri" w:cs="Calibri" w:eastAsia="Calibri" w:hAnsi="Calibri"/>
          <w:sz w:val="11"/>
          <w:szCs w:val="11"/>
          <w:b w:val="1"/>
          <w:bCs w:val="1"/>
          <w:color w:val="auto"/>
        </w:rPr>
        <w:t>Identfcaton No.)</w:t>
      </w:r>
    </w:p>
    <w:p>
      <w:pPr>
        <w:spacing w:after="0" w:line="122" w:lineRule="exact"/>
        <w:rPr>
          <w:sz w:val="24"/>
          <w:szCs w:val="24"/>
          <w:color w:val="auto"/>
        </w:rPr>
      </w:pPr>
    </w:p>
    <w:p>
      <w:pPr>
        <w:jc w:val="center"/>
        <w:ind w:right="2080"/>
        <w:spacing w:after="0"/>
        <w:rPr>
          <w:sz w:val="20"/>
          <w:szCs w:val="20"/>
          <w:color w:val="auto"/>
        </w:rPr>
      </w:pPr>
      <w:r>
        <w:rPr>
          <w:rFonts w:ascii="Calibri" w:cs="Calibri" w:eastAsia="Calibri" w:hAnsi="Calibri"/>
          <w:sz w:val="11"/>
          <w:szCs w:val="11"/>
          <w:b w:val="1"/>
          <w:bCs w:val="1"/>
          <w:color w:val="auto"/>
        </w:rPr>
        <w:t>93030</w:t>
      </w:r>
    </w:p>
    <w:p>
      <w:pPr>
        <w:ind w:left="160"/>
        <w:spacing w:after="0" w:line="224" w:lineRule="auto"/>
        <w:rPr>
          <w:sz w:val="20"/>
          <w:szCs w:val="20"/>
          <w:color w:val="auto"/>
        </w:rPr>
      </w:pPr>
      <w:r>
        <w:rPr>
          <w:rFonts w:ascii="Calibri" w:cs="Calibri" w:eastAsia="Calibri" w:hAnsi="Calibri"/>
          <w:sz w:val="11"/>
          <w:szCs w:val="11"/>
          <w:b w:val="1"/>
          <w:bCs w:val="1"/>
          <w:color w:val="auto"/>
        </w:rPr>
        <w:t>(Zip Code)</w:t>
      </w:r>
    </w:p>
    <w:p>
      <w:pPr>
        <w:spacing w:after="0" w:line="955" w:lineRule="exact"/>
        <w:rPr>
          <w:sz w:val="24"/>
          <w:szCs w:val="24"/>
          <w:color w:val="auto"/>
        </w:rPr>
      </w:pPr>
    </w:p>
    <w:p>
      <w:pPr>
        <w:sectPr>
          <w:pgSz w:w="11900" w:h="16838" w:orient="portrait"/>
          <w:cols w:equalWidth="0" w:num="2">
            <w:col w:w="7680" w:space="720"/>
            <w:col w:w="2880"/>
          </w:cols>
          <w:pgMar w:left="300" w:top="813" w:right="319" w:bottom="1440" w:gutter="0" w:footer="0" w:header="0"/>
          <w:type w:val="continuous"/>
        </w:sectPr>
      </w:pPr>
    </w:p>
    <w:p>
      <w:pPr>
        <w:spacing w:after="0" w:line="58" w:lineRule="exact"/>
        <w:rPr>
          <w:sz w:val="24"/>
          <w:szCs w:val="24"/>
          <w:color w:val="auto"/>
        </w:rPr>
      </w:pPr>
    </w:p>
    <w:tbl>
      <w:tblPr>
        <w:tblLayout w:type="fixed"/>
        <w:tblInd w:w="36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3940" w:type="dxa"/>
            <w:vAlign w:val="bottom"/>
            <w:gridSpan w:val="3"/>
          </w:tcPr>
          <w:p>
            <w:pPr>
              <w:jc w:val="center"/>
              <w:ind w:right="200"/>
              <w:spacing w:after="0"/>
              <w:rPr>
                <w:sz w:val="20"/>
                <w:szCs w:val="20"/>
                <w:color w:val="auto"/>
              </w:rPr>
            </w:pPr>
            <w:r>
              <w:rPr>
                <w:rFonts w:ascii="Calibri" w:cs="Calibri" w:eastAsia="Calibri" w:hAnsi="Calibri"/>
                <w:sz w:val="11"/>
                <w:szCs w:val="11"/>
                <w:b w:val="1"/>
                <w:bCs w:val="1"/>
                <w:color w:val="auto"/>
              </w:rPr>
              <w:t>Title of each class</w:t>
            </w:r>
          </w:p>
        </w:tc>
        <w:tc>
          <w:tcPr>
            <w:tcW w:w="2540" w:type="dxa"/>
            <w:vAlign w:val="bottom"/>
            <w:gridSpan w:val="3"/>
          </w:tcPr>
          <w:p>
            <w:pPr>
              <w:jc w:val="center"/>
              <w:ind w:right="820"/>
              <w:spacing w:after="0"/>
              <w:rPr>
                <w:sz w:val="20"/>
                <w:szCs w:val="20"/>
                <w:color w:val="auto"/>
              </w:rPr>
            </w:pPr>
            <w:r>
              <w:rPr>
                <w:rFonts w:ascii="Calibri" w:cs="Calibri" w:eastAsia="Calibri" w:hAnsi="Calibri"/>
                <w:sz w:val="11"/>
                <w:szCs w:val="11"/>
                <w:b w:val="1"/>
                <w:bCs w:val="1"/>
                <w:color w:val="auto"/>
              </w:rPr>
              <w:t>Trading Symbol(s)</w:t>
            </w:r>
          </w:p>
        </w:tc>
        <w:tc>
          <w:tcPr>
            <w:tcW w:w="3100" w:type="dxa"/>
            <w:vAlign w:val="bottom"/>
          </w:tcPr>
          <w:p>
            <w:pPr>
              <w:jc w:val="center"/>
              <w:ind w:right="543"/>
              <w:spacing w:after="0"/>
              <w:rPr>
                <w:sz w:val="20"/>
                <w:szCs w:val="20"/>
                <w:color w:val="auto"/>
              </w:rPr>
            </w:pPr>
            <w:r>
              <w:rPr>
                <w:rFonts w:ascii="Calibri" w:cs="Calibri" w:eastAsia="Calibri" w:hAnsi="Calibri"/>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36"/>
        </w:trPr>
        <w:tc>
          <w:tcPr>
            <w:tcW w:w="740" w:type="dxa"/>
            <w:vAlign w:val="bottom"/>
            <w:vMerge w:val="restart"/>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740" w:type="dxa"/>
            <w:vAlign w:val="bottom"/>
            <w:vMerge w:val="continue"/>
          </w:tcPr>
          <w:p>
            <w:pPr>
              <w:spacing w:after="0"/>
              <w:rPr>
                <w:sz w:val="10"/>
                <w:szCs w:val="10"/>
                <w:color w:val="auto"/>
              </w:rPr>
            </w:pPr>
          </w:p>
        </w:tc>
        <w:tc>
          <w:tcPr>
            <w:tcW w:w="3720" w:type="dxa"/>
            <w:vAlign w:val="bottom"/>
          </w:tcPr>
          <w:p>
            <w:pPr>
              <w:jc w:val="center"/>
              <w:spacing w:after="0" w:line="126" w:lineRule="exact"/>
              <w:rPr>
                <w:sz w:val="20"/>
                <w:szCs w:val="20"/>
                <w:color w:val="auto"/>
              </w:rPr>
            </w:pPr>
            <w:r>
              <w:rPr>
                <w:rFonts w:ascii="Calibri" w:cs="Calibri" w:eastAsia="Calibri" w:hAnsi="Calibri"/>
                <w:sz w:val="11"/>
                <w:szCs w:val="11"/>
                <w:color w:val="auto"/>
              </w:rPr>
              <w:t>Common Stock, par value $0.001 per share</w:t>
            </w: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Pr>
          <w:p>
            <w:pPr>
              <w:jc w:val="center"/>
              <w:ind w:right="26"/>
              <w:spacing w:after="0" w:line="126" w:lineRule="exact"/>
              <w:rPr>
                <w:sz w:val="20"/>
                <w:szCs w:val="20"/>
                <w:color w:val="auto"/>
              </w:rPr>
            </w:pPr>
            <w:r>
              <w:rPr>
                <w:rFonts w:ascii="Calibri" w:cs="Calibri" w:eastAsia="Calibri" w:hAnsi="Calibri"/>
                <w:sz w:val="11"/>
                <w:szCs w:val="11"/>
                <w:color w:val="auto"/>
              </w:rPr>
              <w:t>AVO</w:t>
            </w:r>
          </w:p>
        </w:tc>
        <w:tc>
          <w:tcPr>
            <w:tcW w:w="1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100" w:type="dxa"/>
            <w:vAlign w:val="bottom"/>
          </w:tcPr>
          <w:p>
            <w:pPr>
              <w:jc w:val="center"/>
              <w:ind w:right="543"/>
              <w:spacing w:after="0" w:line="126" w:lineRule="exact"/>
              <w:rPr>
                <w:sz w:val="20"/>
                <w:szCs w:val="20"/>
                <w:color w:val="auto"/>
              </w:rPr>
            </w:pPr>
            <w:r>
              <w:rPr>
                <w:rFonts w:ascii="Calibri" w:cs="Calibri" w:eastAsia="Calibri" w:hAnsi="Calibri"/>
                <w:sz w:val="11"/>
                <w:szCs w:val="11"/>
                <w:color w:val="auto"/>
              </w:rPr>
              <w:t>NASDAQ Global Select Market</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6480" w:type="dxa"/>
            <w:vAlign w:val="bottom"/>
            <w:gridSpan w:val="6"/>
          </w:tcPr>
          <w:p>
            <w:pPr>
              <w:jc w:val="center"/>
              <w:ind w:left="3063"/>
              <w:spacing w:after="0"/>
              <w:rPr>
                <w:sz w:val="20"/>
                <w:szCs w:val="20"/>
                <w:color w:val="auto"/>
              </w:rPr>
            </w:pPr>
            <w:r>
              <w:rPr>
                <w:rFonts w:ascii="Calibri" w:cs="Calibri" w:eastAsia="Calibri" w:hAnsi="Calibri"/>
                <w:sz w:val="11"/>
                <w:szCs w:val="11"/>
                <w:b w:val="1"/>
                <w:bCs w:val="1"/>
                <w:color w:val="auto"/>
              </w:rPr>
              <w:t>Securites registered pursuant to Secton 12(g) of the Act: None</w:t>
            </w: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4680" w:type="dxa"/>
            <w:vAlign w:val="bottom"/>
            <w:gridSpan w:val="4"/>
          </w:tcPr>
          <w:p>
            <w:pPr>
              <w:spacing w:after="0"/>
              <w:rPr>
                <w:sz w:val="20"/>
                <w:szCs w:val="20"/>
                <w:color w:val="auto"/>
              </w:rPr>
            </w:pPr>
            <w:r>
              <w:rPr>
                <w:rFonts w:ascii="Calibri" w:cs="Calibri" w:eastAsia="Calibri" w:hAnsi="Calibri"/>
                <w:sz w:val="10"/>
                <w:szCs w:val="10"/>
                <w:color w:val="auto"/>
                <w:w w:val="99"/>
              </w:rPr>
              <w:t>Indicate by check mark if the registrant is a well-known seasoned issuer, as defned in Rule 405 of the Securites Act.</w:t>
            </w:r>
          </w:p>
        </w:tc>
        <w:tc>
          <w:tcPr>
            <w:tcW w:w="2540" w:type="dxa"/>
            <w:vAlign w:val="bottom"/>
            <w:gridSpan w:val="3"/>
          </w:tcPr>
          <w:p>
            <w:pPr>
              <w:ind w:left="40"/>
              <w:spacing w:after="0" w:line="123" w:lineRule="exact"/>
              <w:rPr>
                <w:sz w:val="20"/>
                <w:szCs w:val="20"/>
                <w:color w:val="auto"/>
              </w:rPr>
            </w:pPr>
            <w:r>
              <w:rPr>
                <w:rFonts w:ascii="Calibri" w:cs="Calibri" w:eastAsia="Calibri" w:hAnsi="Calibri"/>
                <w:sz w:val="10"/>
                <w:szCs w:val="10"/>
                <w:color w:val="auto"/>
              </w:rPr>
              <w:t xml:space="preserve">Yes </w:t>
            </w:r>
            <w:r>
              <w:rPr>
                <w:rFonts w:ascii="MS PGothic" w:cs="MS PGothic" w:eastAsia="MS PGothic" w:hAnsi="MS PGothic"/>
                <w:sz w:val="10"/>
                <w:szCs w:val="10"/>
                <w:color w:val="auto"/>
              </w:rPr>
              <w:t>☐</w:t>
            </w:r>
            <w:r>
              <w:rPr>
                <w:rFonts w:ascii="Calibri" w:cs="Calibri" w:eastAsia="Calibri" w:hAnsi="Calibri"/>
                <w:sz w:val="10"/>
                <w:szCs w:val="10"/>
                <w:color w:val="auto"/>
              </w:rPr>
              <w:t xml:space="preserve"> No </w:t>
            </w:r>
            <w:r>
              <w:rPr>
                <w:rFonts w:ascii="MS PGothic" w:cs="MS PGothic" w:eastAsia="MS PGothic" w:hAnsi="MS PGothic"/>
                <w:sz w:val="10"/>
                <w:szCs w:val="10"/>
                <w:color w:val="auto"/>
              </w:rPr>
              <w: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220" w:type="dxa"/>
            <w:vAlign w:val="bottom"/>
            <w:gridSpan w:val="7"/>
          </w:tcPr>
          <w:p>
            <w:pPr>
              <w:spacing w:after="0" w:line="123" w:lineRule="exact"/>
              <w:rPr>
                <w:sz w:val="20"/>
                <w:szCs w:val="20"/>
                <w:color w:val="auto"/>
              </w:rPr>
            </w:pPr>
            <w:r>
              <w:rPr>
                <w:rFonts w:ascii="Calibri" w:cs="Calibri" w:eastAsia="Calibri" w:hAnsi="Calibri"/>
                <w:sz w:val="10"/>
                <w:szCs w:val="10"/>
                <w:color w:val="auto"/>
              </w:rPr>
              <w:t xml:space="preserve">Indicate by check mark if the registrant is not required to fle reports pursuant to Secton 13 or Secton 15(d) of the Act.  Yes </w:t>
            </w:r>
            <w:r>
              <w:rPr>
                <w:rFonts w:ascii="MS PGothic" w:cs="MS PGothic" w:eastAsia="MS PGothic" w:hAnsi="MS PGothic"/>
                <w:sz w:val="10"/>
                <w:szCs w:val="10"/>
                <w:color w:val="auto"/>
              </w:rPr>
              <w:t>☐</w:t>
            </w:r>
            <w:r>
              <w:rPr>
                <w:rFonts w:ascii="Calibri" w:cs="Calibri" w:eastAsia="Calibri" w:hAnsi="Calibri"/>
                <w:sz w:val="10"/>
                <w:szCs w:val="10"/>
                <w:color w:val="auto"/>
              </w:rPr>
              <w:t xml:space="preserve"> No </w:t>
            </w:r>
            <w:r>
              <w:rPr>
                <w:rFonts w:ascii="MS PGothic" w:cs="MS PGothic" w:eastAsia="MS PGothic" w:hAnsi="MS PGothic"/>
                <w:sz w:val="10"/>
                <w:szCs w:val="10"/>
                <w:color w:val="auto"/>
              </w:rPr>
              <w:t>☒</w:t>
            </w: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right="80" w:firstLine="347"/>
        <w:spacing w:after="0" w:line="120" w:lineRule="exact"/>
        <w:rPr>
          <w:sz w:val="20"/>
          <w:szCs w:val="20"/>
          <w:color w:val="auto"/>
        </w:rPr>
      </w:pPr>
      <w:r>
        <w:rPr>
          <w:rFonts w:ascii="Calibri" w:cs="Calibri" w:eastAsia="Calibri" w:hAnsi="Calibri"/>
          <w:sz w:val="10"/>
          <w:szCs w:val="10"/>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0"/>
          <w:szCs w:val="10"/>
          <w:color w:val="auto"/>
        </w:rPr>
        <w:t>☒</w:t>
      </w:r>
      <w:r>
        <w:rPr>
          <w:rFonts w:ascii="Calibri" w:cs="Calibri" w:eastAsia="Calibri" w:hAnsi="Calibri"/>
          <w:sz w:val="10"/>
          <w:szCs w:val="10"/>
          <w:color w:val="auto"/>
        </w:rPr>
        <w:t xml:space="preserve"> No </w:t>
      </w:r>
      <w:r>
        <w:rPr>
          <w:rFonts w:ascii="MS PGothic" w:cs="MS PGothic" w:eastAsia="MS PGothic" w:hAnsi="MS PGothic"/>
          <w:sz w:val="10"/>
          <w:szCs w:val="10"/>
          <w:color w:val="auto"/>
        </w:rPr>
        <w:t>☐</w:t>
      </w:r>
    </w:p>
    <w:p>
      <w:pPr>
        <w:spacing w:after="0" w:line="17" w:lineRule="exact"/>
        <w:rPr>
          <w:sz w:val="24"/>
          <w:szCs w:val="24"/>
          <w:color w:val="auto"/>
        </w:rPr>
      </w:pPr>
    </w:p>
    <w:p>
      <w:pPr>
        <w:ind w:right="60" w:firstLine="347"/>
        <w:spacing w:after="0" w:line="120" w:lineRule="exact"/>
        <w:rPr>
          <w:sz w:val="20"/>
          <w:szCs w:val="20"/>
          <w:color w:val="auto"/>
        </w:rPr>
      </w:pPr>
      <w:r>
        <w:rPr>
          <w:rFonts w:ascii="Calibri" w:cs="Calibri" w:eastAsia="Calibri" w:hAnsi="Calibri"/>
          <w:sz w:val="10"/>
          <w:szCs w:val="10"/>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0"/>
          <w:szCs w:val="10"/>
          <w:color w:val="auto"/>
        </w:rPr>
        <w:t>☒</w:t>
      </w:r>
      <w:r>
        <w:rPr>
          <w:rFonts w:ascii="Calibri" w:cs="Calibri" w:eastAsia="Calibri" w:hAnsi="Calibri"/>
          <w:sz w:val="10"/>
          <w:szCs w:val="10"/>
          <w:color w:val="auto"/>
        </w:rPr>
        <w:t xml:space="preserve"> No </w:t>
      </w:r>
      <w:r>
        <w:rPr>
          <w:rFonts w:ascii="MS PGothic" w:cs="MS PGothic" w:eastAsia="MS PGothic" w:hAnsi="MS PGothic"/>
          <w:sz w:val="10"/>
          <w:szCs w:val="10"/>
          <w:color w:val="auto"/>
        </w:rPr>
        <w:t>☐</w:t>
      </w:r>
    </w:p>
    <w:p>
      <w:pPr>
        <w:spacing w:after="0" w:line="17" w:lineRule="exact"/>
        <w:rPr>
          <w:sz w:val="24"/>
          <w:szCs w:val="24"/>
          <w:color w:val="auto"/>
        </w:rPr>
      </w:pPr>
    </w:p>
    <w:p>
      <w:pPr>
        <w:ind w:right="360" w:firstLine="347"/>
        <w:spacing w:after="0" w:line="218" w:lineRule="auto"/>
        <w:rPr>
          <w:sz w:val="20"/>
          <w:szCs w:val="20"/>
          <w:color w:val="auto"/>
        </w:rPr>
      </w:pPr>
      <w:r>
        <w:rPr>
          <w:rFonts w:ascii="Calibri" w:cs="Calibri" w:eastAsia="Calibri" w:hAnsi="Calibri"/>
          <w:sz w:val="10"/>
          <w:szCs w:val="10"/>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86" w:lineRule="exact"/>
        <w:rPr>
          <w:sz w:val="24"/>
          <w:szCs w:val="24"/>
          <w:color w:val="auto"/>
        </w:rPr>
      </w:pPr>
    </w:p>
    <w:p>
      <w:pPr>
        <w:ind w:left="520"/>
        <w:spacing w:after="0" w:line="123" w:lineRule="exact"/>
        <w:tabs>
          <w:tab w:leader="none" w:pos="2640" w:val="left"/>
          <w:tab w:leader="none" w:pos="7720" w:val="left"/>
          <w:tab w:leader="none" w:pos="9880" w:val="left"/>
        </w:tabs>
        <w:rPr>
          <w:sz w:val="20"/>
          <w:szCs w:val="20"/>
          <w:color w:val="auto"/>
        </w:rPr>
      </w:pPr>
      <w:r>
        <w:rPr>
          <w:rFonts w:ascii="Calibri" w:cs="Calibri" w:eastAsia="Calibri" w:hAnsi="Calibri"/>
          <w:sz w:val="10"/>
          <w:szCs w:val="10"/>
          <w:color w:val="auto"/>
        </w:rPr>
        <w:t>Large accelerated fler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Calibri" w:cs="Calibri" w:eastAsia="Calibri" w:hAnsi="Calibri"/>
          <w:sz w:val="10"/>
          <w:szCs w:val="10"/>
          <w:color w:val="auto"/>
        </w:rPr>
        <w:t>Accelerated fler</w:t>
      </w:r>
      <w:r>
        <w:rPr>
          <w:sz w:val="20"/>
          <w:szCs w:val="20"/>
          <w:color w:val="auto"/>
        </w:rPr>
        <w:tab/>
      </w:r>
      <w:r>
        <w:rPr>
          <w:rFonts w:ascii="MS PGothic" w:cs="MS PGothic" w:eastAsia="MS PGothic" w:hAnsi="MS PGothic"/>
          <w:sz w:val="7"/>
          <w:szCs w:val="7"/>
          <w:color w:val="auto"/>
        </w:rPr>
        <w:t>☐</w:t>
      </w:r>
    </w:p>
    <w:p>
      <w:pPr>
        <w:spacing w:after="0" w:line="32" w:lineRule="exact"/>
        <w:rPr>
          <w:sz w:val="24"/>
          <w:szCs w:val="24"/>
          <w:color w:val="auto"/>
        </w:rPr>
      </w:pPr>
    </w:p>
    <w:p>
      <w:pPr>
        <w:ind w:left="520"/>
        <w:spacing w:after="0" w:line="123" w:lineRule="exact"/>
        <w:tabs>
          <w:tab w:leader="none" w:pos="2640" w:val="left"/>
          <w:tab w:leader="none" w:pos="7720" w:val="left"/>
          <w:tab w:leader="none" w:pos="9880" w:val="left"/>
        </w:tabs>
        <w:rPr>
          <w:sz w:val="20"/>
          <w:szCs w:val="20"/>
          <w:color w:val="auto"/>
        </w:rPr>
      </w:pPr>
      <w:r>
        <w:rPr>
          <w:rFonts w:ascii="Calibri" w:cs="Calibri" w:eastAsia="Calibri" w:hAnsi="Calibri"/>
          <w:sz w:val="10"/>
          <w:szCs w:val="10"/>
          <w:color w:val="auto"/>
        </w:rPr>
        <w:t>Non-accelerated fler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Calibri" w:cs="Calibri" w:eastAsia="Calibri" w:hAnsi="Calibri"/>
          <w:sz w:val="10"/>
          <w:szCs w:val="10"/>
          <w:color w:val="auto"/>
        </w:rPr>
        <w:t>Smaller reportng company</w:t>
      </w:r>
      <w:r>
        <w:rPr>
          <w:sz w:val="20"/>
          <w:szCs w:val="20"/>
          <w:color w:val="auto"/>
        </w:rPr>
        <w:tab/>
      </w:r>
      <w:r>
        <w:rPr>
          <w:rFonts w:ascii="MS PGothic" w:cs="MS PGothic" w:eastAsia="MS PGothic" w:hAnsi="MS PGothic"/>
          <w:sz w:val="7"/>
          <w:szCs w:val="7"/>
          <w:color w:val="auto"/>
        </w:rPr>
        <w:t>☐</w:t>
      </w:r>
    </w:p>
    <w:p>
      <w:pPr>
        <w:spacing w:after="0" w:line="16" w:lineRule="exact"/>
        <w:rPr>
          <w:sz w:val="24"/>
          <w:szCs w:val="24"/>
          <w:color w:val="auto"/>
        </w:rPr>
      </w:pPr>
    </w:p>
    <w:p>
      <w:pPr>
        <w:ind w:left="520"/>
        <w:spacing w:after="0" w:line="123" w:lineRule="exact"/>
        <w:tabs>
          <w:tab w:leader="none" w:pos="2640" w:val="left"/>
        </w:tabs>
        <w:rPr>
          <w:sz w:val="20"/>
          <w:szCs w:val="20"/>
          <w:color w:val="auto"/>
        </w:rPr>
      </w:pPr>
      <w:r>
        <w:rPr>
          <w:rFonts w:ascii="Calibri" w:cs="Calibri" w:eastAsia="Calibri" w:hAnsi="Calibri"/>
          <w:sz w:val="10"/>
          <w:szCs w:val="10"/>
          <w:color w:val="auto"/>
        </w:rPr>
        <w:t>Emerging growth company</w:t>
      </w:r>
      <w:r>
        <w:rPr>
          <w:sz w:val="20"/>
          <w:szCs w:val="20"/>
          <w:color w:val="auto"/>
        </w:rPr>
        <w:tab/>
      </w:r>
      <w:r>
        <w:rPr>
          <w:rFonts w:ascii="MS PGothic" w:cs="MS PGothic" w:eastAsia="MS PGothic" w:hAnsi="MS PGothic"/>
          <w:sz w:val="7"/>
          <w:szCs w:val="7"/>
          <w:color w:val="auto"/>
        </w:rPr>
        <w:t>☐</w:t>
      </w:r>
    </w:p>
    <w:p>
      <w:pPr>
        <w:spacing w:after="0" w:line="250" w:lineRule="exact"/>
        <w:rPr>
          <w:sz w:val="24"/>
          <w:szCs w:val="24"/>
          <w:color w:val="auto"/>
        </w:rPr>
      </w:pPr>
    </w:p>
    <w:p>
      <w:pPr>
        <w:ind w:left="360"/>
        <w:spacing w:after="0" w:line="123" w:lineRule="exact"/>
        <w:rPr>
          <w:sz w:val="20"/>
          <w:szCs w:val="20"/>
          <w:color w:val="auto"/>
        </w:rPr>
      </w:pPr>
      <w:r>
        <w:rPr>
          <w:rFonts w:ascii="Calibri" w:cs="Calibri" w:eastAsia="Calibri" w:hAnsi="Calibri"/>
          <w:sz w:val="10"/>
          <w:szCs w:val="10"/>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0"/>
          <w:szCs w:val="10"/>
          <w:color w:val="auto"/>
        </w:rPr>
        <w:t>☐</w:t>
      </w:r>
    </w:p>
    <w:p>
      <w:pPr>
        <w:spacing w:after="0" w:line="48" w:lineRule="exact"/>
        <w:rPr>
          <w:sz w:val="24"/>
          <w:szCs w:val="24"/>
          <w:color w:val="auto"/>
        </w:rPr>
      </w:pPr>
    </w:p>
    <w:p>
      <w:pPr>
        <w:ind w:firstLine="347"/>
        <w:spacing w:after="0" w:line="120" w:lineRule="exact"/>
        <w:rPr>
          <w:sz w:val="20"/>
          <w:szCs w:val="20"/>
          <w:color w:val="auto"/>
        </w:rPr>
      </w:pPr>
      <w:r>
        <w:rPr>
          <w:rFonts w:ascii="Calibri" w:cs="Calibri" w:eastAsia="Calibri" w:hAnsi="Calibri"/>
          <w:sz w:val="10"/>
          <w:szCs w:val="10"/>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Yes </w:t>
      </w:r>
      <w:r>
        <w:rPr>
          <w:rFonts w:ascii="MS PGothic" w:cs="MS PGothic" w:eastAsia="MS PGothic" w:hAnsi="MS PGothic"/>
          <w:sz w:val="10"/>
          <w:szCs w:val="10"/>
          <w:color w:val="auto"/>
        </w:rPr>
        <w:t>☒</w:t>
      </w:r>
      <w:r>
        <w:rPr>
          <w:rFonts w:ascii="Calibri" w:cs="Calibri" w:eastAsia="Calibri" w:hAnsi="Calibri"/>
          <w:sz w:val="10"/>
          <w:szCs w:val="10"/>
          <w:color w:val="auto"/>
        </w:rPr>
        <w:t xml:space="preserve"> No </w:t>
      </w:r>
      <w:r>
        <w:rPr>
          <w:rFonts w:ascii="MS PGothic" w:cs="MS PGothic" w:eastAsia="MS PGothic" w:hAnsi="MS PGothic"/>
          <w:sz w:val="10"/>
          <w:szCs w:val="10"/>
          <w:color w:val="auto"/>
        </w:rPr>
        <w:t>☐</w:t>
      </w:r>
    </w:p>
    <w:p>
      <w:pPr>
        <w:ind w:left="360"/>
        <w:spacing w:after="0" w:line="123" w:lineRule="exact"/>
        <w:tabs>
          <w:tab w:leader="none" w:pos="4800" w:val="left"/>
        </w:tabs>
        <w:rPr>
          <w:sz w:val="20"/>
          <w:szCs w:val="20"/>
          <w:color w:val="auto"/>
        </w:rPr>
      </w:pPr>
      <w:r>
        <w:rPr>
          <w:rFonts w:ascii="Calibri" w:cs="Calibri" w:eastAsia="Calibri" w:hAnsi="Calibri"/>
          <w:sz w:val="10"/>
          <w:szCs w:val="10"/>
          <w:color w:val="auto"/>
        </w:rPr>
        <w:t xml:space="preserve">Indicate by check mark whether the registrant is a shell company (as defned in Rule 12b-2 of the Act). Yes </w:t>
      </w:r>
      <w:r>
        <w:rPr>
          <w:rFonts w:ascii="MS PGothic" w:cs="MS PGothic" w:eastAsia="MS PGothic" w:hAnsi="MS PGothic"/>
          <w:sz w:val="10"/>
          <w:szCs w:val="10"/>
          <w:color w:val="auto"/>
        </w:rPr>
        <w:t>☐</w:t>
      </w:r>
      <w:r>
        <w:rPr>
          <w:sz w:val="20"/>
          <w:szCs w:val="20"/>
          <w:color w:val="auto"/>
        </w:rPr>
        <w:tab/>
      </w:r>
      <w:r>
        <w:rPr>
          <w:rFonts w:ascii="Calibri" w:cs="Calibri" w:eastAsia="Calibri" w:hAnsi="Calibri"/>
          <w:sz w:val="9"/>
          <w:szCs w:val="9"/>
          <w:color w:val="auto"/>
        </w:rPr>
        <w:t xml:space="preserve">No </w:t>
      </w:r>
      <w:r>
        <w:rPr>
          <w:rFonts w:ascii="MS PGothic" w:cs="MS PGothic" w:eastAsia="MS PGothic" w:hAnsi="MS PGothic"/>
          <w:sz w:val="9"/>
          <w:szCs w:val="9"/>
          <w:color w:val="auto"/>
        </w:rPr>
        <w:t>☒</w:t>
      </w:r>
    </w:p>
    <w:p>
      <w:pPr>
        <w:spacing w:after="0" w:line="43" w:lineRule="exact"/>
        <w:rPr>
          <w:sz w:val="24"/>
          <w:szCs w:val="24"/>
          <w:color w:val="auto"/>
        </w:rPr>
      </w:pPr>
    </w:p>
    <w:p>
      <w:pPr>
        <w:ind w:left="360"/>
        <w:spacing w:after="0"/>
        <w:rPr>
          <w:sz w:val="20"/>
          <w:szCs w:val="20"/>
          <w:color w:val="auto"/>
        </w:rPr>
      </w:pPr>
      <w:r>
        <w:rPr>
          <w:rFonts w:ascii="Calibri" w:cs="Calibri" w:eastAsia="Calibri" w:hAnsi="Calibri"/>
          <w:sz w:val="9"/>
          <w:szCs w:val="9"/>
          <w:color w:val="auto"/>
        </w:rPr>
        <w:t>As of April 30, 2022, the aggregate market value of the registrant’s common stock held by non-afliates of the registrant was approximately $534 million, based on the closing price of the registrant’s common stock on the Nasdaq Global Select Market of $12.72 per share.</w:t>
      </w:r>
    </w:p>
    <w:p>
      <w:pPr>
        <w:spacing w:after="0" w:line="33" w:lineRule="exact"/>
        <w:rPr>
          <w:sz w:val="24"/>
          <w:szCs w:val="24"/>
          <w:color w:val="auto"/>
        </w:rPr>
      </w:pPr>
    </w:p>
    <w:p>
      <w:pPr>
        <w:ind w:left="360"/>
        <w:spacing w:after="0"/>
        <w:rPr>
          <w:sz w:val="20"/>
          <w:szCs w:val="20"/>
          <w:color w:val="auto"/>
        </w:rPr>
      </w:pPr>
      <w:r>
        <w:rPr>
          <w:rFonts w:ascii="Calibri" w:cs="Calibri" w:eastAsia="Calibri" w:hAnsi="Calibri"/>
          <w:sz w:val="10"/>
          <w:szCs w:val="10"/>
          <w:color w:val="auto"/>
        </w:rPr>
        <w:t>As of December 1, 2022, the registrant had 70,669,535 shares of common stock at $0.001 par value outstanding.</w:t>
      </w:r>
    </w:p>
    <w:p>
      <w:pPr>
        <w:spacing w:after="0" w:line="217" w:lineRule="exact"/>
        <w:rPr>
          <w:sz w:val="24"/>
          <w:szCs w:val="24"/>
          <w:color w:val="auto"/>
        </w:rPr>
      </w:pPr>
    </w:p>
    <w:p>
      <w:pPr>
        <w:jc w:val="center"/>
        <w:spacing w:after="0"/>
        <w:rPr>
          <w:sz w:val="20"/>
          <w:szCs w:val="20"/>
          <w:color w:val="auto"/>
        </w:rPr>
      </w:pPr>
      <w:r>
        <w:rPr>
          <w:rFonts w:ascii="Calibri" w:cs="Calibri" w:eastAsia="Calibri" w:hAnsi="Calibri"/>
          <w:sz w:val="10"/>
          <w:szCs w:val="10"/>
          <w:b w:val="1"/>
          <w:bCs w:val="1"/>
          <w:color w:val="auto"/>
        </w:rPr>
        <w:t>DOCUMENTS INCORPORATED BY REFERENCE</w:t>
      </w:r>
    </w:p>
    <w:p>
      <w:pPr>
        <w:spacing w:after="0" w:line="32" w:lineRule="exact"/>
        <w:rPr>
          <w:sz w:val="24"/>
          <w:szCs w:val="24"/>
          <w:color w:val="auto"/>
        </w:rPr>
      </w:pPr>
    </w:p>
    <w:p>
      <w:pPr>
        <w:ind w:right="40" w:firstLine="347"/>
        <w:spacing w:after="0" w:line="218" w:lineRule="auto"/>
        <w:rPr>
          <w:sz w:val="20"/>
          <w:szCs w:val="20"/>
          <w:color w:val="auto"/>
        </w:rPr>
      </w:pPr>
      <w:r>
        <w:rPr>
          <w:rFonts w:ascii="Calibri" w:cs="Calibri" w:eastAsia="Calibri" w:hAnsi="Calibri"/>
          <w:sz w:val="10"/>
          <w:szCs w:val="10"/>
          <w:color w:val="auto"/>
        </w:rPr>
        <w:t>Certain sectons of the registrant’s defnitve proxy statement for the 2023 annual meetng of stockholders to be fled with the Securites and Exchange Commission pursuant to Regulaton 14A not later than 120 days afer the end of the fscal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430530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153670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173990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1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4"/>
        </w:trPr>
        <w:tc>
          <w:tcPr>
            <w:tcW w:w="1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20" w:type="dxa"/>
            <w:vAlign w:val="bottom"/>
            <w:gridSpan w:val="7"/>
          </w:tcPr>
          <w:p>
            <w:pPr>
              <w:jc w:val="center"/>
              <w:ind w:right="1800"/>
              <w:spacing w:after="0"/>
              <w:rPr>
                <w:sz w:val="20"/>
                <w:szCs w:val="20"/>
                <w:color w:val="auto"/>
              </w:rPr>
            </w:pPr>
            <w:r>
              <w:rPr>
                <w:rFonts w:ascii="Calibri" w:cs="Calibri" w:eastAsia="Calibri" w:hAnsi="Calibri"/>
                <w:sz w:val="20"/>
                <w:szCs w:val="20"/>
                <w:b w:val="1"/>
                <w:bCs w:val="1"/>
                <w:color w:val="auto"/>
              </w:rPr>
              <w:t>MISSION PRODUCE, INC.</w:t>
            </w: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60" w:type="dxa"/>
            <w:vAlign w:val="bottom"/>
            <w:gridSpan w:val="6"/>
          </w:tcPr>
          <w:p>
            <w:pPr>
              <w:jc w:val="center"/>
              <w:ind w:right="2160"/>
              <w:spacing w:after="0"/>
              <w:rPr>
                <w:sz w:val="20"/>
                <w:szCs w:val="20"/>
                <w:color w:val="auto"/>
              </w:rPr>
            </w:pPr>
            <w:r>
              <w:rPr>
                <w:rFonts w:ascii="Calibri" w:cs="Calibri" w:eastAsia="Calibri" w:hAnsi="Calibri"/>
                <w:sz w:val="20"/>
                <w:szCs w:val="20"/>
                <w:b w:val="1"/>
                <w:bCs w:val="1"/>
                <w:color w:val="auto"/>
                <w:w w:val="99"/>
              </w:rPr>
              <w:t>TABLE OF CONTENTS</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3"/>
        </w:trPr>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80" w:type="dxa"/>
            <w:vAlign w:val="bottom"/>
            <w:gridSpan w:val="5"/>
          </w:tcPr>
          <w:p>
            <w:pPr>
              <w:jc w:val="center"/>
              <w:ind w:right="2540"/>
              <w:spacing w:after="0"/>
              <w:rPr>
                <w:sz w:val="20"/>
                <w:szCs w:val="20"/>
                <w:color w:val="auto"/>
              </w:rPr>
            </w:pPr>
            <w:r>
              <w:rPr>
                <w:rFonts w:ascii="Calibri" w:cs="Calibri" w:eastAsia="Calibri" w:hAnsi="Calibri"/>
                <w:sz w:val="18"/>
                <w:szCs w:val="18"/>
                <w:b w:val="1"/>
                <w:bCs w:val="1"/>
                <w:color w:val="auto"/>
                <w:w w:val="99"/>
              </w:rPr>
              <w:t>FORM 10-K</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60" w:type="dxa"/>
            <w:vAlign w:val="bottom"/>
            <w:gridSpan w:val="6"/>
          </w:tcPr>
          <w:p>
            <w:pPr>
              <w:jc w:val="center"/>
              <w:ind w:right="2140"/>
              <w:spacing w:after="0"/>
              <w:rPr>
                <w:sz w:val="20"/>
                <w:szCs w:val="20"/>
                <w:color w:val="auto"/>
              </w:rPr>
            </w:pPr>
            <w:r>
              <w:rPr>
                <w:rFonts w:ascii="Calibri" w:cs="Calibri" w:eastAsia="Calibri" w:hAnsi="Calibri"/>
                <w:sz w:val="18"/>
                <w:szCs w:val="18"/>
                <w:b w:val="1"/>
                <w:bCs w:val="1"/>
                <w:color w:val="auto"/>
              </w:rPr>
              <w:t>FISCAL YEAR 2022</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580" w:type="dxa"/>
            <w:vAlign w:val="bottom"/>
          </w:tcPr>
          <w:p>
            <w:pPr>
              <w:ind w:left="520"/>
              <w:spacing w:after="0"/>
              <w:rPr>
                <w:sz w:val="20"/>
                <w:szCs w:val="20"/>
                <w:color w:val="auto"/>
              </w:rPr>
            </w:pPr>
            <w:r>
              <w:rPr>
                <w:rFonts w:ascii="Calibri" w:cs="Calibri" w:eastAsia="Calibri" w:hAnsi="Calibri"/>
                <w:sz w:val="11"/>
                <w:szCs w:val="11"/>
                <w:b w:val="1"/>
                <w:bCs w:val="1"/>
                <w:color w:val="auto"/>
              </w:rPr>
              <w:t>PART I</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520"/>
              <w:spacing w:after="0" w:line="143" w:lineRule="exact"/>
              <w:rPr>
                <w:sz w:val="20"/>
                <w:szCs w:val="20"/>
                <w:color w:val="auto"/>
              </w:rPr>
            </w:pPr>
            <w:r>
              <w:rPr>
                <w:rFonts w:ascii="Calibri" w:cs="Calibri" w:eastAsia="Calibri" w:hAnsi="Calibri"/>
                <w:sz w:val="13"/>
                <w:szCs w:val="13"/>
                <w:color w:val="auto"/>
              </w:rPr>
              <w:t>Item 1.</w:t>
            </w:r>
          </w:p>
        </w:tc>
        <w:tc>
          <w:tcPr>
            <w:tcW w:w="400" w:type="dxa"/>
            <w:vAlign w:val="bottom"/>
            <w:tcBorders>
              <w:bottom w:val="single" w:sz="8" w:color="0000FF"/>
            </w:tcBorders>
          </w:tcPr>
          <w:p>
            <w:pPr>
              <w:spacing w:after="0"/>
              <w:rPr>
                <w:sz w:val="20"/>
                <w:szCs w:val="20"/>
                <w:color w:val="auto"/>
              </w:rPr>
            </w:pPr>
            <w:r>
              <w:rPr>
                <w:rFonts w:ascii="Calibri" w:cs="Calibri" w:eastAsia="Calibri" w:hAnsi="Calibri"/>
                <w:sz w:val="11"/>
                <w:szCs w:val="11"/>
                <w:color w:val="0000FF"/>
                <w:w w:val="98"/>
              </w:rPr>
              <w:t>Business</w:t>
            </w:r>
          </w:p>
        </w:tc>
        <w:tc>
          <w:tcPr>
            <w:tcW w:w="6820" w:type="dxa"/>
            <w:vAlign w:val="bottom"/>
            <w:gridSpan w:val="20"/>
          </w:tcPr>
          <w:p>
            <w:pPr>
              <w:spacing w:after="0"/>
              <w:rPr>
                <w:sz w:val="14"/>
                <w:szCs w:val="14"/>
                <w:color w:val="auto"/>
              </w:rPr>
            </w:pPr>
          </w:p>
        </w:tc>
        <w:tc>
          <w:tcPr>
            <w:tcW w:w="2240" w:type="dxa"/>
            <w:vAlign w:val="bottom"/>
            <w:gridSpan w:val="2"/>
          </w:tcPr>
          <w:p>
            <w:pPr>
              <w:ind w:left="2120"/>
              <w:spacing w:after="0"/>
              <w:rPr>
                <w:sz w:val="20"/>
                <w:szCs w:val="20"/>
                <w:color w:val="auto"/>
              </w:rPr>
            </w:pPr>
            <w:r>
              <w:rPr>
                <w:rFonts w:ascii="Calibri" w:cs="Calibri" w:eastAsia="Calibri" w:hAnsi="Calibri"/>
                <w:sz w:val="11"/>
                <w:szCs w:val="11"/>
                <w:u w:val="single" w:color="auto"/>
                <w:color w:val="0000FF"/>
              </w:rPr>
              <w:t>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520"/>
              <w:spacing w:after="0" w:line="141" w:lineRule="exact"/>
              <w:rPr>
                <w:sz w:val="20"/>
                <w:szCs w:val="20"/>
                <w:color w:val="auto"/>
              </w:rPr>
            </w:pPr>
            <w:r>
              <w:rPr>
                <w:rFonts w:ascii="Calibri" w:cs="Calibri" w:eastAsia="Calibri" w:hAnsi="Calibri"/>
                <w:sz w:val="13"/>
                <w:szCs w:val="13"/>
                <w:color w:val="auto"/>
              </w:rPr>
              <w:t>Item 1A.</w:t>
            </w:r>
          </w:p>
        </w:tc>
        <w:tc>
          <w:tcPr>
            <w:tcW w:w="540" w:type="dxa"/>
            <w:vAlign w:val="bottom"/>
            <w:tcBorders>
              <w:bottom w:val="single" w:sz="8" w:color="0000FF"/>
            </w:tcBorders>
            <w:gridSpan w:val="3"/>
          </w:tcPr>
          <w:p>
            <w:pPr>
              <w:spacing w:after="0"/>
              <w:rPr>
                <w:sz w:val="20"/>
                <w:szCs w:val="20"/>
                <w:color w:val="auto"/>
              </w:rPr>
            </w:pPr>
            <w:r>
              <w:rPr>
                <w:rFonts w:ascii="Calibri" w:cs="Calibri" w:eastAsia="Calibri" w:hAnsi="Calibri"/>
                <w:sz w:val="11"/>
                <w:szCs w:val="11"/>
                <w:color w:val="0000FF"/>
                <w:w w:val="98"/>
              </w:rPr>
              <w:t>Risk Factors</w:t>
            </w:r>
          </w:p>
        </w:tc>
        <w:tc>
          <w:tcPr>
            <w:tcW w:w="6680" w:type="dxa"/>
            <w:vAlign w:val="bottom"/>
            <w:gridSpan w:val="18"/>
          </w:tcPr>
          <w:p>
            <w:pPr>
              <w:spacing w:after="0"/>
              <w:rPr>
                <w:sz w:val="13"/>
                <w:szCs w:val="13"/>
                <w:color w:val="auto"/>
              </w:rPr>
            </w:pPr>
          </w:p>
        </w:tc>
        <w:tc>
          <w:tcPr>
            <w:tcW w:w="2240" w:type="dxa"/>
            <w:vAlign w:val="bottom"/>
            <w:gridSpan w:val="2"/>
          </w:tcPr>
          <w:p>
            <w:pPr>
              <w:ind w:left="2120"/>
              <w:spacing w:after="0"/>
              <w:rPr>
                <w:sz w:val="20"/>
                <w:szCs w:val="20"/>
                <w:color w:val="auto"/>
              </w:rPr>
            </w:pPr>
            <w:r>
              <w:rPr>
                <w:rFonts w:ascii="Calibri" w:cs="Calibri" w:eastAsia="Calibri" w:hAnsi="Calibri"/>
                <w:sz w:val="11"/>
                <w:szCs w:val="11"/>
                <w:u w:val="single" w:color="auto"/>
                <w:color w:val="0000FF"/>
              </w:rPr>
              <w:t>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520"/>
              <w:spacing w:after="0" w:line="141" w:lineRule="exact"/>
              <w:rPr>
                <w:sz w:val="20"/>
                <w:szCs w:val="20"/>
                <w:color w:val="auto"/>
              </w:rPr>
            </w:pPr>
            <w:r>
              <w:rPr>
                <w:rFonts w:ascii="Calibri" w:cs="Calibri" w:eastAsia="Calibri" w:hAnsi="Calibri"/>
                <w:sz w:val="13"/>
                <w:szCs w:val="13"/>
                <w:color w:val="auto"/>
              </w:rPr>
              <w:t>Item 1B.</w:t>
            </w:r>
          </w:p>
        </w:tc>
        <w:tc>
          <w:tcPr>
            <w:tcW w:w="1280" w:type="dxa"/>
            <w:vAlign w:val="bottom"/>
            <w:gridSpan w:val="9"/>
          </w:tcPr>
          <w:p>
            <w:pPr>
              <w:spacing w:after="0"/>
              <w:rPr>
                <w:sz w:val="20"/>
                <w:szCs w:val="20"/>
                <w:color w:val="auto"/>
              </w:rPr>
            </w:pPr>
            <w:r>
              <w:rPr>
                <w:rFonts w:ascii="Calibri" w:cs="Calibri" w:eastAsia="Calibri" w:hAnsi="Calibri"/>
                <w:sz w:val="11"/>
                <w:szCs w:val="11"/>
                <w:color w:val="0000FF"/>
              </w:rPr>
              <w:t>Unresolved Staf Comments</w:t>
            </w:r>
          </w:p>
        </w:tc>
        <w:tc>
          <w:tcPr>
            <w:tcW w:w="5940" w:type="dxa"/>
            <w:vAlign w:val="bottom"/>
            <w:gridSpan w:val="12"/>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15</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2.</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420" w:type="dxa"/>
            <w:vAlign w:val="bottom"/>
            <w:gridSpan w:val="2"/>
          </w:tcPr>
          <w:p>
            <w:pPr>
              <w:spacing w:after="0"/>
              <w:rPr>
                <w:sz w:val="20"/>
                <w:szCs w:val="20"/>
                <w:color w:val="auto"/>
              </w:rPr>
            </w:pPr>
            <w:r>
              <w:rPr>
                <w:rFonts w:ascii="Calibri" w:cs="Calibri" w:eastAsia="Calibri" w:hAnsi="Calibri"/>
                <w:sz w:val="11"/>
                <w:szCs w:val="11"/>
                <w:color w:val="0000FF"/>
                <w:w w:val="86"/>
              </w:rPr>
              <w:t>Propertes</w:t>
            </w:r>
          </w:p>
        </w:tc>
        <w:tc>
          <w:tcPr>
            <w:tcW w:w="860" w:type="dxa"/>
            <w:vAlign w:val="bottom"/>
            <w:gridSpan w:val="7"/>
          </w:tcPr>
          <w:p>
            <w:pPr>
              <w:spacing w:after="0"/>
              <w:rPr>
                <w:sz w:val="13"/>
                <w:szCs w:val="13"/>
                <w:color w:val="auto"/>
              </w:rPr>
            </w:pPr>
          </w:p>
        </w:tc>
        <w:tc>
          <w:tcPr>
            <w:tcW w:w="5940" w:type="dxa"/>
            <w:vAlign w:val="bottom"/>
            <w:gridSpan w:val="12"/>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16</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3.</w:t>
            </w: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820" w:type="dxa"/>
            <w:vAlign w:val="bottom"/>
            <w:gridSpan w:val="4"/>
          </w:tcPr>
          <w:p>
            <w:pPr>
              <w:spacing w:after="0"/>
              <w:rPr>
                <w:sz w:val="20"/>
                <w:szCs w:val="20"/>
                <w:color w:val="auto"/>
              </w:rPr>
            </w:pPr>
            <w:r>
              <w:rPr>
                <w:rFonts w:ascii="Calibri" w:cs="Calibri" w:eastAsia="Calibri" w:hAnsi="Calibri"/>
                <w:sz w:val="11"/>
                <w:szCs w:val="11"/>
                <w:color w:val="0000FF"/>
                <w:w w:val="99"/>
              </w:rPr>
              <w:t>Legal Proceedings</w:t>
            </w:r>
          </w:p>
        </w:tc>
        <w:tc>
          <w:tcPr>
            <w:tcW w:w="6400" w:type="dxa"/>
            <w:vAlign w:val="bottom"/>
            <w:gridSpan w:val="17"/>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16</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4.</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80" w:type="dxa"/>
            <w:vAlign w:val="bottom"/>
            <w:vMerge w:val="continue"/>
          </w:tcPr>
          <w:p>
            <w:pPr>
              <w:spacing w:after="0"/>
              <w:rPr>
                <w:sz w:val="15"/>
                <w:szCs w:val="15"/>
                <w:color w:val="auto"/>
              </w:rPr>
            </w:pPr>
          </w:p>
        </w:tc>
        <w:tc>
          <w:tcPr>
            <w:tcW w:w="1080" w:type="dxa"/>
            <w:vAlign w:val="bottom"/>
            <w:tcBorders>
              <w:bottom w:val="single" w:sz="8" w:color="0000FF"/>
            </w:tcBorders>
            <w:gridSpan w:val="7"/>
          </w:tcPr>
          <w:p>
            <w:pPr>
              <w:spacing w:after="0"/>
              <w:rPr>
                <w:sz w:val="20"/>
                <w:szCs w:val="20"/>
                <w:color w:val="auto"/>
              </w:rPr>
            </w:pPr>
            <w:r>
              <w:rPr>
                <w:rFonts w:ascii="Calibri" w:cs="Calibri" w:eastAsia="Calibri" w:hAnsi="Calibri"/>
                <w:sz w:val="11"/>
                <w:szCs w:val="11"/>
                <w:color w:val="0000FF"/>
                <w:w w:val="99"/>
              </w:rPr>
              <w:t>Mine Safety Disclosures</w:t>
            </w:r>
          </w:p>
        </w:tc>
        <w:tc>
          <w:tcPr>
            <w:tcW w:w="4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80" w:type="dxa"/>
            <w:vAlign w:val="bottom"/>
            <w:gridSpan w:val="3"/>
          </w:tcPr>
          <w:p>
            <w:pPr>
              <w:ind w:left="2120"/>
              <w:spacing w:after="0"/>
              <w:rPr>
                <w:sz w:val="20"/>
                <w:szCs w:val="20"/>
                <w:color w:val="auto"/>
              </w:rPr>
            </w:pPr>
            <w:r>
              <w:rPr>
                <w:rFonts w:ascii="Calibri" w:cs="Calibri" w:eastAsia="Calibri" w:hAnsi="Calibri"/>
                <w:sz w:val="11"/>
                <w:szCs w:val="11"/>
                <w:color w:val="0000FF"/>
              </w:rPr>
              <w:t>17</w:t>
            </w:r>
          </w:p>
        </w:tc>
        <w:tc>
          <w:tcPr>
            <w:tcW w:w="0" w:type="dxa"/>
            <w:vAlign w:val="bottom"/>
          </w:tcPr>
          <w:p>
            <w:pPr>
              <w:spacing w:after="0"/>
              <w:rPr>
                <w:sz w:val="1"/>
                <w:szCs w:val="1"/>
                <w:color w:val="auto"/>
              </w:rPr>
            </w:pPr>
          </w:p>
        </w:tc>
      </w:tr>
      <w:tr>
        <w:trPr>
          <w:trHeight w:val="328"/>
        </w:trPr>
        <w:tc>
          <w:tcPr>
            <w:tcW w:w="1580" w:type="dxa"/>
            <w:vAlign w:val="bottom"/>
          </w:tcPr>
          <w:p>
            <w:pPr>
              <w:ind w:left="520"/>
              <w:spacing w:after="0"/>
              <w:rPr>
                <w:sz w:val="20"/>
                <w:szCs w:val="20"/>
                <w:color w:val="auto"/>
              </w:rPr>
            </w:pPr>
            <w:r>
              <w:rPr>
                <w:rFonts w:ascii="Calibri" w:cs="Calibri" w:eastAsia="Calibri" w:hAnsi="Calibri"/>
                <w:sz w:val="11"/>
                <w:szCs w:val="11"/>
                <w:b w:val="1"/>
                <w:bCs w:val="1"/>
                <w:color w:val="auto"/>
              </w:rPr>
              <w:t>PART II</w:t>
            </w: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520"/>
              <w:spacing w:after="0" w:line="143" w:lineRule="exact"/>
              <w:rPr>
                <w:sz w:val="20"/>
                <w:szCs w:val="20"/>
                <w:color w:val="auto"/>
              </w:rPr>
            </w:pPr>
            <w:r>
              <w:rPr>
                <w:rFonts w:ascii="Calibri" w:cs="Calibri" w:eastAsia="Calibri" w:hAnsi="Calibri"/>
                <w:sz w:val="13"/>
                <w:szCs w:val="13"/>
                <w:color w:val="auto"/>
              </w:rPr>
              <w:t>Item 5.</w:t>
            </w:r>
          </w:p>
        </w:tc>
        <w:tc>
          <w:tcPr>
            <w:tcW w:w="5040" w:type="dxa"/>
            <w:vAlign w:val="bottom"/>
            <w:gridSpan w:val="20"/>
          </w:tcPr>
          <w:p>
            <w:pPr>
              <w:spacing w:after="0"/>
              <w:rPr>
                <w:sz w:val="20"/>
                <w:szCs w:val="20"/>
                <w:color w:val="auto"/>
              </w:rPr>
            </w:pPr>
            <w:r>
              <w:rPr>
                <w:rFonts w:ascii="Calibri" w:cs="Calibri" w:eastAsia="Calibri" w:hAnsi="Calibri"/>
                <w:sz w:val="11"/>
                <w:szCs w:val="11"/>
                <w:color w:val="0000FF"/>
              </w:rPr>
              <w:t>Market for Registrant’s Common Equity, Related Stockholder Maters and Issuer Purchases of Equity Securites</w:t>
            </w:r>
          </w:p>
        </w:tc>
        <w:tc>
          <w:tcPr>
            <w:tcW w:w="2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17</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6.</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5040" w:type="dxa"/>
            <w:vAlign w:val="bottom"/>
            <w:gridSpan w:val="20"/>
          </w:tcPr>
          <w:p>
            <w:pPr>
              <w:spacing w:after="0"/>
              <w:rPr>
                <w:sz w:val="20"/>
                <w:szCs w:val="20"/>
                <w:color w:val="auto"/>
              </w:rPr>
            </w:pPr>
            <w:r>
              <w:rPr>
                <w:rFonts w:ascii="Calibri" w:cs="Calibri" w:eastAsia="Calibri" w:hAnsi="Calibri"/>
                <w:sz w:val="11"/>
                <w:szCs w:val="11"/>
                <w:color w:val="0000FF"/>
              </w:rPr>
              <w:t>Reserved</w:t>
            </w:r>
          </w:p>
        </w:tc>
        <w:tc>
          <w:tcPr>
            <w:tcW w:w="2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18</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7.</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4000" w:type="dxa"/>
            <w:vAlign w:val="bottom"/>
            <w:tcBorders>
              <w:bottom w:val="single" w:sz="8" w:color="0000FF"/>
            </w:tcBorders>
            <w:gridSpan w:val="17"/>
          </w:tcPr>
          <w:p>
            <w:pPr>
              <w:spacing w:after="0"/>
              <w:rPr>
                <w:sz w:val="20"/>
                <w:szCs w:val="20"/>
                <w:color w:val="auto"/>
              </w:rPr>
            </w:pPr>
            <w:r>
              <w:rPr>
                <w:rFonts w:ascii="Calibri" w:cs="Calibri" w:eastAsia="Calibri" w:hAnsi="Calibri"/>
                <w:sz w:val="11"/>
                <w:szCs w:val="11"/>
                <w:color w:val="0000FF"/>
              </w:rPr>
              <w:t>Management's Discussion and Analysis of Financial Conditon and Results of Operatons</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40" w:type="dxa"/>
            <w:vAlign w:val="bottom"/>
            <w:gridSpan w:val="2"/>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18</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line="150" w:lineRule="exact"/>
              <w:rPr>
                <w:sz w:val="20"/>
                <w:szCs w:val="20"/>
                <w:color w:val="auto"/>
              </w:rPr>
            </w:pPr>
            <w:r>
              <w:rPr>
                <w:rFonts w:ascii="Calibri" w:cs="Calibri" w:eastAsia="Calibri" w:hAnsi="Calibri"/>
                <w:sz w:val="13"/>
                <w:szCs w:val="13"/>
                <w:color w:val="auto"/>
              </w:rPr>
              <w:t>Item 7A.</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580" w:type="dxa"/>
            <w:vAlign w:val="bottom"/>
            <w:vMerge w:val="continue"/>
          </w:tcPr>
          <w:p>
            <w:pPr>
              <w:spacing w:after="0"/>
              <w:rPr>
                <w:sz w:val="12"/>
                <w:szCs w:val="12"/>
                <w:color w:val="auto"/>
              </w:rPr>
            </w:pPr>
          </w:p>
        </w:tc>
        <w:tc>
          <w:tcPr>
            <w:tcW w:w="4000" w:type="dxa"/>
            <w:vAlign w:val="bottom"/>
            <w:gridSpan w:val="17"/>
          </w:tcPr>
          <w:p>
            <w:pPr>
              <w:spacing w:after="0"/>
              <w:rPr>
                <w:sz w:val="20"/>
                <w:szCs w:val="20"/>
                <w:color w:val="auto"/>
              </w:rPr>
            </w:pPr>
            <w:r>
              <w:rPr>
                <w:rFonts w:ascii="Calibri" w:cs="Calibri" w:eastAsia="Calibri" w:hAnsi="Calibri"/>
                <w:sz w:val="11"/>
                <w:szCs w:val="11"/>
                <w:color w:val="0000FF"/>
              </w:rPr>
              <w:t>Quanttatve and Qualitatve Disclosures About Market Risk</w:t>
            </w:r>
          </w:p>
        </w:tc>
        <w:tc>
          <w:tcPr>
            <w:tcW w:w="3220" w:type="dxa"/>
            <w:vAlign w:val="bottom"/>
            <w:gridSpan w:val="4"/>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30</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8.</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120" w:type="dxa"/>
            <w:vAlign w:val="bottom"/>
            <w:gridSpan w:val="11"/>
          </w:tcPr>
          <w:p>
            <w:pPr>
              <w:spacing w:after="0"/>
              <w:rPr>
                <w:sz w:val="20"/>
                <w:szCs w:val="20"/>
                <w:color w:val="auto"/>
              </w:rPr>
            </w:pPr>
            <w:r>
              <w:rPr>
                <w:rFonts w:ascii="Calibri" w:cs="Calibri" w:eastAsia="Calibri" w:hAnsi="Calibri"/>
                <w:sz w:val="11"/>
                <w:szCs w:val="11"/>
                <w:color w:val="0000FF"/>
              </w:rPr>
              <w:t>Financial Statements and Supplementary Data</w:t>
            </w:r>
          </w:p>
        </w:tc>
        <w:tc>
          <w:tcPr>
            <w:tcW w:w="580" w:type="dxa"/>
            <w:vAlign w:val="bottom"/>
            <w:gridSpan w:val="3"/>
          </w:tcPr>
          <w:p>
            <w:pPr>
              <w:spacing w:after="0"/>
              <w:rPr>
                <w:sz w:val="13"/>
                <w:szCs w:val="13"/>
                <w:color w:val="auto"/>
              </w:rPr>
            </w:pPr>
          </w:p>
        </w:tc>
        <w:tc>
          <w:tcPr>
            <w:tcW w:w="4520" w:type="dxa"/>
            <w:vAlign w:val="bottom"/>
            <w:gridSpan w:val="7"/>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30</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9.</w:t>
            </w: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4040" w:type="dxa"/>
            <w:vAlign w:val="bottom"/>
            <w:gridSpan w:val="18"/>
          </w:tcPr>
          <w:p>
            <w:pPr>
              <w:spacing w:after="0"/>
              <w:rPr>
                <w:sz w:val="20"/>
                <w:szCs w:val="20"/>
                <w:color w:val="auto"/>
              </w:rPr>
            </w:pPr>
            <w:r>
              <w:rPr>
                <w:rFonts w:ascii="Calibri" w:cs="Calibri" w:eastAsia="Calibri" w:hAnsi="Calibri"/>
                <w:sz w:val="11"/>
                <w:szCs w:val="11"/>
                <w:color w:val="0000FF"/>
              </w:rPr>
              <w:t>Changes in and Disagreements with Accountants on Accountng and Financial Disclosure</w:t>
            </w:r>
          </w:p>
        </w:tc>
        <w:tc>
          <w:tcPr>
            <w:tcW w:w="3180" w:type="dxa"/>
            <w:vAlign w:val="bottom"/>
            <w:gridSpan w:val="3"/>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30</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9A.</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120" w:type="dxa"/>
            <w:vAlign w:val="bottom"/>
            <w:gridSpan w:val="8"/>
          </w:tcPr>
          <w:p>
            <w:pPr>
              <w:spacing w:after="0"/>
              <w:rPr>
                <w:sz w:val="20"/>
                <w:szCs w:val="20"/>
                <w:color w:val="auto"/>
              </w:rPr>
            </w:pPr>
            <w:r>
              <w:rPr>
                <w:rFonts w:ascii="Calibri" w:cs="Calibri" w:eastAsia="Calibri" w:hAnsi="Calibri"/>
                <w:sz w:val="11"/>
                <w:szCs w:val="11"/>
                <w:color w:val="0000FF"/>
                <w:w w:val="98"/>
              </w:rPr>
              <w:t>Controls and Procedures</w:t>
            </w:r>
          </w:p>
        </w:tc>
        <w:tc>
          <w:tcPr>
            <w:tcW w:w="2920" w:type="dxa"/>
            <w:vAlign w:val="bottom"/>
            <w:gridSpan w:val="10"/>
          </w:tcPr>
          <w:p>
            <w:pPr>
              <w:spacing w:after="0"/>
              <w:rPr>
                <w:sz w:val="13"/>
                <w:szCs w:val="13"/>
                <w:color w:val="auto"/>
              </w:rPr>
            </w:pPr>
          </w:p>
        </w:tc>
        <w:tc>
          <w:tcPr>
            <w:tcW w:w="3180" w:type="dxa"/>
            <w:vAlign w:val="bottom"/>
            <w:gridSpan w:val="3"/>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30</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9B.</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840" w:type="dxa"/>
            <w:vAlign w:val="bottom"/>
            <w:gridSpan w:val="5"/>
          </w:tcPr>
          <w:p>
            <w:pPr>
              <w:spacing w:after="0"/>
              <w:rPr>
                <w:sz w:val="20"/>
                <w:szCs w:val="20"/>
                <w:color w:val="auto"/>
              </w:rPr>
            </w:pPr>
            <w:r>
              <w:rPr>
                <w:rFonts w:ascii="Calibri" w:cs="Calibri" w:eastAsia="Calibri" w:hAnsi="Calibri"/>
                <w:sz w:val="11"/>
                <w:szCs w:val="11"/>
                <w:color w:val="0000FF"/>
              </w:rPr>
              <w:t>Other Informaton</w:t>
            </w:r>
          </w:p>
        </w:tc>
        <w:tc>
          <w:tcPr>
            <w:tcW w:w="280" w:type="dxa"/>
            <w:vAlign w:val="bottom"/>
            <w:gridSpan w:val="3"/>
          </w:tcPr>
          <w:p>
            <w:pPr>
              <w:spacing w:after="0"/>
              <w:rPr>
                <w:sz w:val="13"/>
                <w:szCs w:val="13"/>
                <w:color w:val="auto"/>
              </w:rPr>
            </w:pPr>
          </w:p>
        </w:tc>
        <w:tc>
          <w:tcPr>
            <w:tcW w:w="6100" w:type="dxa"/>
            <w:vAlign w:val="bottom"/>
            <w:gridSpan w:val="13"/>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31</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9C.</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7220" w:type="dxa"/>
            <w:vAlign w:val="bottom"/>
            <w:gridSpan w:val="21"/>
          </w:tcPr>
          <w:p>
            <w:pPr>
              <w:spacing w:after="0"/>
              <w:rPr>
                <w:sz w:val="20"/>
                <w:szCs w:val="20"/>
                <w:color w:val="auto"/>
              </w:rPr>
            </w:pPr>
            <w:r>
              <w:rPr>
                <w:rFonts w:ascii="Calibri" w:cs="Calibri" w:eastAsia="Calibri" w:hAnsi="Calibri"/>
                <w:sz w:val="11"/>
                <w:szCs w:val="11"/>
                <w:color w:val="0000FF"/>
              </w:rPr>
              <w:t>Disclosure Regarding Foreign Jurisdictons that Prevent Inspectons</w:t>
            </w:r>
          </w:p>
        </w:tc>
        <w:tc>
          <w:tcPr>
            <w:tcW w:w="2480" w:type="dxa"/>
            <w:vAlign w:val="bottom"/>
            <w:gridSpan w:val="3"/>
          </w:tcPr>
          <w:p>
            <w:pPr>
              <w:ind w:left="2120"/>
              <w:spacing w:after="0"/>
              <w:rPr>
                <w:sz w:val="20"/>
                <w:szCs w:val="20"/>
                <w:color w:val="auto"/>
              </w:rPr>
            </w:pPr>
            <w:r>
              <w:rPr>
                <w:rFonts w:ascii="Calibri" w:cs="Calibri" w:eastAsia="Calibri" w:hAnsi="Calibri"/>
                <w:sz w:val="11"/>
                <w:szCs w:val="11"/>
                <w:color w:val="0000FF"/>
              </w:rPr>
              <w:t>32</w:t>
            </w:r>
          </w:p>
        </w:tc>
        <w:tc>
          <w:tcPr>
            <w:tcW w:w="0" w:type="dxa"/>
            <w:vAlign w:val="bottom"/>
          </w:tcPr>
          <w:p>
            <w:pPr>
              <w:spacing w:after="0"/>
              <w:rPr>
                <w:sz w:val="1"/>
                <w:szCs w:val="1"/>
                <w:color w:val="auto"/>
              </w:rPr>
            </w:pPr>
          </w:p>
        </w:tc>
      </w:tr>
      <w:tr>
        <w:trPr>
          <w:trHeight w:val="294"/>
        </w:trPr>
        <w:tc>
          <w:tcPr>
            <w:tcW w:w="1580" w:type="dxa"/>
            <w:vAlign w:val="bottom"/>
          </w:tcPr>
          <w:p>
            <w:pPr>
              <w:ind w:left="520"/>
              <w:spacing w:after="0"/>
              <w:rPr>
                <w:sz w:val="20"/>
                <w:szCs w:val="20"/>
                <w:color w:val="auto"/>
              </w:rPr>
            </w:pPr>
            <w:r>
              <w:rPr>
                <w:rFonts w:ascii="Calibri" w:cs="Calibri" w:eastAsia="Calibri" w:hAnsi="Calibri"/>
                <w:sz w:val="11"/>
                <w:szCs w:val="11"/>
                <w:b w:val="1"/>
                <w:bCs w:val="1"/>
                <w:color w:val="auto"/>
              </w:rPr>
              <w:t>PART III</w:t>
            </w: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520"/>
              <w:spacing w:after="0" w:line="143" w:lineRule="exact"/>
              <w:rPr>
                <w:sz w:val="20"/>
                <w:szCs w:val="20"/>
                <w:color w:val="auto"/>
              </w:rPr>
            </w:pPr>
            <w:r>
              <w:rPr>
                <w:rFonts w:ascii="Calibri" w:cs="Calibri" w:eastAsia="Calibri" w:hAnsi="Calibri"/>
                <w:sz w:val="13"/>
                <w:szCs w:val="13"/>
                <w:color w:val="auto"/>
              </w:rPr>
              <w:t>Item 10.</w:t>
            </w:r>
          </w:p>
        </w:tc>
        <w:tc>
          <w:tcPr>
            <w:tcW w:w="2540" w:type="dxa"/>
            <w:vAlign w:val="bottom"/>
            <w:tcBorders>
              <w:bottom w:val="single" w:sz="8" w:color="0000FF"/>
            </w:tcBorders>
            <w:gridSpan w:val="13"/>
          </w:tcPr>
          <w:p>
            <w:pPr>
              <w:spacing w:after="0"/>
              <w:rPr>
                <w:sz w:val="20"/>
                <w:szCs w:val="20"/>
                <w:color w:val="auto"/>
              </w:rPr>
            </w:pPr>
            <w:r>
              <w:rPr>
                <w:rFonts w:ascii="Calibri" w:cs="Calibri" w:eastAsia="Calibri" w:hAnsi="Calibri"/>
                <w:sz w:val="11"/>
                <w:szCs w:val="11"/>
                <w:color w:val="0000FF"/>
              </w:rPr>
              <w:t>Directors, Executve Ofcers and Corporate Governance</w:t>
            </w:r>
          </w:p>
        </w:tc>
        <w:tc>
          <w:tcPr>
            <w:tcW w:w="900" w:type="dxa"/>
            <w:vAlign w:val="bottom"/>
            <w:gridSpan w:val="3"/>
          </w:tcPr>
          <w:p>
            <w:pPr>
              <w:spacing w:after="0"/>
              <w:rPr>
                <w:sz w:val="14"/>
                <w:szCs w:val="14"/>
                <w:color w:val="auto"/>
              </w:rPr>
            </w:pPr>
          </w:p>
        </w:tc>
        <w:tc>
          <w:tcPr>
            <w:tcW w:w="1140" w:type="dxa"/>
            <w:vAlign w:val="bottom"/>
            <w:gridSpan w:val="3"/>
          </w:tcPr>
          <w:p>
            <w:pPr>
              <w:spacing w:after="0"/>
              <w:rPr>
                <w:sz w:val="14"/>
                <w:szCs w:val="14"/>
                <w:color w:val="auto"/>
              </w:rPr>
            </w:pPr>
          </w:p>
        </w:tc>
        <w:tc>
          <w:tcPr>
            <w:tcW w:w="2640" w:type="dxa"/>
            <w:vAlign w:val="bottom"/>
            <w:gridSpan w:val="2"/>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32</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line="150" w:lineRule="exact"/>
              <w:rPr>
                <w:sz w:val="20"/>
                <w:szCs w:val="20"/>
                <w:color w:val="auto"/>
              </w:rPr>
            </w:pPr>
            <w:r>
              <w:rPr>
                <w:rFonts w:ascii="Calibri" w:cs="Calibri" w:eastAsia="Calibri" w:hAnsi="Calibri"/>
                <w:sz w:val="13"/>
                <w:szCs w:val="13"/>
                <w:color w:val="auto"/>
              </w:rPr>
              <w:t>Item 11.</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580" w:type="dxa"/>
            <w:vAlign w:val="bottom"/>
            <w:vMerge w:val="continue"/>
          </w:tcPr>
          <w:p>
            <w:pPr>
              <w:spacing w:after="0"/>
              <w:rPr>
                <w:sz w:val="12"/>
                <w:szCs w:val="12"/>
                <w:color w:val="auto"/>
              </w:rPr>
            </w:pPr>
          </w:p>
        </w:tc>
        <w:tc>
          <w:tcPr>
            <w:tcW w:w="1120" w:type="dxa"/>
            <w:vAlign w:val="bottom"/>
            <w:tcBorders>
              <w:bottom w:val="single" w:sz="8" w:color="0000FF"/>
            </w:tcBorders>
            <w:gridSpan w:val="8"/>
          </w:tcPr>
          <w:p>
            <w:pPr>
              <w:spacing w:after="0"/>
              <w:rPr>
                <w:sz w:val="20"/>
                <w:szCs w:val="20"/>
                <w:color w:val="auto"/>
              </w:rPr>
            </w:pPr>
            <w:r>
              <w:rPr>
                <w:rFonts w:ascii="Calibri" w:cs="Calibri" w:eastAsia="Calibri" w:hAnsi="Calibri"/>
                <w:sz w:val="11"/>
                <w:szCs w:val="11"/>
                <w:color w:val="0000FF"/>
              </w:rPr>
              <w:t>Executve Compensaton</w:t>
            </w:r>
          </w:p>
        </w:tc>
        <w:tc>
          <w:tcPr>
            <w:tcW w:w="660" w:type="dxa"/>
            <w:vAlign w:val="bottom"/>
            <w:gridSpan w:val="2"/>
          </w:tcPr>
          <w:p>
            <w:pPr>
              <w:spacing w:after="0"/>
              <w:rPr>
                <w:sz w:val="12"/>
                <w:szCs w:val="12"/>
                <w:color w:val="auto"/>
              </w:rPr>
            </w:pPr>
          </w:p>
        </w:tc>
        <w:tc>
          <w:tcPr>
            <w:tcW w:w="5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spacing w:after="0"/>
              <w:rPr>
                <w:sz w:val="12"/>
                <w:szCs w:val="12"/>
                <w:color w:val="auto"/>
              </w:rPr>
            </w:pPr>
          </w:p>
        </w:tc>
        <w:tc>
          <w:tcPr>
            <w:tcW w:w="1140" w:type="dxa"/>
            <w:vAlign w:val="bottom"/>
            <w:gridSpan w:val="3"/>
          </w:tcPr>
          <w:p>
            <w:pPr>
              <w:spacing w:after="0"/>
              <w:rPr>
                <w:sz w:val="12"/>
                <w:szCs w:val="12"/>
                <w:color w:val="auto"/>
              </w:rPr>
            </w:pPr>
          </w:p>
        </w:tc>
        <w:tc>
          <w:tcPr>
            <w:tcW w:w="2640" w:type="dxa"/>
            <w:vAlign w:val="bottom"/>
            <w:gridSpan w:val="2"/>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32</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line="150" w:lineRule="exact"/>
              <w:rPr>
                <w:sz w:val="20"/>
                <w:szCs w:val="20"/>
                <w:color w:val="auto"/>
              </w:rPr>
            </w:pPr>
            <w:r>
              <w:rPr>
                <w:rFonts w:ascii="Calibri" w:cs="Calibri" w:eastAsia="Calibri" w:hAnsi="Calibri"/>
                <w:sz w:val="13"/>
                <w:szCs w:val="13"/>
                <w:color w:val="auto"/>
              </w:rPr>
              <w:t>Item 12.</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580" w:type="dxa"/>
            <w:vAlign w:val="bottom"/>
            <w:vMerge w:val="continue"/>
          </w:tcPr>
          <w:p>
            <w:pPr>
              <w:spacing w:after="0"/>
              <w:rPr>
                <w:sz w:val="12"/>
                <w:szCs w:val="12"/>
                <w:color w:val="auto"/>
              </w:rPr>
            </w:pPr>
          </w:p>
        </w:tc>
        <w:tc>
          <w:tcPr>
            <w:tcW w:w="7220" w:type="dxa"/>
            <w:vAlign w:val="bottom"/>
            <w:gridSpan w:val="21"/>
          </w:tcPr>
          <w:p>
            <w:pPr>
              <w:spacing w:after="0"/>
              <w:rPr>
                <w:sz w:val="20"/>
                <w:szCs w:val="20"/>
                <w:color w:val="auto"/>
              </w:rPr>
            </w:pPr>
            <w:r>
              <w:rPr>
                <w:rFonts w:ascii="Calibri" w:cs="Calibri" w:eastAsia="Calibri" w:hAnsi="Calibri"/>
                <w:sz w:val="11"/>
                <w:szCs w:val="11"/>
                <w:color w:val="0000FF"/>
              </w:rPr>
              <w:t>Security Ownership of Certain Benefcial Owners and Management and Related Stockholder Maters</w:t>
            </w:r>
          </w:p>
        </w:tc>
        <w:tc>
          <w:tcPr>
            <w:tcW w:w="2480" w:type="dxa"/>
            <w:vAlign w:val="bottom"/>
            <w:gridSpan w:val="3"/>
          </w:tcPr>
          <w:p>
            <w:pPr>
              <w:ind w:left="2120"/>
              <w:spacing w:after="0"/>
              <w:rPr>
                <w:sz w:val="20"/>
                <w:szCs w:val="20"/>
                <w:color w:val="auto"/>
              </w:rPr>
            </w:pPr>
            <w:r>
              <w:rPr>
                <w:rFonts w:ascii="Calibri" w:cs="Calibri" w:eastAsia="Calibri" w:hAnsi="Calibri"/>
                <w:sz w:val="11"/>
                <w:szCs w:val="11"/>
                <w:color w:val="0000FF"/>
              </w:rPr>
              <w:t>32</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13.</w:t>
            </w: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4580" w:type="dxa"/>
            <w:vAlign w:val="bottom"/>
            <w:gridSpan w:val="19"/>
          </w:tcPr>
          <w:p>
            <w:pPr>
              <w:spacing w:after="0"/>
              <w:rPr>
                <w:sz w:val="20"/>
                <w:szCs w:val="20"/>
                <w:color w:val="auto"/>
              </w:rPr>
            </w:pPr>
            <w:r>
              <w:rPr>
                <w:rFonts w:ascii="Calibri" w:cs="Calibri" w:eastAsia="Calibri" w:hAnsi="Calibri"/>
                <w:sz w:val="11"/>
                <w:szCs w:val="11"/>
                <w:color w:val="0000FF"/>
              </w:rPr>
              <w:t>Certain Relatonships and Related Transactons, and Director Independence</w:t>
            </w:r>
          </w:p>
        </w:tc>
        <w:tc>
          <w:tcPr>
            <w:tcW w:w="2640" w:type="dxa"/>
            <w:vAlign w:val="bottom"/>
            <w:gridSpan w:val="2"/>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32</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14.</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80" w:type="dxa"/>
            <w:vAlign w:val="bottom"/>
            <w:vMerge w:val="continue"/>
          </w:tcPr>
          <w:p>
            <w:pPr>
              <w:spacing w:after="0"/>
              <w:rPr>
                <w:sz w:val="15"/>
                <w:szCs w:val="15"/>
                <w:color w:val="auto"/>
              </w:rPr>
            </w:pPr>
          </w:p>
        </w:tc>
        <w:tc>
          <w:tcPr>
            <w:tcW w:w="1780" w:type="dxa"/>
            <w:vAlign w:val="bottom"/>
            <w:tcBorders>
              <w:bottom w:val="single" w:sz="8" w:color="0000FF"/>
            </w:tcBorders>
            <w:gridSpan w:val="10"/>
          </w:tcPr>
          <w:p>
            <w:pPr>
              <w:spacing w:after="0"/>
              <w:rPr>
                <w:sz w:val="20"/>
                <w:szCs w:val="20"/>
                <w:color w:val="auto"/>
              </w:rPr>
            </w:pPr>
            <w:r>
              <w:rPr>
                <w:rFonts w:ascii="Calibri" w:cs="Calibri" w:eastAsia="Calibri" w:hAnsi="Calibri"/>
                <w:sz w:val="11"/>
                <w:szCs w:val="11"/>
                <w:color w:val="0000FF"/>
              </w:rPr>
              <w:t>Principal Accountant Fees and Services</w:t>
            </w:r>
          </w:p>
        </w:tc>
        <w:tc>
          <w:tcPr>
            <w:tcW w:w="560" w:type="dxa"/>
            <w:vAlign w:val="bottom"/>
            <w:gridSpan w:val="2"/>
          </w:tcPr>
          <w:p>
            <w:pPr>
              <w:spacing w:after="0"/>
              <w:rPr>
                <w:sz w:val="15"/>
                <w:szCs w:val="15"/>
                <w:color w:val="auto"/>
              </w:rPr>
            </w:pPr>
          </w:p>
        </w:tc>
        <w:tc>
          <w:tcPr>
            <w:tcW w:w="1100" w:type="dxa"/>
            <w:vAlign w:val="bottom"/>
            <w:gridSpan w:val="4"/>
          </w:tcPr>
          <w:p>
            <w:pPr>
              <w:spacing w:after="0"/>
              <w:rPr>
                <w:sz w:val="15"/>
                <w:szCs w:val="15"/>
                <w:color w:val="auto"/>
              </w:rPr>
            </w:pPr>
          </w:p>
        </w:tc>
        <w:tc>
          <w:tcPr>
            <w:tcW w:w="3780" w:type="dxa"/>
            <w:vAlign w:val="bottom"/>
            <w:gridSpan w:val="5"/>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32</w:t>
            </w:r>
          </w:p>
        </w:tc>
        <w:tc>
          <w:tcPr>
            <w:tcW w:w="0" w:type="dxa"/>
            <w:vAlign w:val="bottom"/>
          </w:tcPr>
          <w:p>
            <w:pPr>
              <w:spacing w:after="0"/>
              <w:rPr>
                <w:sz w:val="1"/>
                <w:szCs w:val="1"/>
                <w:color w:val="auto"/>
              </w:rPr>
            </w:pPr>
          </w:p>
        </w:tc>
      </w:tr>
      <w:tr>
        <w:trPr>
          <w:trHeight w:val="328"/>
        </w:trPr>
        <w:tc>
          <w:tcPr>
            <w:tcW w:w="1580" w:type="dxa"/>
            <w:vAlign w:val="bottom"/>
          </w:tcPr>
          <w:p>
            <w:pPr>
              <w:ind w:left="520"/>
              <w:spacing w:after="0"/>
              <w:rPr>
                <w:sz w:val="20"/>
                <w:szCs w:val="20"/>
                <w:color w:val="auto"/>
              </w:rPr>
            </w:pPr>
            <w:r>
              <w:rPr>
                <w:rFonts w:ascii="Calibri" w:cs="Calibri" w:eastAsia="Calibri" w:hAnsi="Calibri"/>
                <w:sz w:val="11"/>
                <w:szCs w:val="11"/>
                <w:b w:val="1"/>
                <w:bCs w:val="1"/>
                <w:color w:val="auto"/>
              </w:rPr>
              <w:t>PART IV</w:t>
            </w: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520"/>
              <w:spacing w:after="0" w:line="143" w:lineRule="exact"/>
              <w:rPr>
                <w:sz w:val="20"/>
                <w:szCs w:val="20"/>
                <w:color w:val="auto"/>
              </w:rPr>
            </w:pPr>
            <w:r>
              <w:rPr>
                <w:rFonts w:ascii="Calibri" w:cs="Calibri" w:eastAsia="Calibri" w:hAnsi="Calibri"/>
                <w:sz w:val="13"/>
                <w:szCs w:val="13"/>
                <w:color w:val="auto"/>
              </w:rPr>
              <w:t>Item 15.</w:t>
            </w:r>
          </w:p>
        </w:tc>
        <w:tc>
          <w:tcPr>
            <w:tcW w:w="2340" w:type="dxa"/>
            <w:vAlign w:val="bottom"/>
            <w:gridSpan w:val="12"/>
          </w:tcPr>
          <w:p>
            <w:pPr>
              <w:spacing w:after="0"/>
              <w:rPr>
                <w:sz w:val="20"/>
                <w:szCs w:val="20"/>
                <w:color w:val="auto"/>
              </w:rPr>
            </w:pPr>
            <w:r>
              <w:rPr>
                <w:rFonts w:ascii="Calibri" w:cs="Calibri" w:eastAsia="Calibri" w:hAnsi="Calibri"/>
                <w:sz w:val="11"/>
                <w:szCs w:val="11"/>
                <w:color w:val="0000FF"/>
              </w:rPr>
              <w:t>Item 15. Exhibit and Financial Statement Schedules</w:t>
            </w:r>
          </w:p>
        </w:tc>
        <w:tc>
          <w:tcPr>
            <w:tcW w:w="4880" w:type="dxa"/>
            <w:vAlign w:val="bottom"/>
            <w:gridSpan w:val="9"/>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33</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520"/>
              <w:spacing w:after="0"/>
              <w:rPr>
                <w:sz w:val="20"/>
                <w:szCs w:val="20"/>
                <w:color w:val="auto"/>
              </w:rPr>
            </w:pPr>
            <w:r>
              <w:rPr>
                <w:rFonts w:ascii="Calibri" w:cs="Calibri" w:eastAsia="Calibri" w:hAnsi="Calibri"/>
                <w:sz w:val="13"/>
                <w:szCs w:val="13"/>
                <w:color w:val="auto"/>
              </w:rPr>
              <w:t>Item 16.</w:t>
            </w: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940" w:type="dxa"/>
            <w:vAlign w:val="bottom"/>
            <w:tcBorders>
              <w:bottom w:val="single" w:sz="8" w:color="0000FF"/>
            </w:tcBorders>
            <w:gridSpan w:val="6"/>
          </w:tcPr>
          <w:p>
            <w:pPr>
              <w:spacing w:after="0"/>
              <w:rPr>
                <w:sz w:val="20"/>
                <w:szCs w:val="20"/>
                <w:color w:val="auto"/>
              </w:rPr>
            </w:pPr>
            <w:r>
              <w:rPr>
                <w:rFonts w:ascii="Calibri" w:cs="Calibri" w:eastAsia="Calibri" w:hAnsi="Calibri"/>
                <w:sz w:val="11"/>
                <w:szCs w:val="11"/>
                <w:color w:val="0000FF"/>
              </w:rPr>
              <w:t>Form 10-K Summary</w:t>
            </w:r>
          </w:p>
        </w:tc>
        <w:tc>
          <w:tcPr>
            <w:tcW w:w="1400" w:type="dxa"/>
            <w:vAlign w:val="bottom"/>
            <w:gridSpan w:val="6"/>
          </w:tcPr>
          <w:p>
            <w:pPr>
              <w:spacing w:after="0"/>
              <w:rPr>
                <w:sz w:val="13"/>
                <w:szCs w:val="13"/>
                <w:color w:val="auto"/>
              </w:rPr>
            </w:pPr>
          </w:p>
        </w:tc>
        <w:tc>
          <w:tcPr>
            <w:tcW w:w="4880" w:type="dxa"/>
            <w:vAlign w:val="bottom"/>
            <w:gridSpan w:val="9"/>
          </w:tcPr>
          <w:p>
            <w:pPr>
              <w:spacing w:after="0"/>
              <w:rPr>
                <w:sz w:val="13"/>
                <w:szCs w:val="13"/>
                <w:color w:val="auto"/>
              </w:rPr>
            </w:pPr>
          </w:p>
        </w:tc>
        <w:tc>
          <w:tcPr>
            <w:tcW w:w="2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34</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6280" w:type="dxa"/>
            <w:vAlign w:val="bottom"/>
            <w:gridSpan w:val="15"/>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580" w:type="dxa"/>
            <w:vAlign w:val="bottom"/>
          </w:tcPr>
          <w:p>
            <w:pPr>
              <w:spacing w:after="0"/>
              <w:rPr>
                <w:sz w:val="12"/>
                <w:szCs w:val="12"/>
                <w:color w:val="auto"/>
              </w:rPr>
            </w:pPr>
          </w:p>
        </w:tc>
        <w:tc>
          <w:tcPr>
            <w:tcW w:w="940" w:type="dxa"/>
            <w:vAlign w:val="bottom"/>
            <w:gridSpan w:val="6"/>
          </w:tcPr>
          <w:p>
            <w:pPr>
              <w:spacing w:after="0"/>
              <w:rPr>
                <w:sz w:val="20"/>
                <w:szCs w:val="20"/>
                <w:color w:val="auto"/>
              </w:rPr>
            </w:pPr>
            <w:r>
              <w:rPr>
                <w:rFonts w:ascii="Calibri" w:cs="Calibri" w:eastAsia="Calibri" w:hAnsi="Calibri"/>
                <w:sz w:val="11"/>
                <w:szCs w:val="11"/>
                <w:color w:val="0000FF"/>
              </w:rPr>
              <w:t>Signatures</w:t>
            </w:r>
          </w:p>
        </w:tc>
        <w:tc>
          <w:tcPr>
            <w:tcW w:w="6280" w:type="dxa"/>
            <w:vAlign w:val="bottom"/>
            <w:gridSpan w:val="15"/>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Calibri" w:cs="Calibri" w:eastAsia="Calibri" w:hAnsi="Calibri"/>
                <w:sz w:val="11"/>
                <w:szCs w:val="11"/>
                <w:color w:val="0000FF"/>
              </w:rPr>
              <w:t>35</w:t>
            </w:r>
          </w:p>
        </w:tc>
        <w:tc>
          <w:tcPr>
            <w:tcW w:w="0" w:type="dxa"/>
            <w:vAlign w:val="bottom"/>
          </w:tcPr>
          <w:p>
            <w:pPr>
              <w:spacing w:after="0"/>
              <w:rPr>
                <w:sz w:val="1"/>
                <w:szCs w:val="1"/>
                <w:color w:val="auto"/>
              </w:rPr>
            </w:pPr>
          </w:p>
        </w:tc>
      </w:tr>
      <w:tr>
        <w:trPr>
          <w:trHeight w:val="968"/>
        </w:trPr>
        <w:tc>
          <w:tcPr>
            <w:tcW w:w="158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3" w:right="31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6"/>
          <w:szCs w:val="16"/>
          <w:b w:val="1"/>
          <w:bCs w:val="1"/>
          <w:color w:val="auto"/>
        </w:rPr>
        <w:t>FORWARD LOOKING STATEMENTS</w:t>
      </w:r>
    </w:p>
    <w:p>
      <w:pPr>
        <w:spacing w:after="0" w:line="173" w:lineRule="exact"/>
        <w:rPr>
          <w:sz w:val="20"/>
          <w:szCs w:val="20"/>
          <w:color w:val="auto"/>
        </w:rPr>
      </w:pPr>
    </w:p>
    <w:p>
      <w:pPr>
        <w:ind w:right="80" w:firstLine="509"/>
        <w:spacing w:after="0" w:line="242" w:lineRule="auto"/>
        <w:rPr>
          <w:sz w:val="20"/>
          <w:szCs w:val="20"/>
          <w:color w:val="auto"/>
        </w:rPr>
      </w:pPr>
      <w:r>
        <w:rPr>
          <w:rFonts w:ascii="Calibri" w:cs="Calibri" w:eastAsia="Calibri" w:hAnsi="Calibri"/>
          <w:sz w:val="11"/>
          <w:szCs w:val="11"/>
          <w:color w:val="auto"/>
        </w:rPr>
        <w:t>This annual report on Form 10-K contains forward-looking statements within the meaning of the federal securites laws, including the Private Securites Litgaton Reform Act of 1995, which statements involve substantal risks and uncertaintes. Forward-looking statements generally relate to future events or our future fnancial or operatng performance. In some cases, you can identfy forward-looking statements because they contain words such as “may”, “will”, “should”, “expects”, “plans”, “antcipates”, “could”, “intends”, “target”, “projects”, “contemplates”, “believes”, “estmates”, “predicts”, “potental” or “contnue” or the negatve of these words or other similar terms or expressions that concern our expectatons, strategy, plans or intentons. Forward-looking statements involve known and unknown risks, uncertaintes and other important factors that may cause our actual results, performance or achievements to be materially diferent from any future results, performance or achievements expressed or implied by the forward-looking statements. We believe that these factors include, but are not limited to, the following:</w:t>
      </w:r>
    </w:p>
    <w:p>
      <w:pPr>
        <w:spacing w:after="0" w:line="87" w:lineRule="exact"/>
        <w:rPr>
          <w:sz w:val="20"/>
          <w:szCs w:val="20"/>
          <w:color w:val="auto"/>
        </w:rPr>
      </w:pPr>
    </w:p>
    <w:p>
      <w:pPr>
        <w:ind w:left="520" w:right="80" w:hanging="260"/>
        <w:spacing w:after="0"/>
        <w:tabs>
          <w:tab w:leader="none" w:pos="512" w:val="left"/>
        </w:tabs>
        <w:numPr>
          <w:ilvl w:val="0"/>
          <w:numId w:val="3"/>
        </w:numPr>
        <w:rPr>
          <w:rFonts w:ascii="Calibri" w:cs="Calibri" w:eastAsia="Calibri" w:hAnsi="Calibri"/>
          <w:sz w:val="11"/>
          <w:szCs w:val="11"/>
          <w:color w:val="auto"/>
        </w:rPr>
      </w:pPr>
      <w:r>
        <w:rPr>
          <w:rFonts w:ascii="Calibri" w:cs="Calibri" w:eastAsia="Calibri" w:hAnsi="Calibri"/>
          <w:sz w:val="11"/>
          <w:szCs w:val="11"/>
          <w:color w:val="auto"/>
        </w:rPr>
        <w:t>Risks related to our business, including: limitatons regarding the supply of avocados, either through purchasing or growing; fuctuatons in the market price of avocados; increasing competton; risks associated with doing business internatonally, including Mexican and Peruvian economic, politcal and/or societal conditons; infatonary pressures; loss of one or more of our largest customers; general economic conditons or downturns; supply chain failures or disruptons; disrupton to the supply of reliable and cost-efectve transportaton; failure to recruit or retain employees, poor employee relatons, and/or inefectve organizatonal structure; inherent farming risks; seasonality in operatng results; failures associated with informaton technology infrastructure, system security and cyber risks; new and changing privacy laws and our compliance with such laws; food safety events and recalls; failure to comply with laws and regulatons, including those promulgated by the USDA and FDA, health and safety laws, environmental laws, and other laws and regulatons; changes to trade policy and/or export/import laws and regulatons; risks from business acquisitons, if any; lack of or failure of infrastructure; material litgaton or governmental inquiries/actons; failure to maintain or protect our brand; changes in tax rates or internatonal tax legislaton; and risks associated with the ongoing confict in Russia and Ukraine.</w:t>
      </w:r>
    </w:p>
    <w:p>
      <w:pPr>
        <w:spacing w:after="0" w:line="223" w:lineRule="exact"/>
        <w:rPr>
          <w:rFonts w:ascii="Calibri" w:cs="Calibri" w:eastAsia="Calibri" w:hAnsi="Calibri"/>
          <w:sz w:val="11"/>
          <w:szCs w:val="11"/>
          <w:color w:val="auto"/>
        </w:rPr>
      </w:pPr>
    </w:p>
    <w:p>
      <w:pPr>
        <w:ind w:left="520" w:hanging="260"/>
        <w:spacing w:after="0" w:line="246" w:lineRule="auto"/>
        <w:tabs>
          <w:tab w:leader="none" w:pos="512" w:val="left"/>
        </w:tabs>
        <w:numPr>
          <w:ilvl w:val="0"/>
          <w:numId w:val="3"/>
        </w:numPr>
        <w:rPr>
          <w:rFonts w:ascii="Calibri" w:cs="Calibri" w:eastAsia="Calibri" w:hAnsi="Calibri"/>
          <w:sz w:val="11"/>
          <w:szCs w:val="11"/>
          <w:color w:val="auto"/>
        </w:rPr>
      </w:pPr>
      <w:r>
        <w:rPr>
          <w:rFonts w:ascii="Calibri" w:cs="Calibri" w:eastAsia="Calibri" w:hAnsi="Calibri"/>
          <w:sz w:val="11"/>
          <w:szCs w:val="11"/>
          <w:color w:val="auto"/>
        </w:rPr>
        <w:t>Risks related to our common stock, including: the viability of an actve, liquid, and orderly market for our common stock; volatlity in the trading price of our common stock; concentraton of control in our executve ofcers, directors and principal stockholders over maters submited to stockholders for approval; limited sources of capital appreciaton; signifcant costs associated with being a public company and the allocaton of signifcant management resources thereto; reliance on analyst reports; failure to maintain proper and efectve internal control over fnancial reportng; restrictons on takeover atempts in our charter documents and under Delaware law; and the selecton of Delaware as the exclusive forum for substantally all disputes between us and our stockholders.</w:t>
      </w:r>
    </w:p>
    <w:p>
      <w:pPr>
        <w:spacing w:after="0" w:line="75" w:lineRule="exact"/>
        <w:rPr>
          <w:rFonts w:ascii="Calibri" w:cs="Calibri" w:eastAsia="Calibri" w:hAnsi="Calibri"/>
          <w:sz w:val="11"/>
          <w:szCs w:val="11"/>
          <w:color w:val="auto"/>
        </w:rPr>
      </w:pPr>
    </w:p>
    <w:p>
      <w:pPr>
        <w:ind w:left="520" w:right="100" w:hanging="260"/>
        <w:spacing w:after="0" w:line="247" w:lineRule="auto"/>
        <w:tabs>
          <w:tab w:leader="none" w:pos="512" w:val="left"/>
        </w:tabs>
        <w:numPr>
          <w:ilvl w:val="0"/>
          <w:numId w:val="3"/>
        </w:numPr>
        <w:rPr>
          <w:rFonts w:ascii="Calibri" w:cs="Calibri" w:eastAsia="Calibri" w:hAnsi="Calibri"/>
          <w:sz w:val="11"/>
          <w:szCs w:val="11"/>
          <w:color w:val="auto"/>
        </w:rPr>
      </w:pPr>
      <w:r>
        <w:rPr>
          <w:rFonts w:ascii="Calibri" w:cs="Calibri" w:eastAsia="Calibri" w:hAnsi="Calibri"/>
          <w:sz w:val="11"/>
          <w:szCs w:val="11"/>
          <w:color w:val="auto"/>
        </w:rPr>
        <w:t>Risks related to restrictve covenants under our credit facility, which could afect our fexibility to fund ongoing operatons, uses of capital and strategic initatves, and, if we are unable to maintain compliance with such covenants, lead to signifcant challenges in meetng our liquidity requirements and acceleraton of our debt.</w:t>
      </w:r>
    </w:p>
    <w:p>
      <w:pPr>
        <w:spacing w:after="0" w:line="159" w:lineRule="exact"/>
        <w:rPr>
          <w:sz w:val="20"/>
          <w:szCs w:val="20"/>
          <w:color w:val="auto"/>
        </w:rPr>
      </w:pPr>
    </w:p>
    <w:p>
      <w:pPr>
        <w:ind w:right="60" w:firstLine="509"/>
        <w:spacing w:after="0" w:line="242" w:lineRule="auto"/>
        <w:rPr>
          <w:sz w:val="20"/>
          <w:szCs w:val="20"/>
          <w:color w:val="auto"/>
        </w:rPr>
      </w:pPr>
      <w:r>
        <w:rPr>
          <w:rFonts w:ascii="Calibri" w:cs="Calibri" w:eastAsia="Calibri" w:hAnsi="Calibri"/>
          <w:sz w:val="11"/>
          <w:szCs w:val="11"/>
          <w:color w:val="auto"/>
        </w:rPr>
        <w:t>We have based the forward-looking statements contained in this report primarily on our current expectatons and projectons about future events and trends that we believe may afect our business, fnancial conditon, results of operatons, prospects, business strategy and fnancial needs. The outcome of the events described in these forward-looking statements is subject to risks, uncertaintes, assumptons and other factors described in “Item 1A. Risk Factors” and elsewhere in this report. These risks are not exhaustve. Other sectons of this report include additonal factors that could adversely impact our business and fnancial performance. Furthermore, new risks and uncertaintes emerge from tme to tme and it is not possible for us to predict all risks and uncertaintes that could have an impact on the forward-looking statements contained in this report. We cannot assure you that the results, events and circumstances refected in the forward-looking statements will be achieved or occur, and actual results, events or circumstances could difer materially from those described in the forward-looking statements.</w:t>
      </w:r>
    </w:p>
    <w:p>
      <w:pPr>
        <w:spacing w:after="0" w:line="151" w:lineRule="exact"/>
        <w:rPr>
          <w:sz w:val="20"/>
          <w:szCs w:val="20"/>
          <w:color w:val="auto"/>
        </w:rPr>
      </w:pPr>
    </w:p>
    <w:p>
      <w:pPr>
        <w:ind w:right="140" w:firstLine="509"/>
        <w:spacing w:after="0" w:line="247" w:lineRule="auto"/>
        <w:rPr>
          <w:sz w:val="20"/>
          <w:szCs w:val="20"/>
          <w:color w:val="auto"/>
        </w:rPr>
      </w:pPr>
      <w:r>
        <w:rPr>
          <w:rFonts w:ascii="Calibri" w:cs="Calibri" w:eastAsia="Calibri" w:hAnsi="Calibri"/>
          <w:sz w:val="11"/>
          <w:szCs w:val="11"/>
          <w:color w:val="auto"/>
        </w:rPr>
        <w:t>In additon, statements that “we believe” and similar statements refect our beliefs and opinions on the relevant subject. These statements are based upon informaton available to us as of the date of this report, and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investors are cautoned not to unduly rely upon these statements.</w:t>
      </w:r>
    </w:p>
    <w:p>
      <w:pPr>
        <w:spacing w:after="0" w:line="148" w:lineRule="exact"/>
        <w:rPr>
          <w:sz w:val="20"/>
          <w:szCs w:val="20"/>
          <w:color w:val="auto"/>
        </w:rPr>
      </w:pPr>
    </w:p>
    <w:p>
      <w:pPr>
        <w:ind w:right="420" w:firstLine="509"/>
        <w:spacing w:after="0" w:line="247" w:lineRule="auto"/>
        <w:rPr>
          <w:sz w:val="20"/>
          <w:szCs w:val="20"/>
          <w:color w:val="auto"/>
        </w:rPr>
      </w:pPr>
      <w:r>
        <w:rPr>
          <w:rFonts w:ascii="Calibri" w:cs="Calibri" w:eastAsia="Calibri" w:hAnsi="Calibri"/>
          <w:sz w:val="11"/>
          <w:szCs w:val="11"/>
          <w:color w:val="auto"/>
        </w:rPr>
        <w:t>You should read this report, including documents that we reference and exhibits that have been fled, in this report and have fled as exhibits to this report, with the understanding that our actual future results, levels of actvity, performance and achievements may be materially diferent from what we expect. We qualify all of our forward-looking statements by these cautonary statements.</w:t>
      </w:r>
    </w:p>
    <w:p>
      <w:pPr>
        <w:spacing w:after="0" w:line="159" w:lineRule="exact"/>
        <w:rPr>
          <w:sz w:val="20"/>
          <w:szCs w:val="20"/>
          <w:color w:val="auto"/>
        </w:rPr>
      </w:pPr>
    </w:p>
    <w:p>
      <w:pPr>
        <w:ind w:right="280" w:firstLine="509"/>
        <w:spacing w:after="0" w:line="234" w:lineRule="auto"/>
        <w:rPr>
          <w:sz w:val="20"/>
          <w:szCs w:val="20"/>
          <w:color w:val="auto"/>
        </w:rPr>
      </w:pPr>
      <w:r>
        <w:rPr>
          <w:rFonts w:ascii="Calibri" w:cs="Calibri" w:eastAsia="Calibri" w:hAnsi="Calibri"/>
          <w:sz w:val="11"/>
          <w:szCs w:val="11"/>
          <w:color w:val="auto"/>
        </w:rPr>
        <w:t>The forward-looking statements made in this report relate only to events as of the date on which such statements are made. We undertake no obligaton to update any forward-looking statements afer the date of this report or to conform such statements to actual results or revised expectatons, except as required by law.</w:t>
      </w:r>
    </w:p>
    <w:p>
      <w:pPr>
        <w:spacing w:after="0" w:line="163" w:lineRule="exact"/>
        <w:rPr>
          <w:sz w:val="20"/>
          <w:szCs w:val="20"/>
          <w:color w:val="auto"/>
        </w:rPr>
      </w:pPr>
    </w:p>
    <w:p>
      <w:pPr>
        <w:jc w:val="both"/>
        <w:ind w:right="120" w:firstLine="509"/>
        <w:spacing w:after="0" w:line="238" w:lineRule="auto"/>
        <w:rPr>
          <w:sz w:val="20"/>
          <w:szCs w:val="20"/>
          <w:color w:val="auto"/>
        </w:rPr>
      </w:pPr>
      <w:r>
        <w:rPr>
          <w:rFonts w:ascii="Calibri" w:cs="Calibri" w:eastAsia="Calibri" w:hAnsi="Calibri"/>
          <w:sz w:val="11"/>
          <w:szCs w:val="11"/>
          <w:color w:val="auto"/>
        </w:rPr>
        <w:t>This annual report may also include trademarks, tradenames and service marks that are the property of the Company and also certain trademarks, tradenames and service marks that are the property of other organizatons.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63" w:lineRule="exact"/>
        <w:rPr>
          <w:sz w:val="20"/>
          <w:szCs w:val="20"/>
          <w:color w:val="auto"/>
        </w:rPr>
      </w:pPr>
    </w:p>
    <w:p>
      <w:pPr>
        <w:ind w:right="20" w:firstLine="509"/>
        <w:spacing w:after="0" w:line="247" w:lineRule="auto"/>
        <w:rPr>
          <w:sz w:val="20"/>
          <w:szCs w:val="20"/>
          <w:color w:val="auto"/>
        </w:rPr>
      </w:pPr>
      <w:r>
        <w:rPr>
          <w:rFonts w:ascii="Calibri" w:cs="Calibri" w:eastAsia="Calibri" w:hAnsi="Calibri"/>
          <w:sz w:val="11"/>
          <w:szCs w:val="11"/>
          <w:color w:val="auto"/>
        </w:rPr>
        <w:t>We maintain a website at www.missionproduce.com, to which we regularly post copies of our press releases as well as additonal informaton about us. Our flings with the Securites and Exchange Commission (“SEC”), are available free of charge through our website as soon as reasonably practcable afer being electronically fled with or furnished to the SEC. Informaton contained in our website does not consttute a part of this report or our other flings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18"/>
          <w:szCs w:val="18"/>
          <w:b w:val="1"/>
          <w:bCs w:val="1"/>
          <w:color w:val="auto"/>
        </w:rPr>
        <w:t>PART I</w:t>
      </w:r>
    </w:p>
    <w:p>
      <w:pPr>
        <w:spacing w:after="0" w:line="173" w:lineRule="exact"/>
        <w:rPr>
          <w:sz w:val="20"/>
          <w:szCs w:val="20"/>
          <w:color w:val="auto"/>
        </w:rPr>
      </w:pPr>
    </w:p>
    <w:p>
      <w:pPr>
        <w:spacing w:after="0"/>
        <w:tabs>
          <w:tab w:leader="none" w:pos="880" w:val="left"/>
        </w:tabs>
        <w:rPr>
          <w:sz w:val="20"/>
          <w:szCs w:val="20"/>
          <w:color w:val="auto"/>
        </w:rPr>
      </w:pPr>
      <w:r>
        <w:rPr>
          <w:rFonts w:ascii="Calibri" w:cs="Calibri" w:eastAsia="Calibri" w:hAnsi="Calibri"/>
          <w:sz w:val="18"/>
          <w:szCs w:val="18"/>
          <w:b w:val="1"/>
          <w:bCs w:val="1"/>
          <w:color w:val="auto"/>
        </w:rPr>
        <w:t>Item 1.</w:t>
      </w:r>
      <w:r>
        <w:rPr>
          <w:sz w:val="20"/>
          <w:szCs w:val="20"/>
          <w:color w:val="auto"/>
        </w:rPr>
        <w:tab/>
      </w:r>
      <w:r>
        <w:rPr>
          <w:rFonts w:ascii="Calibri" w:cs="Calibri" w:eastAsia="Calibri" w:hAnsi="Calibri"/>
          <w:sz w:val="17"/>
          <w:szCs w:val="17"/>
          <w:b w:val="1"/>
          <w:bCs w:val="1"/>
          <w:color w:val="auto"/>
        </w:rPr>
        <w:t>Business</w:t>
      </w:r>
    </w:p>
    <w:p>
      <w:pPr>
        <w:spacing w:after="0" w:line="17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Overview</w:t>
      </w:r>
    </w:p>
    <w:p>
      <w:pPr>
        <w:spacing w:after="0" w:line="171" w:lineRule="exact"/>
        <w:rPr>
          <w:sz w:val="20"/>
          <w:szCs w:val="20"/>
          <w:color w:val="auto"/>
        </w:rPr>
      </w:pPr>
    </w:p>
    <w:p>
      <w:pPr>
        <w:ind w:right="180" w:firstLine="509"/>
        <w:spacing w:after="0" w:line="229" w:lineRule="auto"/>
        <w:rPr>
          <w:sz w:val="20"/>
          <w:szCs w:val="20"/>
          <w:color w:val="auto"/>
        </w:rPr>
      </w:pPr>
      <w:r>
        <w:rPr>
          <w:rFonts w:ascii="Calibri" w:cs="Calibri" w:eastAsia="Calibri" w:hAnsi="Calibri"/>
          <w:sz w:val="13"/>
          <w:szCs w:val="13"/>
          <w:color w:val="auto"/>
        </w:rPr>
        <w:t>Mission Produce, Inc. together with its consolidated subsidiaries (“Mission Produce” or the “Company,” “Registrant,” or “Issuer,” and generally referred to as “we” or “us”), is a global leader in the avocado industry. The Company’s expertse lies in the farming, packaging, marketng and distributon of avocados to food retailers, distributors and produce wholesalers worldwide. The Company procures avocados principally from California, Mexico and Peru. Through our various operatng facilites, we grow, sort, pack, bag and ripen avocados and a small amount of other fruits for distributon to domestc and internatonal markets. We report our results of operatons in three operatng segments which are also reportable segments:</w:t>
      </w:r>
    </w:p>
    <w:p>
      <w:pPr>
        <w:spacing w:after="0" w:line="170" w:lineRule="exact"/>
        <w:rPr>
          <w:sz w:val="20"/>
          <w:szCs w:val="20"/>
          <w:color w:val="auto"/>
        </w:rPr>
      </w:pPr>
    </w:p>
    <w:p>
      <w:pPr>
        <w:ind w:left="1020" w:hanging="251"/>
        <w:spacing w:after="0"/>
        <w:tabs>
          <w:tab w:leader="none" w:pos="1020" w:val="left"/>
        </w:tabs>
        <w:numPr>
          <w:ilvl w:val="0"/>
          <w:numId w:val="4"/>
        </w:numPr>
        <w:rPr>
          <w:rFonts w:ascii="Calibri" w:cs="Calibri" w:eastAsia="Calibri" w:hAnsi="Calibri"/>
          <w:sz w:val="13"/>
          <w:szCs w:val="13"/>
          <w:b w:val="1"/>
          <w:bCs w:val="1"/>
          <w:i w:val="1"/>
          <w:iCs w:val="1"/>
          <w:color w:val="auto"/>
        </w:rPr>
      </w:pPr>
      <w:r>
        <w:rPr>
          <w:rFonts w:ascii="Calibri" w:cs="Calibri" w:eastAsia="Calibri" w:hAnsi="Calibri"/>
          <w:sz w:val="13"/>
          <w:szCs w:val="13"/>
          <w:b w:val="1"/>
          <w:bCs w:val="1"/>
          <w:i w:val="1"/>
          <w:iCs w:val="1"/>
          <w:color w:val="auto"/>
        </w:rPr>
        <w:t xml:space="preserve">Marketng and Distributon </w:t>
      </w:r>
      <w:r>
        <w:rPr>
          <w:rFonts w:ascii="Calibri" w:cs="Calibri" w:eastAsia="Calibri" w:hAnsi="Calibri"/>
          <w:sz w:val="13"/>
          <w:szCs w:val="13"/>
          <w:color w:val="auto"/>
        </w:rPr>
        <w:t>sources fruit from growers and then distributes fruit through our global distributon network;</w:t>
      </w:r>
    </w:p>
    <w:p>
      <w:pPr>
        <w:spacing w:after="0" w:line="168" w:lineRule="exact"/>
        <w:rPr>
          <w:rFonts w:ascii="Calibri" w:cs="Calibri" w:eastAsia="Calibri" w:hAnsi="Calibri"/>
          <w:sz w:val="13"/>
          <w:szCs w:val="13"/>
          <w:b w:val="1"/>
          <w:bCs w:val="1"/>
          <w:i w:val="1"/>
          <w:iCs w:val="1"/>
          <w:color w:val="auto"/>
        </w:rPr>
      </w:pPr>
    </w:p>
    <w:p>
      <w:pPr>
        <w:ind w:left="1020" w:right="180" w:hanging="251"/>
        <w:spacing w:after="0" w:line="230" w:lineRule="auto"/>
        <w:tabs>
          <w:tab w:leader="none" w:pos="1020" w:val="left"/>
        </w:tabs>
        <w:numPr>
          <w:ilvl w:val="0"/>
          <w:numId w:val="4"/>
        </w:numPr>
        <w:rPr>
          <w:rFonts w:ascii="Calibri" w:cs="Calibri" w:eastAsia="Calibri" w:hAnsi="Calibri"/>
          <w:sz w:val="13"/>
          <w:szCs w:val="13"/>
          <w:b w:val="1"/>
          <w:bCs w:val="1"/>
          <w:i w:val="1"/>
          <w:iCs w:val="1"/>
          <w:color w:val="auto"/>
        </w:rPr>
      </w:pPr>
      <w:r>
        <w:rPr>
          <w:rFonts w:ascii="Calibri" w:cs="Calibri" w:eastAsia="Calibri" w:hAnsi="Calibri"/>
          <w:sz w:val="13"/>
          <w:szCs w:val="13"/>
          <w:b w:val="1"/>
          <w:bCs w:val="1"/>
          <w:i w:val="1"/>
          <w:iCs w:val="1"/>
          <w:color w:val="auto"/>
        </w:rPr>
        <w:t xml:space="preserve">Internatonal Farming </w:t>
      </w:r>
      <w:r>
        <w:rPr>
          <w:rFonts w:ascii="Calibri" w:cs="Calibri" w:eastAsia="Calibri" w:hAnsi="Calibri"/>
          <w:sz w:val="13"/>
          <w:szCs w:val="13"/>
          <w:color w:val="auto"/>
        </w:rPr>
        <w:t>owns and operates orchards from which substantally all fruit produced is sold to our Marketng and Distributon segment. The segment’s farming actvites range from</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cultvatng early-stage plantngs to harvestng from mature trees. It also earns service revenues for packing and processing for our Blueberries segment, as well as for third-party producers of other crops during the avocado of-harvest season. Operatons are principally located in Peru, with smaller operatons emerging in other areas of Latn America.</w:t>
      </w:r>
    </w:p>
    <w:p>
      <w:pPr>
        <w:spacing w:after="0" w:line="159" w:lineRule="exact"/>
        <w:rPr>
          <w:rFonts w:ascii="Calibri" w:cs="Calibri" w:eastAsia="Calibri" w:hAnsi="Calibri"/>
          <w:sz w:val="13"/>
          <w:szCs w:val="13"/>
          <w:b w:val="1"/>
          <w:bCs w:val="1"/>
          <w:i w:val="1"/>
          <w:iCs w:val="1"/>
          <w:color w:val="auto"/>
        </w:rPr>
      </w:pPr>
    </w:p>
    <w:p>
      <w:pPr>
        <w:ind w:left="1020" w:right="260" w:hanging="251"/>
        <w:spacing w:after="0" w:line="225" w:lineRule="auto"/>
        <w:tabs>
          <w:tab w:leader="none" w:pos="1020" w:val="left"/>
        </w:tabs>
        <w:numPr>
          <w:ilvl w:val="0"/>
          <w:numId w:val="4"/>
        </w:numPr>
        <w:rPr>
          <w:rFonts w:ascii="Calibri" w:cs="Calibri" w:eastAsia="Calibri" w:hAnsi="Calibri"/>
          <w:sz w:val="13"/>
          <w:szCs w:val="13"/>
          <w:b w:val="1"/>
          <w:bCs w:val="1"/>
          <w:i w:val="1"/>
          <w:iCs w:val="1"/>
          <w:color w:val="auto"/>
        </w:rPr>
      </w:pPr>
      <w:r>
        <w:rPr>
          <w:rFonts w:ascii="Calibri" w:cs="Calibri" w:eastAsia="Calibri" w:hAnsi="Calibri"/>
          <w:sz w:val="13"/>
          <w:szCs w:val="13"/>
          <w:b w:val="1"/>
          <w:bCs w:val="1"/>
          <w:i w:val="1"/>
          <w:iCs w:val="1"/>
          <w:color w:val="auto"/>
        </w:rPr>
        <w:t xml:space="preserve">Blueberries </w:t>
      </w:r>
      <w:r>
        <w:rPr>
          <w:rFonts w:ascii="Calibri" w:cs="Calibri" w:eastAsia="Calibri" w:hAnsi="Calibri"/>
          <w:sz w:val="13"/>
          <w:szCs w:val="13"/>
          <w:color w:val="auto"/>
        </w:rPr>
        <w:t>is a farming operaton that cultvates blueberry plants in Peru. The entty farms high-quality varietes of blueberries, and has plants in various stages of development, from seedling to</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mature.</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Products and services</w:t>
      </w:r>
    </w:p>
    <w:p>
      <w:pPr>
        <w:spacing w:after="0" w:line="158" w:lineRule="exact"/>
        <w:rPr>
          <w:sz w:val="20"/>
          <w:szCs w:val="20"/>
          <w:color w:val="auto"/>
        </w:rPr>
      </w:pPr>
    </w:p>
    <w:p>
      <w:pPr>
        <w:jc w:val="both"/>
        <w:ind w:right="120" w:firstLine="509"/>
        <w:spacing w:after="0" w:line="230" w:lineRule="auto"/>
        <w:rPr>
          <w:sz w:val="20"/>
          <w:szCs w:val="20"/>
          <w:color w:val="auto"/>
        </w:rPr>
      </w:pPr>
      <w:r>
        <w:rPr>
          <w:rFonts w:ascii="Calibri" w:cs="Calibri" w:eastAsia="Calibri" w:hAnsi="Calibri"/>
          <w:sz w:val="13"/>
          <w:szCs w:val="13"/>
          <w:color w:val="auto"/>
        </w:rPr>
        <w:t>We source, produce, pack and distribute avocados. The avocados we sell are primarily of the Hass variety. We sort and pack avocados and match their specifcatons to respectve customer requirements. We sell both pre-ripe and ripened avocados, and with our network of ripening facilites, we can adjust the level of ripeness to the needs of our customers. Our custom ripening programs provide customers with the opton of ordering avocados at fve diferent stages of ripeness – hard, preconditoned, breaking, frm-ripe and ripe – which are delivered on specifcally tailored schedules according to stage of ripeness.</w:t>
      </w:r>
    </w:p>
    <w:p>
      <w:pPr>
        <w:spacing w:after="0" w:line="159" w:lineRule="exact"/>
        <w:rPr>
          <w:sz w:val="20"/>
          <w:szCs w:val="20"/>
          <w:color w:val="auto"/>
        </w:rPr>
      </w:pPr>
    </w:p>
    <w:p>
      <w:pPr>
        <w:ind w:right="60" w:firstLine="509"/>
        <w:spacing w:after="0" w:line="229" w:lineRule="auto"/>
        <w:rPr>
          <w:sz w:val="20"/>
          <w:szCs w:val="20"/>
          <w:color w:val="auto"/>
        </w:rPr>
      </w:pPr>
      <w:r>
        <w:rPr>
          <w:rFonts w:ascii="Calibri" w:cs="Calibri" w:eastAsia="Calibri" w:hAnsi="Calibri"/>
          <w:sz w:val="13"/>
          <w:szCs w:val="13"/>
          <w:color w:val="auto"/>
        </w:rPr>
        <w:t>We also provide value-added services including ripening, bagging, custom packaging, logistcal management, and quality assurance. In additon, we provide our customers with merchandising and promotonal support, insights on market trends and hands-on training to assist with their retail sales of our avocados. For example, we operate category management, merchandising and packaging programs, such as our “Avocado Intel,” “Minis,” “Emeralds in the Rough,” “Ready,” “Size Minded,” “small but mighty,” “Jumbos—more to eat, more to love” and shelf-life extension programs, to promote the sale of avocados that might otherwise be underutlized, to identfy ready-to-eat and various size avocados for consumers and to increase shelf life.</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Customers</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We primarily market avocados to retail, wholesale and foodservice customers. We focus on delivering quality avocados on tme and within customer specifcatons. Owning and farming our own avocado orchards also helps to mitgate potental disruptons across our third-party grower supply relatonships. We forecast avocado sourcing costs for the season for our own producton, which enables us to enter into fxed price contracts with customers for a season without bearing pricing risk from spot market purchases. We do not have long-term contracts with our customers and focus instead on building strong, long-term relatonships based on product quality and specifcatons, on-tme delivery and customer support and service.</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Supply chain and distributon network</w:t>
      </w:r>
    </w:p>
    <w:p>
      <w:pPr>
        <w:spacing w:after="0" w:line="158" w:lineRule="exact"/>
        <w:rPr>
          <w:sz w:val="20"/>
          <w:szCs w:val="20"/>
          <w:color w:val="auto"/>
        </w:rPr>
      </w:pPr>
    </w:p>
    <w:p>
      <w:pPr>
        <w:ind w:right="80" w:firstLine="509"/>
        <w:spacing w:after="0" w:line="229" w:lineRule="auto"/>
        <w:rPr>
          <w:sz w:val="20"/>
          <w:szCs w:val="20"/>
          <w:color w:val="auto"/>
        </w:rPr>
      </w:pPr>
      <w:r>
        <w:rPr>
          <w:rFonts w:ascii="Calibri" w:cs="Calibri" w:eastAsia="Calibri" w:hAnsi="Calibri"/>
          <w:sz w:val="13"/>
          <w:szCs w:val="13"/>
          <w:color w:val="auto"/>
        </w:rPr>
        <w:t>Our global distributon network includes twelve forward distributon centers in North America, China and Europe, equipped to ofer value-added services such as ripening, bagging, custom packaging and logistcal management. Our network of distributon facilites puts us in close proximity to our customers, allowing us provide fruit based on customer tming, specifcaton, and volume needs. Within the United States, we can deliver avocados within approximately eight hours or less. Internatonally, we have distributon centers and investments in other distributors in Europe and Asia to serve the growing retail demand outside of the United States.</w:t>
      </w:r>
    </w:p>
    <w:p>
      <w:pPr>
        <w:spacing w:after="0" w:line="158" w:lineRule="exact"/>
        <w:rPr>
          <w:sz w:val="20"/>
          <w:szCs w:val="20"/>
          <w:color w:val="auto"/>
        </w:rPr>
      </w:pPr>
    </w:p>
    <w:p>
      <w:pPr>
        <w:ind w:right="20" w:firstLine="509"/>
        <w:spacing w:after="0" w:line="225" w:lineRule="auto"/>
        <w:rPr>
          <w:sz w:val="20"/>
          <w:szCs w:val="20"/>
          <w:color w:val="auto"/>
        </w:rPr>
      </w:pPr>
      <w:r>
        <w:rPr>
          <w:rFonts w:ascii="Calibri" w:cs="Calibri" w:eastAsia="Calibri" w:hAnsi="Calibri"/>
          <w:sz w:val="13"/>
          <w:szCs w:val="13"/>
          <w:color w:val="auto"/>
        </w:rPr>
        <w:t>Before being forwarded to distributon centers, avocados are sorted and packed at one of our four state-of-art packing facilites in Mexico, Peru, and California, or by co-packers in various locatons. Our packing facilites are located in close proximity to growers,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4" w:name="page5"/>
    <w:bookmarkEnd w:id="4"/>
    <w:p>
      <w:pPr>
        <w:spacing w:after="0"/>
        <w:rPr>
          <w:sz w:val="20"/>
          <w:szCs w:val="20"/>
          <w:color w:val="auto"/>
        </w:rPr>
      </w:pPr>
      <w:r>
        <w:rPr>
          <w:rFonts w:ascii="Calibri" w:cs="Calibri" w:eastAsia="Calibri" w:hAnsi="Calibri"/>
          <w:sz w:val="13"/>
          <w:szCs w:val="13"/>
          <w:color w:val="auto"/>
        </w:rPr>
        <w:t>allowing us to control the logistcs of the supply chain from tree to packing, to distributon. Transportaton logistcs are managed across truck, ocean, air and rail platorms, depending on origin and end markets.</w:t>
      </w:r>
    </w:p>
    <w:p>
      <w:pPr>
        <w:spacing w:after="0" w:line="15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Competton</w:t>
      </w:r>
    </w:p>
    <w:p>
      <w:pPr>
        <w:spacing w:after="0" w:line="182" w:lineRule="exact"/>
        <w:rPr>
          <w:sz w:val="20"/>
          <w:szCs w:val="20"/>
          <w:color w:val="auto"/>
        </w:rPr>
      </w:pPr>
    </w:p>
    <w:p>
      <w:pPr>
        <w:ind w:right="340" w:firstLine="509"/>
        <w:spacing w:after="0" w:line="225" w:lineRule="auto"/>
        <w:rPr>
          <w:sz w:val="20"/>
          <w:szCs w:val="20"/>
          <w:color w:val="auto"/>
        </w:rPr>
      </w:pPr>
      <w:r>
        <w:rPr>
          <w:rFonts w:ascii="Calibri" w:cs="Calibri" w:eastAsia="Calibri" w:hAnsi="Calibri"/>
          <w:sz w:val="13"/>
          <w:szCs w:val="13"/>
          <w:color w:val="auto"/>
        </w:rPr>
        <w:t>We compete based on a variety of factors, including the appearance, taste, size, shelf life and overall quality of our fruit, price and distributon terms, the tmeliness of our deliveries to customers and the availability of our products. The avocado and fresh produce business is highly compettve, and the efect of competton is intensifed because our products are perishable. Marketng compettors include other distributors, producers, and other smaller packers and marketers. Farming compettors include other farming businesses of all sizes, from large-scale businesses and cooperatves, to individual farms.</w:t>
      </w:r>
    </w:p>
    <w:p>
      <w:pPr>
        <w:spacing w:after="0" w:line="16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Resources</w:t>
      </w:r>
    </w:p>
    <w:p>
      <w:pPr>
        <w:spacing w:after="0" w:line="171" w:lineRule="exact"/>
        <w:rPr>
          <w:sz w:val="20"/>
          <w:szCs w:val="20"/>
          <w:color w:val="auto"/>
        </w:rPr>
      </w:pPr>
    </w:p>
    <w:p>
      <w:pPr>
        <w:ind w:right="20" w:firstLine="509"/>
        <w:spacing w:after="0" w:line="233" w:lineRule="auto"/>
        <w:rPr>
          <w:sz w:val="20"/>
          <w:szCs w:val="20"/>
          <w:color w:val="auto"/>
        </w:rPr>
      </w:pPr>
      <w:r>
        <w:rPr>
          <w:rFonts w:ascii="Calibri" w:cs="Calibri" w:eastAsia="Calibri" w:hAnsi="Calibri"/>
          <w:sz w:val="13"/>
          <w:szCs w:val="13"/>
          <w:color w:val="auto"/>
        </w:rPr>
        <w:t>We source avocados primarily from Mexico, Peru, and California, as well as Colombia, Guatemala, South Africa, Chile, and others. Our diverse sourcing network mitgates the impact of potental geographical or grower-specifc supply disruptons and optmizes our ability to fulfll year-round global demand.</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Third-party growers</w:t>
      </w:r>
    </w:p>
    <w:p>
      <w:pPr>
        <w:spacing w:after="0" w:line="158" w:lineRule="exact"/>
        <w:rPr>
          <w:sz w:val="20"/>
          <w:szCs w:val="20"/>
          <w:color w:val="auto"/>
        </w:rPr>
      </w:pPr>
    </w:p>
    <w:p>
      <w:pPr>
        <w:ind w:right="240" w:firstLine="509"/>
        <w:spacing w:after="0" w:line="233" w:lineRule="auto"/>
        <w:rPr>
          <w:sz w:val="20"/>
          <w:szCs w:val="20"/>
          <w:color w:val="auto"/>
        </w:rPr>
      </w:pPr>
      <w:r>
        <w:rPr>
          <w:rFonts w:ascii="Calibri" w:cs="Calibri" w:eastAsia="Calibri" w:hAnsi="Calibri"/>
          <w:sz w:val="13"/>
          <w:szCs w:val="13"/>
          <w:color w:val="auto"/>
        </w:rPr>
        <w:t>We have relatonships with thousands of third-party growers. Our large scale and long track record of working with growers contributes to strong existng relatonships and facilitates new relatonships with third-party growers. We do not have exclusive sourcing contracts with growers.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Farming</w:t>
      </w:r>
    </w:p>
    <w:p>
      <w:pPr>
        <w:spacing w:after="0" w:line="158" w:lineRule="exact"/>
        <w:rPr>
          <w:sz w:val="20"/>
          <w:szCs w:val="20"/>
          <w:color w:val="auto"/>
        </w:rPr>
      </w:pPr>
    </w:p>
    <w:p>
      <w:pPr>
        <w:ind w:right="80" w:firstLine="509"/>
        <w:spacing w:after="0" w:line="229" w:lineRule="auto"/>
        <w:rPr>
          <w:sz w:val="20"/>
          <w:szCs w:val="20"/>
          <w:color w:val="auto"/>
        </w:rPr>
      </w:pPr>
      <w:r>
        <w:rPr>
          <w:rFonts w:ascii="Calibri" w:cs="Calibri" w:eastAsia="Calibri" w:hAnsi="Calibri"/>
          <w:sz w:val="13"/>
          <w:szCs w:val="13"/>
          <w:color w:val="auto"/>
        </w:rPr>
        <w:t>In additon to purchasing avocados from third-party growers, we have vertcally integrated farming operatons where we grow avocados on owned or leased land. In Peru, we own farmland with developed orchards that are in various stages of maturity. Since fscal 2020, we have progressively planted new orchards in Guatemala on land under long-term leases, to diversify our vertcal integraton sourcing strategy. We also invest in a joint venture in Colombia that owns land that is under development. Afer plantng, avocado trees begin to produce avocados in approximately three years and typically reach full producton in approximately fve to seven years, depending on locaton. We contnue to innovate our farming practces to control the quality of our fruit, through various test plots, seed research, and soil analysis.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As of October 31, 2022, our approximate internatonal avocado planted acreage, by age and rounded to the nearest hundred, was as follows: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35"/>
        </w:trPr>
        <w:tc>
          <w:tcPr>
            <w:tcW w:w="1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2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Avocado Acreage by Age</w:t>
            </w: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8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Country</w:t>
            </w:r>
          </w:p>
        </w:tc>
        <w:tc>
          <w:tcPr>
            <w:tcW w:w="18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860" w:type="dxa"/>
            <w:vAlign w:val="bottom"/>
            <w:vMerge w:val="continue"/>
          </w:tcPr>
          <w:p>
            <w:pPr>
              <w:spacing w:after="0"/>
              <w:rPr>
                <w:sz w:val="10"/>
                <w:szCs w:val="10"/>
                <w:color w:val="auto"/>
              </w:rPr>
            </w:pPr>
          </w:p>
        </w:tc>
        <w:tc>
          <w:tcPr>
            <w:tcW w:w="1880" w:type="dxa"/>
            <w:vAlign w:val="bottom"/>
          </w:tcPr>
          <w:p>
            <w:pPr>
              <w:jc w:val="right"/>
              <w:ind w:right="383"/>
              <w:spacing w:after="0" w:line="126" w:lineRule="exact"/>
              <w:rPr>
                <w:sz w:val="20"/>
                <w:szCs w:val="20"/>
                <w:color w:val="auto"/>
              </w:rPr>
            </w:pPr>
            <w:r>
              <w:rPr>
                <w:rFonts w:ascii="Calibri" w:cs="Calibri" w:eastAsia="Calibri" w:hAnsi="Calibri"/>
                <w:sz w:val="11"/>
                <w:szCs w:val="11"/>
                <w:b w:val="1"/>
                <w:bCs w:val="1"/>
                <w:color w:val="auto"/>
              </w:rPr>
              <w:t>0-3 years</w:t>
            </w:r>
          </w:p>
        </w:tc>
        <w:tc>
          <w:tcPr>
            <w:tcW w:w="1820" w:type="dxa"/>
            <w:vAlign w:val="bottom"/>
          </w:tcPr>
          <w:p>
            <w:pPr>
              <w:jc w:val="right"/>
              <w:ind w:right="763"/>
              <w:spacing w:after="0" w:line="126" w:lineRule="exact"/>
              <w:rPr>
                <w:sz w:val="20"/>
                <w:szCs w:val="20"/>
                <w:color w:val="auto"/>
              </w:rPr>
            </w:pPr>
            <w:r>
              <w:rPr>
                <w:rFonts w:ascii="Calibri" w:cs="Calibri" w:eastAsia="Calibri" w:hAnsi="Calibri"/>
                <w:sz w:val="11"/>
                <w:szCs w:val="11"/>
                <w:b w:val="1"/>
                <w:bCs w:val="1"/>
                <w:color w:val="auto"/>
              </w:rPr>
              <w:t>4-6 years</w:t>
            </w:r>
          </w:p>
        </w:tc>
        <w:tc>
          <w:tcPr>
            <w:tcW w:w="1160" w:type="dxa"/>
            <w:vAlign w:val="bottom"/>
          </w:tcPr>
          <w:p>
            <w:pPr>
              <w:jc w:val="right"/>
              <w:ind w:right="483"/>
              <w:spacing w:after="0" w:line="126" w:lineRule="exact"/>
              <w:rPr>
                <w:sz w:val="20"/>
                <w:szCs w:val="20"/>
                <w:color w:val="auto"/>
              </w:rPr>
            </w:pPr>
            <w:r>
              <w:rPr>
                <w:rFonts w:ascii="Calibri" w:cs="Calibri" w:eastAsia="Calibri" w:hAnsi="Calibri"/>
                <w:sz w:val="11"/>
                <w:szCs w:val="11"/>
                <w:b w:val="1"/>
                <w:bCs w:val="1"/>
                <w:color w:val="auto"/>
              </w:rPr>
              <w:t>&gt;7 years</w:t>
            </w:r>
          </w:p>
        </w:tc>
        <w:tc>
          <w:tcPr>
            <w:tcW w:w="9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Total</w:t>
            </w:r>
          </w:p>
        </w:tc>
        <w:tc>
          <w:tcPr>
            <w:tcW w:w="0" w:type="dxa"/>
            <w:vAlign w:val="bottom"/>
          </w:tcPr>
          <w:p>
            <w:pPr>
              <w:spacing w:after="0"/>
              <w:rPr>
                <w:sz w:val="1"/>
                <w:szCs w:val="1"/>
                <w:color w:val="auto"/>
              </w:rPr>
            </w:pPr>
          </w:p>
        </w:tc>
      </w:tr>
      <w:tr>
        <w:trPr>
          <w:trHeight w:val="46"/>
        </w:trPr>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8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Peru</w:t>
            </w:r>
          </w:p>
        </w:tc>
        <w:tc>
          <w:tcPr>
            <w:tcW w:w="188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3,100</w:t>
            </w:r>
          </w:p>
        </w:tc>
        <w:tc>
          <w:tcPr>
            <w:tcW w:w="1820" w:type="dxa"/>
            <w:vAlign w:val="bottom"/>
            <w:tcBorders>
              <w:bottom w:val="single" w:sz="8" w:color="DBDBDB"/>
            </w:tcBorders>
            <w:shd w:val="clear" w:color="auto" w:fill="DBDBDB"/>
          </w:tcPr>
          <w:p>
            <w:pPr>
              <w:jc w:val="right"/>
              <w:ind w:right="803"/>
              <w:spacing w:after="0" w:line="126" w:lineRule="exact"/>
              <w:rPr>
                <w:sz w:val="20"/>
                <w:szCs w:val="20"/>
                <w:color w:val="auto"/>
              </w:rPr>
            </w:pPr>
            <w:r>
              <w:rPr>
                <w:rFonts w:ascii="Calibri" w:cs="Calibri" w:eastAsia="Calibri" w:hAnsi="Calibri"/>
                <w:sz w:val="11"/>
                <w:szCs w:val="11"/>
                <w:color w:val="auto"/>
              </w:rPr>
              <w:t>200</w:t>
            </w:r>
          </w:p>
        </w:tc>
        <w:tc>
          <w:tcPr>
            <w:tcW w:w="1160" w:type="dxa"/>
            <w:vAlign w:val="bottom"/>
            <w:tcBorders>
              <w:bottom w:val="single" w:sz="8" w:color="DBDBDB"/>
            </w:tcBorders>
            <w:shd w:val="clear" w:color="auto" w:fill="DBDBDB"/>
          </w:tcPr>
          <w:p>
            <w:pPr>
              <w:jc w:val="right"/>
              <w:ind w:right="523"/>
              <w:spacing w:after="0" w:line="126" w:lineRule="exact"/>
              <w:rPr>
                <w:sz w:val="20"/>
                <w:szCs w:val="20"/>
                <w:color w:val="auto"/>
              </w:rPr>
            </w:pPr>
            <w:r>
              <w:rPr>
                <w:rFonts w:ascii="Calibri" w:cs="Calibri" w:eastAsia="Calibri" w:hAnsi="Calibri"/>
                <w:sz w:val="11"/>
                <w:szCs w:val="11"/>
                <w:color w:val="auto"/>
              </w:rPr>
              <w:t>6,300</w:t>
            </w:r>
          </w:p>
        </w:tc>
        <w:tc>
          <w:tcPr>
            <w:tcW w:w="920" w:type="dxa"/>
            <w:vAlign w:val="bottom"/>
            <w:tcBorders>
              <w:bottom w:val="single" w:sz="8" w:color="DBDBDB"/>
            </w:tcBorders>
            <w:shd w:val="clear" w:color="auto" w:fill="DBDBDB"/>
          </w:tcPr>
          <w:p>
            <w:pPr>
              <w:jc w:val="right"/>
              <w:ind w:right="3"/>
              <w:spacing w:after="0" w:line="126" w:lineRule="exact"/>
              <w:rPr>
                <w:sz w:val="20"/>
                <w:szCs w:val="20"/>
                <w:color w:val="auto"/>
              </w:rPr>
            </w:pPr>
            <w:r>
              <w:rPr>
                <w:rFonts w:ascii="Calibri" w:cs="Calibri" w:eastAsia="Calibri" w:hAnsi="Calibri"/>
                <w:sz w:val="11"/>
                <w:szCs w:val="11"/>
                <w:color w:val="auto"/>
              </w:rPr>
              <w:t>9,600</w:t>
            </w:r>
          </w:p>
        </w:tc>
        <w:tc>
          <w:tcPr>
            <w:tcW w:w="0" w:type="dxa"/>
            <w:vAlign w:val="bottom"/>
          </w:tcPr>
          <w:p>
            <w:pPr>
              <w:spacing w:after="0"/>
              <w:rPr>
                <w:sz w:val="1"/>
                <w:szCs w:val="1"/>
                <w:color w:val="auto"/>
              </w:rPr>
            </w:pPr>
          </w:p>
        </w:tc>
      </w:tr>
      <w:tr>
        <w:trPr>
          <w:trHeight w:val="135"/>
        </w:trPr>
        <w:tc>
          <w:tcPr>
            <w:tcW w:w="1860" w:type="dxa"/>
            <w:vAlign w:val="bottom"/>
          </w:tcPr>
          <w:p>
            <w:pPr>
              <w:ind w:left="20"/>
              <w:spacing w:after="0"/>
              <w:rPr>
                <w:sz w:val="20"/>
                <w:szCs w:val="20"/>
                <w:color w:val="auto"/>
              </w:rPr>
            </w:pPr>
            <w:r>
              <w:rPr>
                <w:rFonts w:ascii="Calibri" w:cs="Calibri" w:eastAsia="Calibri" w:hAnsi="Calibri"/>
                <w:sz w:val="11"/>
                <w:szCs w:val="11"/>
                <w:color w:val="auto"/>
              </w:rPr>
              <w:t>Guatemala</w:t>
            </w:r>
          </w:p>
        </w:tc>
        <w:tc>
          <w:tcPr>
            <w:tcW w:w="1880" w:type="dxa"/>
            <w:vAlign w:val="bottom"/>
          </w:tcPr>
          <w:p>
            <w:pPr>
              <w:jc w:val="right"/>
              <w:ind w:right="423"/>
              <w:spacing w:after="0"/>
              <w:rPr>
                <w:sz w:val="20"/>
                <w:szCs w:val="20"/>
                <w:color w:val="auto"/>
              </w:rPr>
            </w:pPr>
            <w:r>
              <w:rPr>
                <w:rFonts w:ascii="Calibri" w:cs="Calibri" w:eastAsia="Calibri" w:hAnsi="Calibri"/>
                <w:sz w:val="11"/>
                <w:szCs w:val="11"/>
                <w:color w:val="auto"/>
              </w:rPr>
              <w:t>800</w:t>
            </w:r>
          </w:p>
        </w:tc>
        <w:tc>
          <w:tcPr>
            <w:tcW w:w="1820" w:type="dxa"/>
            <w:vAlign w:val="bottom"/>
          </w:tcPr>
          <w:p>
            <w:pPr>
              <w:jc w:val="right"/>
              <w:ind w:right="803"/>
              <w:spacing w:after="0"/>
              <w:rPr>
                <w:sz w:val="20"/>
                <w:szCs w:val="20"/>
                <w:color w:val="auto"/>
              </w:rPr>
            </w:pPr>
            <w:r>
              <w:rPr>
                <w:rFonts w:ascii="Calibri" w:cs="Calibri" w:eastAsia="Calibri" w:hAnsi="Calibri"/>
                <w:sz w:val="11"/>
                <w:szCs w:val="11"/>
                <w:color w:val="auto"/>
              </w:rPr>
              <w:t>—</w:t>
            </w:r>
          </w:p>
        </w:tc>
        <w:tc>
          <w:tcPr>
            <w:tcW w:w="1160" w:type="dxa"/>
            <w:vAlign w:val="bottom"/>
          </w:tcPr>
          <w:p>
            <w:pPr>
              <w:jc w:val="right"/>
              <w:ind w:right="523"/>
              <w:spacing w:after="0"/>
              <w:rPr>
                <w:sz w:val="20"/>
                <w:szCs w:val="20"/>
                <w:color w:val="auto"/>
              </w:rPr>
            </w:pPr>
            <w:r>
              <w:rPr>
                <w:rFonts w:ascii="Calibri" w:cs="Calibri" w:eastAsia="Calibri" w:hAnsi="Calibri"/>
                <w:sz w:val="11"/>
                <w:szCs w:val="11"/>
                <w:color w:val="auto"/>
              </w:rPr>
              <w:t>—</w:t>
            </w:r>
          </w:p>
        </w:tc>
        <w:tc>
          <w:tcPr>
            <w:tcW w:w="920" w:type="dxa"/>
            <w:vAlign w:val="bottom"/>
          </w:tcPr>
          <w:p>
            <w:pPr>
              <w:jc w:val="right"/>
              <w:ind w:right="3"/>
              <w:spacing w:after="0"/>
              <w:rPr>
                <w:sz w:val="20"/>
                <w:szCs w:val="20"/>
                <w:color w:val="auto"/>
              </w:rPr>
            </w:pPr>
            <w:r>
              <w:rPr>
                <w:rFonts w:ascii="Calibri" w:cs="Calibri" w:eastAsia="Calibri" w:hAnsi="Calibri"/>
                <w:sz w:val="11"/>
                <w:szCs w:val="11"/>
                <w:color w:val="auto"/>
              </w:rPr>
              <w:t>800</w:t>
            </w:r>
          </w:p>
        </w:tc>
        <w:tc>
          <w:tcPr>
            <w:tcW w:w="0" w:type="dxa"/>
            <w:vAlign w:val="bottom"/>
          </w:tcPr>
          <w:p>
            <w:pPr>
              <w:spacing w:after="0"/>
              <w:rPr>
                <w:sz w:val="1"/>
                <w:szCs w:val="1"/>
                <w:color w:val="auto"/>
              </w:rPr>
            </w:pPr>
          </w:p>
        </w:tc>
      </w:tr>
      <w:tr>
        <w:trPr>
          <w:trHeight w:val="46"/>
        </w:trPr>
        <w:tc>
          <w:tcPr>
            <w:tcW w:w="18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860" w:type="dxa"/>
            <w:vAlign w:val="bottom"/>
            <w:tcBorders>
              <w:bottom w:val="single" w:sz="8" w:color="auto"/>
            </w:tcBorders>
            <w:shd w:val="clear" w:color="auto" w:fill="DBDBDB"/>
          </w:tcPr>
          <w:p>
            <w:pPr>
              <w:ind w:left="20"/>
              <w:spacing w:after="0"/>
              <w:rPr>
                <w:sz w:val="20"/>
                <w:szCs w:val="20"/>
                <w:color w:val="auto"/>
              </w:rPr>
            </w:pPr>
            <w:r>
              <w:rPr>
                <w:rFonts w:ascii="Calibri" w:cs="Calibri" w:eastAsia="Calibri" w:hAnsi="Calibri"/>
                <w:sz w:val="11"/>
                <w:szCs w:val="11"/>
                <w:color w:val="auto"/>
              </w:rPr>
              <w:t>Colombia</w:t>
            </w:r>
            <w:r>
              <w:rPr>
                <w:rFonts w:ascii="Calibri" w:cs="Calibri" w:eastAsia="Calibri" w:hAnsi="Calibri"/>
                <w:sz w:val="14"/>
                <w:szCs w:val="14"/>
                <w:color w:val="auto"/>
                <w:vertAlign w:val="superscript"/>
              </w:rPr>
              <w:t>(1)</w:t>
            </w:r>
          </w:p>
        </w:tc>
        <w:tc>
          <w:tcPr>
            <w:tcW w:w="1880" w:type="dxa"/>
            <w:vAlign w:val="bottom"/>
            <w:tcBorders>
              <w:bottom w:val="single" w:sz="8" w:color="auto"/>
            </w:tcBorders>
            <w:shd w:val="clear" w:color="auto" w:fill="DBDBDB"/>
          </w:tcPr>
          <w:p>
            <w:pPr>
              <w:jc w:val="right"/>
              <w:ind w:right="423"/>
              <w:spacing w:after="0"/>
              <w:rPr>
                <w:sz w:val="20"/>
                <w:szCs w:val="20"/>
                <w:color w:val="auto"/>
              </w:rPr>
            </w:pPr>
            <w:r>
              <w:rPr>
                <w:rFonts w:ascii="Calibri" w:cs="Calibri" w:eastAsia="Calibri" w:hAnsi="Calibri"/>
                <w:sz w:val="11"/>
                <w:szCs w:val="11"/>
                <w:color w:val="auto"/>
              </w:rPr>
              <w:t>1,400</w:t>
            </w:r>
          </w:p>
        </w:tc>
        <w:tc>
          <w:tcPr>
            <w:tcW w:w="1820" w:type="dxa"/>
            <w:vAlign w:val="bottom"/>
            <w:tcBorders>
              <w:bottom w:val="single" w:sz="8" w:color="auto"/>
            </w:tcBorders>
            <w:shd w:val="clear" w:color="auto" w:fill="DBDBDB"/>
          </w:tcPr>
          <w:p>
            <w:pPr>
              <w:jc w:val="right"/>
              <w:ind w:right="803"/>
              <w:spacing w:after="0"/>
              <w:rPr>
                <w:sz w:val="20"/>
                <w:szCs w:val="20"/>
                <w:color w:val="auto"/>
              </w:rPr>
            </w:pPr>
            <w:r>
              <w:rPr>
                <w:rFonts w:ascii="Calibri" w:cs="Calibri" w:eastAsia="Calibri" w:hAnsi="Calibri"/>
                <w:sz w:val="11"/>
                <w:szCs w:val="11"/>
                <w:color w:val="auto"/>
              </w:rPr>
              <w:t>200</w:t>
            </w:r>
          </w:p>
        </w:tc>
        <w:tc>
          <w:tcPr>
            <w:tcW w:w="1160" w:type="dxa"/>
            <w:vAlign w:val="bottom"/>
            <w:tcBorders>
              <w:bottom w:val="single" w:sz="8" w:color="auto"/>
            </w:tcBorders>
            <w:shd w:val="clear" w:color="auto" w:fill="DBDBDB"/>
          </w:tcPr>
          <w:p>
            <w:pPr>
              <w:jc w:val="right"/>
              <w:ind w:right="523"/>
              <w:spacing w:after="0"/>
              <w:rPr>
                <w:sz w:val="20"/>
                <w:szCs w:val="20"/>
                <w:color w:val="auto"/>
              </w:rPr>
            </w:pPr>
            <w:r>
              <w:rPr>
                <w:rFonts w:ascii="Calibri" w:cs="Calibri" w:eastAsia="Calibri" w:hAnsi="Calibri"/>
                <w:sz w:val="11"/>
                <w:szCs w:val="11"/>
                <w:color w:val="auto"/>
              </w:rPr>
              <w:t>—</w:t>
            </w: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Calibri" w:cs="Calibri" w:eastAsia="Calibri" w:hAnsi="Calibri"/>
                <w:sz w:val="11"/>
                <w:szCs w:val="11"/>
                <w:color w:val="auto"/>
              </w:rPr>
              <w:t>1,600</w:t>
            </w:r>
          </w:p>
        </w:tc>
        <w:tc>
          <w:tcPr>
            <w:tcW w:w="0" w:type="dxa"/>
            <w:vAlign w:val="bottom"/>
          </w:tcPr>
          <w:p>
            <w:pPr>
              <w:spacing w:after="0"/>
              <w:rPr>
                <w:sz w:val="1"/>
                <w:szCs w:val="1"/>
                <w:color w:val="auto"/>
              </w:rPr>
            </w:pPr>
          </w:p>
        </w:tc>
      </w:tr>
      <w:tr>
        <w:trPr>
          <w:trHeight w:val="128"/>
        </w:trPr>
        <w:tc>
          <w:tcPr>
            <w:tcW w:w="1860" w:type="dxa"/>
            <w:vAlign w:val="bottom"/>
          </w:tcPr>
          <w:p>
            <w:pPr>
              <w:ind w:left="20"/>
              <w:spacing w:after="0" w:line="129" w:lineRule="exact"/>
              <w:rPr>
                <w:sz w:val="20"/>
                <w:szCs w:val="20"/>
                <w:color w:val="auto"/>
              </w:rPr>
            </w:pPr>
            <w:r>
              <w:rPr>
                <w:rFonts w:ascii="Calibri" w:cs="Calibri" w:eastAsia="Calibri" w:hAnsi="Calibri"/>
                <w:sz w:val="11"/>
                <w:szCs w:val="11"/>
                <w:color w:val="auto"/>
              </w:rPr>
              <w:t>Total</w:t>
            </w:r>
          </w:p>
        </w:tc>
        <w:tc>
          <w:tcPr>
            <w:tcW w:w="1880" w:type="dxa"/>
            <w:vAlign w:val="bottom"/>
          </w:tcPr>
          <w:p>
            <w:pPr>
              <w:jc w:val="right"/>
              <w:ind w:right="423"/>
              <w:spacing w:after="0" w:line="129" w:lineRule="exact"/>
              <w:rPr>
                <w:sz w:val="20"/>
                <w:szCs w:val="20"/>
                <w:color w:val="auto"/>
              </w:rPr>
            </w:pPr>
            <w:r>
              <w:rPr>
                <w:rFonts w:ascii="Calibri" w:cs="Calibri" w:eastAsia="Calibri" w:hAnsi="Calibri"/>
                <w:sz w:val="11"/>
                <w:szCs w:val="11"/>
                <w:color w:val="auto"/>
              </w:rPr>
              <w:t>5,300</w:t>
            </w:r>
          </w:p>
        </w:tc>
        <w:tc>
          <w:tcPr>
            <w:tcW w:w="1820" w:type="dxa"/>
            <w:vAlign w:val="bottom"/>
          </w:tcPr>
          <w:p>
            <w:pPr>
              <w:jc w:val="right"/>
              <w:ind w:right="803"/>
              <w:spacing w:after="0" w:line="129" w:lineRule="exact"/>
              <w:rPr>
                <w:sz w:val="20"/>
                <w:szCs w:val="20"/>
                <w:color w:val="auto"/>
              </w:rPr>
            </w:pPr>
            <w:r>
              <w:rPr>
                <w:rFonts w:ascii="Calibri" w:cs="Calibri" w:eastAsia="Calibri" w:hAnsi="Calibri"/>
                <w:sz w:val="11"/>
                <w:szCs w:val="11"/>
                <w:color w:val="auto"/>
              </w:rPr>
              <w:t>400</w:t>
            </w:r>
          </w:p>
        </w:tc>
        <w:tc>
          <w:tcPr>
            <w:tcW w:w="1160" w:type="dxa"/>
            <w:vAlign w:val="bottom"/>
          </w:tcPr>
          <w:p>
            <w:pPr>
              <w:jc w:val="right"/>
              <w:ind w:right="523"/>
              <w:spacing w:after="0" w:line="129" w:lineRule="exact"/>
              <w:rPr>
                <w:sz w:val="20"/>
                <w:szCs w:val="20"/>
                <w:color w:val="auto"/>
              </w:rPr>
            </w:pPr>
            <w:r>
              <w:rPr>
                <w:rFonts w:ascii="Calibri" w:cs="Calibri" w:eastAsia="Calibri" w:hAnsi="Calibri"/>
                <w:sz w:val="11"/>
                <w:szCs w:val="11"/>
                <w:color w:val="auto"/>
              </w:rPr>
              <w:t>6,300</w:t>
            </w:r>
          </w:p>
        </w:tc>
        <w:tc>
          <w:tcPr>
            <w:tcW w:w="920" w:type="dxa"/>
            <w:vAlign w:val="bottom"/>
          </w:tcPr>
          <w:p>
            <w:pPr>
              <w:jc w:val="right"/>
              <w:ind w:right="3"/>
              <w:spacing w:after="0" w:line="129" w:lineRule="exact"/>
              <w:rPr>
                <w:sz w:val="20"/>
                <w:szCs w:val="20"/>
                <w:color w:val="auto"/>
              </w:rPr>
            </w:pPr>
            <w:r>
              <w:rPr>
                <w:rFonts w:ascii="Calibri" w:cs="Calibri" w:eastAsia="Calibri" w:hAnsi="Calibri"/>
                <w:sz w:val="11"/>
                <w:szCs w:val="11"/>
                <w:color w:val="auto"/>
              </w:rPr>
              <w:t>12,000</w:t>
            </w:r>
          </w:p>
        </w:tc>
        <w:tc>
          <w:tcPr>
            <w:tcW w:w="0" w:type="dxa"/>
            <w:vAlign w:val="bottom"/>
          </w:tcPr>
          <w:p>
            <w:pPr>
              <w:spacing w:after="0"/>
              <w:rPr>
                <w:sz w:val="1"/>
                <w:szCs w:val="1"/>
                <w:color w:val="auto"/>
              </w:rPr>
            </w:pPr>
          </w:p>
        </w:tc>
      </w:tr>
      <w:tr>
        <w:trPr>
          <w:trHeight w:val="46"/>
        </w:trPr>
        <w:tc>
          <w:tcPr>
            <w:tcW w:w="18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20"/>
        <w:spacing w:after="0"/>
        <w:rPr>
          <w:sz w:val="20"/>
          <w:szCs w:val="20"/>
          <w:color w:val="auto"/>
        </w:rPr>
      </w:pPr>
      <w:r>
        <w:rPr>
          <w:rFonts w:ascii="Calibri" w:cs="Calibri" w:eastAsia="Calibri" w:hAnsi="Calibri"/>
          <w:sz w:val="12"/>
          <w:szCs w:val="12"/>
          <w:color w:val="auto"/>
          <w:vertAlign w:val="superscript"/>
        </w:rPr>
        <w:t>(1)</w:t>
      </w:r>
      <w:r>
        <w:rPr>
          <w:rFonts w:ascii="Calibri" w:cs="Calibri" w:eastAsia="Calibri" w:hAnsi="Calibri"/>
          <w:sz w:val="10"/>
          <w:szCs w:val="10"/>
          <w:color w:val="auto"/>
        </w:rPr>
        <w:t>Acreage in Colombia is farmed through a joint venture.</w:t>
      </w:r>
    </w:p>
    <w:p>
      <w:pPr>
        <w:spacing w:after="0" w:line="123" w:lineRule="exact"/>
        <w:rPr>
          <w:sz w:val="20"/>
          <w:szCs w:val="20"/>
          <w:color w:val="auto"/>
        </w:rPr>
      </w:pPr>
    </w:p>
    <w:p>
      <w:pPr>
        <w:ind w:right="300" w:firstLine="509"/>
        <w:spacing w:after="0" w:line="248" w:lineRule="auto"/>
        <w:rPr>
          <w:sz w:val="20"/>
          <w:szCs w:val="20"/>
          <w:color w:val="auto"/>
        </w:rPr>
      </w:pPr>
      <w:r>
        <w:rPr>
          <w:rFonts w:ascii="Calibri" w:cs="Calibri" w:eastAsia="Calibri" w:hAnsi="Calibri"/>
          <w:sz w:val="12"/>
          <w:szCs w:val="12"/>
          <w:color w:val="auto"/>
        </w:rPr>
        <w:t>We are also involved in the farming of other fruits on a limited scale. We have planted mango orchards in Peru to enable us to realize synergies from labor and facility management during the avocado of-season. We have also invested in a blueberry farming joint venture, Moruga. While we do not market blueberries, our investment in Moruga further allows us to leverage labor and facility investments in Peru.</w:t>
      </w:r>
    </w:p>
    <w:p>
      <w:pPr>
        <w:spacing w:after="0" w:line="166"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Intellectual property</w:t>
      </w:r>
    </w:p>
    <w:p>
      <w:pPr>
        <w:spacing w:after="0" w:line="158" w:lineRule="exact"/>
        <w:rPr>
          <w:sz w:val="20"/>
          <w:szCs w:val="20"/>
          <w:color w:val="auto"/>
        </w:rPr>
      </w:pPr>
    </w:p>
    <w:p>
      <w:pPr>
        <w:ind w:firstLine="509"/>
        <w:spacing w:after="0" w:line="225" w:lineRule="auto"/>
        <w:rPr>
          <w:sz w:val="20"/>
          <w:szCs w:val="20"/>
          <w:color w:val="auto"/>
        </w:rPr>
      </w:pPr>
      <w:r>
        <w:rPr>
          <w:rFonts w:ascii="Calibri" w:cs="Calibri" w:eastAsia="Calibri" w:hAnsi="Calibri"/>
          <w:sz w:val="13"/>
          <w:szCs w:val="13"/>
          <w:color w:val="auto"/>
        </w:rPr>
        <w:t>We have registered or submited registratons for certain trademarks with the United Stated Patent and Trademark Ofce and with the appropriate bodies in internatonal jurisdictons, including The MISSION &amp; TOWER DESIGN® and MISSION PRODUCE™. In additon, we have several issued patents and copyrights that are not material to our business at this tme.</w:t>
      </w:r>
    </w:p>
    <w:p>
      <w:pPr>
        <w:spacing w:after="0" w:line="15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Seasonality</w:t>
      </w:r>
    </w:p>
    <w:p>
      <w:pPr>
        <w:spacing w:after="0" w:line="182" w:lineRule="exact"/>
        <w:rPr>
          <w:sz w:val="20"/>
          <w:szCs w:val="20"/>
          <w:color w:val="auto"/>
        </w:rPr>
      </w:pPr>
    </w:p>
    <w:p>
      <w:pPr>
        <w:ind w:right="260" w:firstLine="509"/>
        <w:spacing w:after="0" w:line="225" w:lineRule="auto"/>
        <w:rPr>
          <w:sz w:val="20"/>
          <w:szCs w:val="20"/>
          <w:color w:val="auto"/>
        </w:rPr>
      </w:pPr>
      <w:r>
        <w:rPr>
          <w:rFonts w:ascii="Calibri" w:cs="Calibri" w:eastAsia="Calibri" w:hAnsi="Calibri"/>
          <w:sz w:val="13"/>
          <w:szCs w:val="13"/>
          <w:color w:val="auto"/>
        </w:rPr>
        <w:t>The total sales and sales price of avocados fuctuates throughout the year due to variatons in supply of avocados based on geographic locaton. For example, in California and Peru, the harvest of avocados typically peaks between April and August. In Mexico, avocados are harvested year-round, but the harvest typically peaks between December through March. Although these geographical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5" w:name="page6"/>
    <w:bookmarkEnd w:id="5"/>
    <w:p>
      <w:pPr>
        <w:ind w:right="160"/>
        <w:spacing w:after="0" w:line="225" w:lineRule="auto"/>
        <w:rPr>
          <w:sz w:val="20"/>
          <w:szCs w:val="20"/>
          <w:color w:val="auto"/>
        </w:rPr>
      </w:pPr>
      <w:r>
        <w:rPr>
          <w:rFonts w:ascii="Calibri" w:cs="Calibri" w:eastAsia="Calibri" w:hAnsi="Calibri"/>
          <w:sz w:val="13"/>
          <w:szCs w:val="13"/>
          <w:color w:val="auto"/>
        </w:rPr>
        <w:t>diferences may lead to fuctuatons in the purchase price of avocados, our diverse geographical avocado growth and producton capabilites help us mitgate volatlity in our access to supply of avocados. As a result of the volumes sourced from our farming operatons in Peru, we realize a greater porton of our gross proft during the third and fourth quarters of our fscal year.</w:t>
      </w:r>
    </w:p>
    <w:p>
      <w:pPr>
        <w:spacing w:after="0" w:line="15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Human Capital</w:t>
      </w:r>
    </w:p>
    <w:p>
      <w:pPr>
        <w:spacing w:after="0" w:line="182" w:lineRule="exact"/>
        <w:rPr>
          <w:sz w:val="20"/>
          <w:szCs w:val="20"/>
          <w:color w:val="auto"/>
        </w:rPr>
      </w:pPr>
    </w:p>
    <w:p>
      <w:pPr>
        <w:ind w:right="20" w:firstLine="509"/>
        <w:spacing w:after="0" w:line="230" w:lineRule="auto"/>
        <w:rPr>
          <w:sz w:val="20"/>
          <w:szCs w:val="20"/>
          <w:color w:val="auto"/>
        </w:rPr>
      </w:pPr>
      <w:r>
        <w:rPr>
          <w:rFonts w:ascii="Calibri" w:cs="Calibri" w:eastAsia="Calibri" w:hAnsi="Calibri"/>
          <w:sz w:val="13"/>
          <w:szCs w:val="13"/>
          <w:color w:val="auto"/>
        </w:rPr>
        <w:t>As of October 31, 2022, we had approximately 3,900 employees located worldwide, of which, 2,500 were located in Peru, 600 were located in Mexico, 400 were located in the U.S., and 400 in other regions such as Guatemala, Europe, Canada and the U.K. Our headcount in Peru is inclusive of our Moruga blueberry operaton. Due to the cyclical nature of avocado producton, we also hire temporary and seasonal workers on our farms in Peru and packing houses in the U.S. and Mexico to meet our needs.</w:t>
      </w:r>
    </w:p>
    <w:p>
      <w:pPr>
        <w:spacing w:after="0" w:line="159" w:lineRule="exact"/>
        <w:rPr>
          <w:sz w:val="20"/>
          <w:szCs w:val="20"/>
          <w:color w:val="auto"/>
        </w:rPr>
      </w:pPr>
    </w:p>
    <w:p>
      <w:pPr>
        <w:ind w:firstLine="509"/>
        <w:spacing w:after="0" w:line="228" w:lineRule="auto"/>
        <w:rPr>
          <w:sz w:val="20"/>
          <w:szCs w:val="20"/>
          <w:color w:val="auto"/>
        </w:rPr>
      </w:pPr>
      <w:r>
        <w:rPr>
          <w:rFonts w:ascii="Calibri" w:cs="Calibri" w:eastAsia="Calibri" w:hAnsi="Calibri"/>
          <w:sz w:val="13"/>
          <w:szCs w:val="13"/>
          <w:color w:val="auto"/>
        </w:rPr>
        <w:t>For nearly four decades, we have remained rooted in honesty, respect, and loyalty. Globally, we support our people in the distnct ways needed according to their respectve regions and environment and commit to treatng every individual with dignity and respect by following our human rights declaraton. We’ve made actonable goals to address the incorporaton of Diversity, Equity, and Inclusion (“DE&amp;I”) in our organizaton and industry by sponsoring and partcipatng in certfcatons and trainings. Appointed teams contnually work to improve the working conditons of our people through our Health and Safety program. Our social initatves embody our core values: Fun, Innovatve, Reliable, Successful, and Trustworthy. Our corporate culture embodies these values and, as a result, we believe we have a highly motvated and skilled workforce that is commited to the success of our business.</w:t>
      </w:r>
    </w:p>
    <w:p>
      <w:pPr>
        <w:spacing w:after="0" w:line="16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Regulaton and Industry Associatons</w:t>
      </w:r>
    </w:p>
    <w:p>
      <w:pPr>
        <w:spacing w:after="0" w:line="171" w:lineRule="exact"/>
        <w:rPr>
          <w:sz w:val="20"/>
          <w:szCs w:val="20"/>
          <w:color w:val="auto"/>
        </w:rPr>
      </w:pPr>
    </w:p>
    <w:p>
      <w:pPr>
        <w:ind w:right="360" w:firstLine="509"/>
        <w:spacing w:after="0" w:line="233" w:lineRule="auto"/>
        <w:rPr>
          <w:sz w:val="20"/>
          <w:szCs w:val="20"/>
          <w:color w:val="auto"/>
        </w:rPr>
      </w:pPr>
      <w:r>
        <w:rPr>
          <w:rFonts w:ascii="Calibri" w:cs="Calibri" w:eastAsia="Calibri" w:hAnsi="Calibri"/>
          <w:sz w:val="13"/>
          <w:szCs w:val="13"/>
          <w:color w:val="auto"/>
        </w:rPr>
        <w:t>Our business is impacted by environmental, health and safety, government procurement, ant-bribery and other government regulatons and requirements. Below is a summary of some of the signifcant regulatons that impact our business.</w:t>
      </w:r>
    </w:p>
    <w:p>
      <w:pPr>
        <w:spacing w:after="0" w:line="159"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As an agricultural producer and marketer of consumable products, our operatons are subject to extensive regulaton by various federal government agencies, including the FDA, the USDA and the Federal Trade Commission (“FTC”), as well as state and local agencies, with respect to product atributes, packing, labeling, storage and distributon. Under various statutes and regulatons, these agencies prescribe requirements and establish standards for safety, purity and labeling. In additon, advertsing of our products is subject to regulaton by the FTC, and our operatons are subject to health and safety regulatons, including those issued under the Occupatonal Safety and Health Act (“OSHA”). Our packing facilites and products are subject to periodic inspecton by federal, state and local authorites, including the California State Department of Food and Agriculture (“CFDA”), which oversees weights &amp; measures compliance at our California packing facilites. All of our U.S. facilites are also in compliance with the FDA’s Food Safety Modernizaton Act (“FSMA”). In additon, our operatons in Mexico are subject to Mexican regulatons and our operatons in Peru are subject to Peruvian regulatons.</w:t>
      </w:r>
    </w:p>
    <w:p>
      <w:pPr>
        <w:spacing w:after="0" w:line="159" w:lineRule="exact"/>
        <w:rPr>
          <w:sz w:val="20"/>
          <w:szCs w:val="20"/>
          <w:color w:val="auto"/>
        </w:rPr>
      </w:pPr>
    </w:p>
    <w:p>
      <w:pPr>
        <w:ind w:right="400" w:firstLine="509"/>
        <w:spacing w:after="0" w:line="225" w:lineRule="auto"/>
        <w:rPr>
          <w:sz w:val="20"/>
          <w:szCs w:val="20"/>
          <w:color w:val="auto"/>
        </w:rPr>
      </w:pPr>
      <w:r>
        <w:rPr>
          <w:rFonts w:ascii="Calibri" w:cs="Calibri" w:eastAsia="Calibri" w:hAnsi="Calibri"/>
          <w:sz w:val="13"/>
          <w:szCs w:val="13"/>
          <w:color w:val="auto"/>
        </w:rPr>
        <w:t>The agricultural products sold and marketed by us are subject to additonal specifc government acts or regulatons, including the Hass Avocado Promoton, Research and Informaton Act of 2000 for our avocados.</w:t>
      </w:r>
    </w:p>
    <w:p>
      <w:pPr>
        <w:spacing w:after="0" w:line="159" w:lineRule="exact"/>
        <w:rPr>
          <w:sz w:val="20"/>
          <w:szCs w:val="20"/>
          <w:color w:val="auto"/>
        </w:rPr>
      </w:pPr>
    </w:p>
    <w:p>
      <w:pPr>
        <w:ind w:firstLine="509"/>
        <w:spacing w:after="0" w:line="233" w:lineRule="auto"/>
        <w:rPr>
          <w:sz w:val="20"/>
          <w:szCs w:val="20"/>
          <w:color w:val="auto"/>
        </w:rPr>
      </w:pPr>
      <w:r>
        <w:rPr>
          <w:rFonts w:ascii="Calibri" w:cs="Calibri" w:eastAsia="Calibri" w:hAnsi="Calibri"/>
          <w:sz w:val="13"/>
          <w:szCs w:val="13"/>
          <w:color w:val="auto"/>
        </w:rPr>
        <w:t>We are subject to numerous federal, state, local and foreign environmental laws and regulatons. These laws and regulatons govern, among other maters, the treatment, handling, storage, use and disposal of, and exposure to, hazardous materials and waste, including herbicides, fertlizers, pestcides and other agricultural products, the remediaton of contaminated propertes and climate change.</w:t>
      </w:r>
    </w:p>
    <w:p>
      <w:pPr>
        <w:spacing w:after="0" w:line="159" w:lineRule="exact"/>
        <w:rPr>
          <w:sz w:val="20"/>
          <w:szCs w:val="20"/>
          <w:color w:val="auto"/>
        </w:rPr>
      </w:pPr>
    </w:p>
    <w:p>
      <w:pPr>
        <w:ind w:right="20" w:firstLine="509"/>
        <w:spacing w:after="0" w:line="248" w:lineRule="auto"/>
        <w:rPr>
          <w:sz w:val="20"/>
          <w:szCs w:val="20"/>
          <w:color w:val="auto"/>
        </w:rPr>
      </w:pPr>
      <w:r>
        <w:rPr>
          <w:rFonts w:ascii="Calibri" w:cs="Calibri" w:eastAsia="Calibri" w:hAnsi="Calibri"/>
          <w:sz w:val="12"/>
          <w:szCs w:val="12"/>
          <w:color w:val="auto"/>
        </w:rPr>
        <w:t>In the U.S., the Hass Avocado Board was established by the USDA to promote the sale of Hass variety avocados. This board provides a basis for unifed funding of promotonal actvites based on an assessment on all avocados sold in the U.S. marketplace. The California Avocado Commission, which receives its funding from California avocado growers, has historically shouldered the promotonal and advertsing costs supportng avocado sales. We believe that the incremental funding of promotonal and advertsing programs in the U.S. will, in the long term, positvely impact average selling prices and will favorably impact our avocado businesses. Similarly, Avocados from Mexico (“AFM”) was formed in 2013 as the marketng arm of the Mexican Hass Avocados Importers Associaton (“MHAIA”) and the Associaton of Growers and Packers of Avocados From Mexico (“APEAM”). In Peru, the organizaton Pro Hass promotes the marketng of high-quality Hass avocados, providing support to the local industry with technical research, packaging, and producton.</w:t>
      </w:r>
    </w:p>
    <w:p>
      <w:pPr>
        <w:spacing w:after="0" w:line="146"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We seek to comply at all tmes with all such laws and regulatons and to obtain any necessary permits and licenses, and we are not aware of any instances of material non-compliance.</w:t>
      </w:r>
    </w:p>
    <w:p>
      <w:pPr>
        <w:spacing w:after="0" w:line="16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Available Informaton</w:t>
      </w:r>
    </w:p>
    <w:p>
      <w:pPr>
        <w:spacing w:after="0" w:line="171" w:lineRule="exact"/>
        <w:rPr>
          <w:sz w:val="20"/>
          <w:szCs w:val="20"/>
          <w:color w:val="auto"/>
        </w:rPr>
      </w:pPr>
    </w:p>
    <w:p>
      <w:pPr>
        <w:ind w:right="40" w:firstLine="509"/>
        <w:spacing w:after="0" w:line="233" w:lineRule="auto"/>
        <w:rPr>
          <w:sz w:val="20"/>
          <w:szCs w:val="20"/>
          <w:color w:val="auto"/>
        </w:rPr>
      </w:pPr>
      <w:r>
        <w:rPr>
          <w:rFonts w:ascii="Calibri" w:cs="Calibri" w:eastAsia="Calibri" w:hAnsi="Calibri"/>
          <w:sz w:val="13"/>
          <w:szCs w:val="13"/>
          <w:color w:val="auto"/>
        </w:rPr>
        <w:t>Our corporate headquarters are located at 2710 Camino Del Sol, Oxnard, California, and our telephone number is (805) 981-3650. Our internet address is www.missionproduce.com. The informaton on or that can be accessed through our website is not incorporated by reference in this report.</w:t>
      </w:r>
    </w:p>
    <w:p>
      <w:pPr>
        <w:spacing w:after="0" w:line="159" w:lineRule="exact"/>
        <w:rPr>
          <w:sz w:val="20"/>
          <w:szCs w:val="20"/>
          <w:color w:val="auto"/>
        </w:rPr>
      </w:pPr>
    </w:p>
    <w:p>
      <w:pPr>
        <w:ind w:right="440" w:firstLine="509"/>
        <w:spacing w:after="0" w:line="225" w:lineRule="auto"/>
        <w:rPr>
          <w:sz w:val="20"/>
          <w:szCs w:val="20"/>
          <w:color w:val="auto"/>
        </w:rPr>
      </w:pPr>
      <w:r>
        <w:rPr>
          <w:rFonts w:ascii="Calibri" w:cs="Calibri" w:eastAsia="Calibri" w:hAnsi="Calibri"/>
          <w:sz w:val="13"/>
          <w:szCs w:val="13"/>
          <w:color w:val="auto"/>
        </w:rPr>
        <w:t>We make available free of charge certain reports and amendments that we fle with the SEC, such as our annual reports on Form 10-K, quarterly reports on Form 10-Q, current reports on Form 8-K, our directors’ and ofcers’ Secton 16 reports, as soon as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color w:val="auto"/>
        </w:rPr>
        <w:t>reasonably practcable afer fling or furnishing such materials to the SEC on the “Investor relatons” secton of our website. They are also available free of charge on the SEC’s website at www.sec.gov.</w:t>
      </w:r>
    </w:p>
    <w:p>
      <w:pPr>
        <w:spacing w:after="0" w:line="200" w:lineRule="exact"/>
        <w:rPr>
          <w:sz w:val="20"/>
          <w:szCs w:val="20"/>
          <w:color w:val="auto"/>
        </w:rPr>
      </w:pPr>
    </w:p>
    <w:p>
      <w:pPr>
        <w:spacing w:after="0" w:line="252"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1A.</w:t>
      </w:r>
      <w:r>
        <w:rPr>
          <w:sz w:val="20"/>
          <w:szCs w:val="20"/>
          <w:color w:val="auto"/>
        </w:rPr>
        <w:tab/>
      </w:r>
      <w:r>
        <w:rPr>
          <w:rFonts w:ascii="Calibri" w:cs="Calibri" w:eastAsia="Calibri" w:hAnsi="Calibri"/>
          <w:sz w:val="17"/>
          <w:szCs w:val="17"/>
          <w:b w:val="1"/>
          <w:bCs w:val="1"/>
          <w:color w:val="auto"/>
        </w:rPr>
        <w:t>Risk Factors</w:t>
      </w:r>
    </w:p>
    <w:p>
      <w:pPr>
        <w:spacing w:after="0" w:line="187" w:lineRule="exact"/>
        <w:rPr>
          <w:sz w:val="20"/>
          <w:szCs w:val="20"/>
          <w:color w:val="auto"/>
        </w:rPr>
      </w:pPr>
    </w:p>
    <w:p>
      <w:pPr>
        <w:ind w:right="20" w:firstLine="509"/>
        <w:spacing w:after="0" w:line="229" w:lineRule="auto"/>
        <w:rPr>
          <w:sz w:val="20"/>
          <w:szCs w:val="20"/>
          <w:color w:val="auto"/>
        </w:rPr>
      </w:pPr>
      <w:r>
        <w:rPr>
          <w:rFonts w:ascii="Calibri" w:cs="Calibri" w:eastAsia="Calibri" w:hAnsi="Calibri"/>
          <w:sz w:val="13"/>
          <w:szCs w:val="13"/>
          <w:color w:val="auto"/>
        </w:rPr>
        <w:t>You should carefully consider the following risk factors, together with the other informaton contained in this annual report on Form 10-K, including our fnancial statements and the related notes and “Management’s Discussion and Analysis of Financial Conditon and Results of Operatons,” before making a decision to purchase or sell shares of our common stock. We cannot assure you that any of the events discussed in the risk factors below will not occur. These risks could have a material and adverse impact on our business, results of operatons, fnancial conditon and growth prospects. If that were to happen, the trading price of our common stock could decline. Additonal risks and uncertaintes not presently known to us or that we currently deem immaterial also may impair our business operatons or fnancial conditon.</w:t>
      </w:r>
    </w:p>
    <w:p>
      <w:pPr>
        <w:spacing w:after="0" w:line="15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Risks Related to Our Business</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Our ability to generate revenues is limited by the supply of avocados and our ability to purchase or grow additonal avocados.</w:t>
      </w:r>
    </w:p>
    <w:p>
      <w:pPr>
        <w:spacing w:after="0" w:line="158" w:lineRule="exact"/>
        <w:rPr>
          <w:sz w:val="20"/>
          <w:szCs w:val="20"/>
          <w:color w:val="auto"/>
        </w:rPr>
      </w:pPr>
    </w:p>
    <w:p>
      <w:pPr>
        <w:ind w:right="80" w:firstLine="509"/>
        <w:spacing w:after="0" w:line="230" w:lineRule="auto"/>
        <w:rPr>
          <w:sz w:val="20"/>
          <w:szCs w:val="20"/>
          <w:color w:val="auto"/>
        </w:rPr>
      </w:pPr>
      <w:r>
        <w:rPr>
          <w:rFonts w:ascii="Calibri" w:cs="Calibri" w:eastAsia="Calibri" w:hAnsi="Calibri"/>
          <w:sz w:val="13"/>
          <w:szCs w:val="13"/>
          <w:color w:val="auto"/>
        </w:rPr>
        <w:t>Our ability to distribute avocados is limited by our ability to acquire supply from third-party growers and to produce on our own farms. With a limited number of avocado trees on our farms and on the farms from which we purchase, our ability to obtain supply from third partes and adapt to any changes in demand of our product is constrained. If we are unable to purchase sufcient volumes from third-party growers at acceptable prices or demand for our products were to increase in the future, we would need additonal producton capacity, which may take tme, whether by purchasing additonal fruit from third-party suppliers or by waitng for our younger avocado trees to bear fruit. These purchases may expose us to increases in short-term costs and additonal producton may expose us to additonal long-term operatng costs. If supply decreases dramatcally, whether as a result of damage to farms, inclement weather, drought, labor issues, or other problems, prices have and could dramatcally increase and we may not be able to purchase sufcient fruit. The impact of the limited supply and increased prices could decrease our revenues or increase our costs of goods sold, which would harm our business and fnancial results.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Our proftability is sensitve to fuctuatons in market prices of avocados which we do not control.</w:t>
      </w:r>
    </w:p>
    <w:p>
      <w:pPr>
        <w:spacing w:after="0" w:line="158" w:lineRule="exact"/>
        <w:rPr>
          <w:sz w:val="20"/>
          <w:szCs w:val="20"/>
          <w:color w:val="auto"/>
        </w:rPr>
      </w:pPr>
    </w:p>
    <w:p>
      <w:pPr>
        <w:ind w:right="640" w:firstLine="509"/>
        <w:spacing w:after="0" w:line="233" w:lineRule="auto"/>
        <w:rPr>
          <w:sz w:val="20"/>
          <w:szCs w:val="20"/>
          <w:color w:val="auto"/>
        </w:rPr>
      </w:pPr>
      <w:r>
        <w:rPr>
          <w:rFonts w:ascii="Calibri" w:cs="Calibri" w:eastAsia="Calibri" w:hAnsi="Calibri"/>
          <w:sz w:val="13"/>
          <w:szCs w:val="13"/>
          <w:color w:val="auto"/>
        </w:rPr>
        <w:t>The pricing of avocados depends on supply, and excess supply can lead to price competton in our industry. Growing conditons in various parts of the world, partcularly weather conditons such as windstorms, foods, droughts, wildfres and freezes, as well as diseases and pests, are primary factors afectng market prices because of their infuence on the supply, size, and quality of product.</w:t>
      </w:r>
    </w:p>
    <w:p>
      <w:pPr>
        <w:spacing w:after="0" w:line="159" w:lineRule="exact"/>
        <w:rPr>
          <w:sz w:val="20"/>
          <w:szCs w:val="20"/>
          <w:color w:val="auto"/>
        </w:rPr>
      </w:pPr>
    </w:p>
    <w:p>
      <w:pPr>
        <w:ind w:right="400" w:firstLine="509"/>
        <w:spacing w:after="0" w:line="225" w:lineRule="auto"/>
        <w:rPr>
          <w:sz w:val="20"/>
          <w:szCs w:val="20"/>
          <w:color w:val="auto"/>
        </w:rPr>
      </w:pPr>
      <w:r>
        <w:rPr>
          <w:rFonts w:ascii="Calibri" w:cs="Calibri" w:eastAsia="Calibri" w:hAnsi="Calibri"/>
          <w:sz w:val="13"/>
          <w:szCs w:val="13"/>
          <w:color w:val="auto"/>
        </w:rPr>
        <w:t>Pricing also depends on quality. Fresh produce is highly perishable and generally must be brought to market and sold soon afer harvest. The selling price received depends on the availability and quality ofered by us to customers and available in the market generally.</w:t>
      </w:r>
    </w:p>
    <w:p>
      <w:pPr>
        <w:spacing w:after="0" w:line="159" w:lineRule="exact"/>
        <w:rPr>
          <w:sz w:val="20"/>
          <w:szCs w:val="20"/>
          <w:color w:val="auto"/>
        </w:rPr>
      </w:pPr>
    </w:p>
    <w:p>
      <w:pPr>
        <w:ind w:firstLine="509"/>
        <w:spacing w:after="0" w:line="231" w:lineRule="auto"/>
        <w:rPr>
          <w:sz w:val="20"/>
          <w:szCs w:val="20"/>
          <w:color w:val="auto"/>
        </w:rPr>
      </w:pPr>
      <w:r>
        <w:rPr>
          <w:rFonts w:ascii="Calibri" w:cs="Calibri" w:eastAsia="Calibri" w:hAnsi="Calibri"/>
          <w:sz w:val="13"/>
          <w:szCs w:val="13"/>
          <w:color w:val="auto"/>
        </w:rPr>
        <w:t>Pricing also depends on demand, and consumer preferences for partcular food products are subject to fuctuatons over tme. Shifs in consumer preferences that impact demand at any given tme can result from a number of factors, including dietary trends, price, atenton to partcular nutritonal aspects, concerns regarding the health efects of partcular products, atenton given to product sourcing practces and general public percepton of food safety risks. Consumer demand for our products also may be impacted by any public commentary that consumers may make regarding our products, as well as by changes in the level of advertsing or promotonal support that we employ or that are employed by relevant industry groups or third partes. If consumer preferences trend negatvely with respect to avocados, our sales volumes may decline as a result.</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We are subject to increasing competton that may adversely afect our operatng results.</w:t>
      </w:r>
    </w:p>
    <w:p>
      <w:pPr>
        <w:spacing w:after="0" w:line="158" w:lineRule="exact"/>
        <w:rPr>
          <w:sz w:val="20"/>
          <w:szCs w:val="20"/>
          <w:color w:val="auto"/>
        </w:rPr>
      </w:pPr>
    </w:p>
    <w:p>
      <w:pPr>
        <w:ind w:right="100" w:firstLine="509"/>
        <w:spacing w:after="0" w:line="254" w:lineRule="auto"/>
        <w:rPr>
          <w:sz w:val="20"/>
          <w:szCs w:val="20"/>
          <w:color w:val="auto"/>
        </w:rPr>
      </w:pPr>
      <w:r>
        <w:rPr>
          <w:rFonts w:ascii="Calibri" w:cs="Calibri" w:eastAsia="Calibri" w:hAnsi="Calibri"/>
          <w:sz w:val="12"/>
          <w:szCs w:val="12"/>
          <w:color w:val="auto"/>
        </w:rPr>
        <w:t>The market for avocados is highly compettve. Competton for the purchase of avocados from suppliers and the sale of avocados to distributors primarily comes from other avocado distributors. If we are unable to consistently pay growers a compettve price for their avocados, these growers may choose to have their avocados marketed by alternate distributors. If we are unable to ofer atractve prices or consistent supply to retail and wholesale customers, they may choose to purchase from other companies. Such competton may adversely afect our volumes and prices, which would harm our business and results of operatons.</w:t>
      </w:r>
    </w:p>
    <w:p>
      <w:pPr>
        <w:spacing w:after="0" w:line="152"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We are subject to the risks of doing business internatonally and our current internatonal operatons are subject to a number of inherent risks.</w:t>
      </w:r>
    </w:p>
    <w:p>
      <w:pPr>
        <w:spacing w:after="0" w:line="169" w:lineRule="exact"/>
        <w:rPr>
          <w:sz w:val="20"/>
          <w:szCs w:val="20"/>
          <w:color w:val="auto"/>
        </w:rPr>
      </w:pPr>
    </w:p>
    <w:p>
      <w:pPr>
        <w:ind w:right="260" w:firstLine="509"/>
        <w:spacing w:after="0" w:line="225" w:lineRule="auto"/>
        <w:rPr>
          <w:sz w:val="20"/>
          <w:szCs w:val="20"/>
          <w:color w:val="auto"/>
        </w:rPr>
      </w:pPr>
      <w:r>
        <w:rPr>
          <w:rFonts w:ascii="Calibri" w:cs="Calibri" w:eastAsia="Calibri" w:hAnsi="Calibri"/>
          <w:sz w:val="13"/>
          <w:szCs w:val="13"/>
          <w:color w:val="auto"/>
        </w:rPr>
        <w:t>We conduct a substantal amount of business internatonally, including: doing business with growers and customers who are located outside the United States; purchasing fruit from growers and packers in Mexico and other countries; owning or leasing thousands of acres of farms in other countries, operatng packing facilites in Peru and Mexico, having farming joint ventures in Colombia and South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color w:val="auto"/>
        </w:rPr>
        <w:t>Africa, operatng sales and distributon ofces in China and in Europe, and selling products to foreign customers. We also contnually explore sourcing, distributon and sales opportunites in additonal countries.</w:t>
      </w:r>
    </w:p>
    <w:p>
      <w:pPr>
        <w:spacing w:after="0" w:line="224" w:lineRule="auto"/>
        <w:rPr>
          <w:sz w:val="20"/>
          <w:szCs w:val="20"/>
          <w:color w:val="auto"/>
        </w:rPr>
      </w:pPr>
      <w:r>
        <w:rPr>
          <w:rFonts w:ascii="Calibri" w:cs="Calibri" w:eastAsia="Calibri" w:hAnsi="Calibri"/>
          <w:sz w:val="13"/>
          <w:szCs w:val="13"/>
          <w:color w:val="auto"/>
        </w:rPr>
        <w:t>Conductng business internatonally has exposed, and contnues to expose, us to a variety of risks, including:</w:t>
      </w:r>
    </w:p>
    <w:p>
      <w:pPr>
        <w:spacing w:after="0" w:line="84" w:lineRule="exact"/>
        <w:rPr>
          <w:sz w:val="20"/>
          <w:szCs w:val="20"/>
          <w:color w:val="auto"/>
        </w:rPr>
      </w:pPr>
    </w:p>
    <w:p>
      <w:pPr>
        <w:ind w:left="520" w:right="60" w:hanging="260"/>
        <w:spacing w:after="0" w:line="233" w:lineRule="auto"/>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Changes in legal or regulatory requirements afectng foreign investment, taxes, labor, imports and exports or changes in or interpretatons of foreign regulatons that may adversely afect our ability to sell our products, repatriate profts to the United States or operate our foreign-located facilites;</w:t>
      </w:r>
    </w:p>
    <w:p>
      <w:pPr>
        <w:spacing w:after="0" w:line="84" w:lineRule="exact"/>
        <w:rPr>
          <w:rFonts w:ascii="Calibri" w:cs="Calibri" w:eastAsia="Calibri" w:hAnsi="Calibri"/>
          <w:sz w:val="13"/>
          <w:szCs w:val="13"/>
          <w:color w:val="auto"/>
        </w:rPr>
      </w:pPr>
    </w:p>
    <w:p>
      <w:pPr>
        <w:ind w:left="520" w:right="40" w:hanging="260"/>
        <w:spacing w:after="0" w:line="233" w:lineRule="auto"/>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increased demands on our limited resources created by our operatons may constrain the capabilites of our administratve and operatonal resources and restrict our ability to atract, train, manage and retain qualifed management, technicians, scientsts and other personnel;</w:t>
      </w:r>
    </w:p>
    <w:p>
      <w:pPr>
        <w:spacing w:after="0" w:line="75"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difcultes associated with stafng and managing foreign operatons;</w:t>
      </w:r>
    </w:p>
    <w:p>
      <w:pPr>
        <w:spacing w:after="0" w:line="83" w:lineRule="exact"/>
        <w:rPr>
          <w:rFonts w:ascii="Calibri" w:cs="Calibri" w:eastAsia="Calibri" w:hAnsi="Calibri"/>
          <w:sz w:val="13"/>
          <w:szCs w:val="13"/>
          <w:color w:val="auto"/>
        </w:rPr>
      </w:pPr>
    </w:p>
    <w:p>
      <w:pPr>
        <w:ind w:left="520" w:right="120" w:hanging="260"/>
        <w:spacing w:after="0" w:line="233" w:lineRule="auto"/>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multple, confictng and changing laws and regulatons such as tarifs and tax laws, export and import restrictons, employment laws, regulatory requirements and other governmental approvals, permits and licenses;</w:t>
      </w:r>
    </w:p>
    <w:p>
      <w:pPr>
        <w:spacing w:after="0" w:line="75"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potental failure by us or third partes we rely on to obtain and/or maintain regulatory approvals for the sale or use of our products in various countries;</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difcultes in managing global operatons;</w:t>
      </w:r>
    </w:p>
    <w:p>
      <w:pPr>
        <w:spacing w:after="0" w:line="74"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logistcs and regulatons associated with shipping products, including infrastructure conditons and transportaton delays;</w:t>
      </w:r>
    </w:p>
    <w:p>
      <w:pPr>
        <w:spacing w:after="0" w:line="74"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fnancial risks, such as longer payment cycles, difculty enforcing contracts and collectng accounts receivable, and exposure to currency exchange rate fuctuatons;</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reduced protecton for intellectual property rights, or lack of them in certain jurisdictons;</w:t>
      </w:r>
    </w:p>
    <w:p>
      <w:pPr>
        <w:spacing w:after="0" w:line="83" w:lineRule="exact"/>
        <w:rPr>
          <w:rFonts w:ascii="Calibri" w:cs="Calibri" w:eastAsia="Calibri" w:hAnsi="Calibri"/>
          <w:sz w:val="13"/>
          <w:szCs w:val="13"/>
          <w:color w:val="auto"/>
        </w:rPr>
      </w:pPr>
    </w:p>
    <w:p>
      <w:pPr>
        <w:ind w:left="520" w:hanging="260"/>
        <w:spacing w:after="0" w:line="233" w:lineRule="auto"/>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economic weakness or instability, economic recessions, politcal and economic instability, including corrupton, wars, terrorism and politcal unrest, outbreak of disease, boycots, curtailment of trade and other business restrictons;</w:t>
      </w:r>
    </w:p>
    <w:p>
      <w:pPr>
        <w:spacing w:after="0" w:line="84" w:lineRule="exact"/>
        <w:rPr>
          <w:rFonts w:ascii="Calibri" w:cs="Calibri" w:eastAsia="Calibri" w:hAnsi="Calibri"/>
          <w:sz w:val="13"/>
          <w:szCs w:val="13"/>
          <w:color w:val="auto"/>
        </w:rPr>
      </w:pPr>
    </w:p>
    <w:p>
      <w:pPr>
        <w:ind w:left="520" w:right="300" w:hanging="260"/>
        <w:spacing w:after="0" w:line="225" w:lineRule="auto"/>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failure to comply with the Foreign Corrupt Practces Act, including its books and records provisions and its ant-bribery provisions, by maintaining accurate informaton and control over sales actvites and distributors’ actvites;</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failure to comply with restrictons on the ability of companies to do business in foreign countries;</w:t>
      </w:r>
    </w:p>
    <w:p>
      <w:pPr>
        <w:spacing w:after="0" w:line="83" w:lineRule="exact"/>
        <w:rPr>
          <w:rFonts w:ascii="Calibri" w:cs="Calibri" w:eastAsia="Calibri" w:hAnsi="Calibri"/>
          <w:sz w:val="13"/>
          <w:szCs w:val="13"/>
          <w:color w:val="auto"/>
        </w:rPr>
      </w:pPr>
    </w:p>
    <w:p>
      <w:pPr>
        <w:ind w:left="520" w:right="480" w:hanging="260"/>
        <w:spacing w:after="0" w:line="225" w:lineRule="auto"/>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restrictve U.S. and foreign governmental actons, such as restrictons on transfers of funds and trade protecton measures, including import/export dutes and quotas and customs dutes and tarifs, or unexpected changes in tarifs, trade barriers and regulatory requirements;</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compliance with tax, employment, immigraton and labor laws;</w:t>
      </w:r>
    </w:p>
    <w:p>
      <w:pPr>
        <w:spacing w:after="0" w:line="74"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taxes, including withholding of payroll taxes;</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currency fuctuatons, which could result in increased operatng expenses and reduced revenue, and other obligatons incident to doing business in another country;</w:t>
      </w:r>
    </w:p>
    <w:p>
      <w:pPr>
        <w:spacing w:after="0" w:line="74"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workforce uncertainty in countries where labor unrest is more common than in the United States;</w:t>
      </w:r>
    </w:p>
    <w:p>
      <w:pPr>
        <w:spacing w:after="0" w:line="74"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producton shortages or disruptons in supply, labor, transportaton and trading; and</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business and shipping interruptons resultng from pandemics and natural or other disasters including earthquakes, volcanic actvity, hurricanes, foods and fres.</w:t>
      </w:r>
    </w:p>
    <w:p>
      <w:pPr>
        <w:spacing w:after="0" w:line="158" w:lineRule="exact"/>
        <w:rPr>
          <w:sz w:val="20"/>
          <w:szCs w:val="20"/>
          <w:color w:val="auto"/>
        </w:rPr>
      </w:pPr>
    </w:p>
    <w:p>
      <w:pPr>
        <w:ind w:right="120" w:firstLine="509"/>
        <w:spacing w:after="0" w:line="225" w:lineRule="auto"/>
        <w:rPr>
          <w:sz w:val="20"/>
          <w:szCs w:val="20"/>
          <w:color w:val="auto"/>
        </w:rPr>
      </w:pPr>
      <w:r>
        <w:rPr>
          <w:rFonts w:ascii="Calibri" w:cs="Calibri" w:eastAsia="Calibri" w:hAnsi="Calibri"/>
          <w:sz w:val="13"/>
          <w:szCs w:val="13"/>
          <w:color w:val="auto"/>
        </w:rPr>
        <w:t>We have encountered many of these risks, which has afected our internatonal expansion and operatons and, consequently, could have an adverse efect on our fnancial conditon, results of operatons and cash fows.</w:t>
      </w:r>
    </w:p>
    <w:p>
      <w:pPr>
        <w:spacing w:after="0" w:line="159" w:lineRule="exact"/>
        <w:rPr>
          <w:sz w:val="20"/>
          <w:szCs w:val="20"/>
          <w:color w:val="auto"/>
        </w:rPr>
      </w:pPr>
    </w:p>
    <w:p>
      <w:pPr>
        <w:ind w:right="80" w:firstLine="509"/>
        <w:spacing w:after="0" w:line="233" w:lineRule="auto"/>
        <w:rPr>
          <w:sz w:val="20"/>
          <w:szCs w:val="20"/>
          <w:color w:val="auto"/>
        </w:rPr>
      </w:pPr>
      <w:r>
        <w:rPr>
          <w:rFonts w:ascii="Calibri" w:cs="Calibri" w:eastAsia="Calibri" w:hAnsi="Calibri"/>
          <w:sz w:val="13"/>
          <w:szCs w:val="13"/>
          <w:color w:val="auto"/>
        </w:rPr>
        <w:t>Our business is also impacted by the negotaton and implementaton of free trade agreements between the United States and other countries, partcularly in Mexico, which is the largest source of our supply of avocados. Such agreements can reduce or increase barriers to internatonal trade and thus afect the cost of conductng business internatonally, including the cost of purchasing avocados.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Infatonary pressures and increases in costs of commodites or other products we use in our business, such as fuel, packing, and paper, could adversely afect our operatng results.</w:t>
      </w:r>
    </w:p>
    <w:p>
      <w:pPr>
        <w:spacing w:after="0" w:line="149" w:lineRule="exact"/>
        <w:rPr>
          <w:sz w:val="20"/>
          <w:szCs w:val="20"/>
          <w:color w:val="auto"/>
        </w:rPr>
      </w:pPr>
    </w:p>
    <w:p>
      <w:pPr>
        <w:jc w:val="center"/>
        <w:ind w:right="40"/>
        <w:spacing w:after="0"/>
        <w:rPr>
          <w:sz w:val="20"/>
          <w:szCs w:val="20"/>
          <w:color w:val="auto"/>
        </w:rPr>
      </w:pPr>
      <w:r>
        <w:rPr>
          <w:rFonts w:ascii="Calibri" w:cs="Calibri" w:eastAsia="Calibri" w:hAnsi="Calibri"/>
          <w:sz w:val="13"/>
          <w:szCs w:val="13"/>
          <w:color w:val="auto"/>
        </w:rPr>
        <w:t>The price of various products that we use in packing, shipping, or distributng avocados can signifcantly afect our costs. Fuel and transportaton costs are a signifcant cost component and make up a</w:t>
      </w:r>
    </w:p>
    <w:p>
      <w:pPr>
        <w:spacing w:after="0" w:line="10" w:lineRule="exact"/>
        <w:rPr>
          <w:sz w:val="20"/>
          <w:szCs w:val="20"/>
          <w:color w:val="auto"/>
        </w:rPr>
      </w:pPr>
    </w:p>
    <w:p>
      <w:pPr>
        <w:ind w:right="40"/>
        <w:spacing w:after="0" w:line="225" w:lineRule="auto"/>
        <w:rPr>
          <w:sz w:val="20"/>
          <w:szCs w:val="20"/>
          <w:color w:val="auto"/>
        </w:rPr>
      </w:pPr>
      <w:r>
        <w:rPr>
          <w:rFonts w:ascii="Calibri" w:cs="Calibri" w:eastAsia="Calibri" w:hAnsi="Calibri"/>
          <w:sz w:val="13"/>
          <w:szCs w:val="13"/>
          <w:color w:val="auto"/>
        </w:rPr>
        <w:t>meaningful porton of the price of much of the fruit that we purchase from growers, and such costs have recently been increasing. There can be no assurance that we will be able to, or to what extent we can, pass on to our customers the increased costs we incur in these respects.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0" w:right="339" w:bottom="1440" w:gutter="0" w:footer="0" w:header="0"/>
        </w:sectPr>
      </w:pPr>
    </w:p>
    <w:bookmarkStart w:id="8" w:name="page9"/>
    <w:bookmarkEnd w:id="8"/>
    <w:p>
      <w:pPr>
        <w:ind w:right="60" w:firstLine="509"/>
        <w:spacing w:after="0" w:line="225" w:lineRule="auto"/>
        <w:rPr>
          <w:sz w:val="20"/>
          <w:szCs w:val="20"/>
          <w:color w:val="auto"/>
        </w:rPr>
      </w:pPr>
      <w:r>
        <w:rPr>
          <w:rFonts w:ascii="Calibri" w:cs="Calibri" w:eastAsia="Calibri" w:hAnsi="Calibri"/>
          <w:sz w:val="13"/>
          <w:szCs w:val="13"/>
          <w:color w:val="auto"/>
        </w:rPr>
        <w:t>The cost of paper is also signifcant to us because most of our products are packed in cardboard boxes. As the price of paper increases, our operatng income will decrease if we are not able to efectvely pass these price increases along to our customers.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The loss of one or more of our largest customers, or a reducton in the level of purchases made by these customers, could negatvely impact our sales and profts.</w:t>
      </w:r>
    </w:p>
    <w:p>
      <w:pPr>
        <w:spacing w:after="0" w:line="158" w:lineRule="exact"/>
        <w:rPr>
          <w:sz w:val="20"/>
          <w:szCs w:val="20"/>
          <w:color w:val="auto"/>
        </w:rPr>
      </w:pPr>
    </w:p>
    <w:p>
      <w:pPr>
        <w:ind w:right="40" w:firstLine="509"/>
        <w:spacing w:after="0" w:line="252" w:lineRule="auto"/>
        <w:rPr>
          <w:sz w:val="20"/>
          <w:szCs w:val="20"/>
          <w:color w:val="auto"/>
        </w:rPr>
      </w:pPr>
      <w:r>
        <w:rPr>
          <w:rFonts w:ascii="Calibri" w:cs="Calibri" w:eastAsia="Calibri" w:hAnsi="Calibri"/>
          <w:sz w:val="12"/>
          <w:szCs w:val="12"/>
          <w:color w:val="auto"/>
        </w:rPr>
        <w:t>Sales to our top 10 customers amounted to approximately 59% of net sales for both years ended October 31, 2022 and 2021, and approximately 64% for the year ended October 31, 2020. We expect that a signifcant porton of our revenues will contnue to be derived from a relatvely small number of customers. We believe these customers make purchase decisions based on a combinaton of price, product quality, consumer demand, customer service performance, desired inventory levels and other factors that may be important to them at the tme the purchase decisions are made. Changes in our customers’ strategies or purchasing paterns, including a reducton or increase in the number of suppliers from which they purchase, may adversely afect our sales. Additonally, our customers may face fnancial or other difcultes which may impact their operatons and cause them to reduce their level of purchases from us, which could adversely afect the results of operatons. Customers also may respond to any price increase that we may implement by reducing their purchases from us, resultng in reduced sales of our products. If sales of our products to one or more of our largest customers are reduced, this reducton may have a material adverse efect on our business, fnancial conditon, and results of operatons. Any bankruptcy or other business disrupton involving one of our signifcant customers also could adversely afect our results of operatons.</w:t>
      </w:r>
    </w:p>
    <w:p>
      <w:pPr>
        <w:spacing w:after="0" w:line="155"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Mexican economic, politcal and societal conditons may have an adverse impact on our business.</w:t>
      </w:r>
    </w:p>
    <w:p>
      <w:pPr>
        <w:spacing w:after="0" w:line="158" w:lineRule="exact"/>
        <w:rPr>
          <w:sz w:val="20"/>
          <w:szCs w:val="20"/>
          <w:color w:val="auto"/>
        </w:rPr>
      </w:pPr>
    </w:p>
    <w:p>
      <w:pPr>
        <w:ind w:firstLine="509"/>
        <w:spacing w:after="0" w:line="231" w:lineRule="auto"/>
        <w:rPr>
          <w:sz w:val="20"/>
          <w:szCs w:val="20"/>
          <w:color w:val="auto"/>
        </w:rPr>
      </w:pPr>
      <w:r>
        <w:rPr>
          <w:rFonts w:ascii="Calibri" w:cs="Calibri" w:eastAsia="Calibri" w:hAnsi="Calibri"/>
          <w:sz w:val="13"/>
          <w:szCs w:val="13"/>
          <w:color w:val="auto"/>
        </w:rPr>
        <w:t>Mexico is the largest source of our supply of avocados, and our business is afected by developments in that country. Shipments from Mexico to the United States are dependent on the border remaining open to imports, which has closed from tme to tme. In additon, security insttutons in Mexico are under signifcant stress as a result of organized crime and gang and drug-related violence, which also could afect avocado producton and shipments. This situaton creates potental risks that afect a large part of our sourcing in Mexico and would harm our operatons if it impacts our facilites or personnel. In additon, Mexican growers strike from tme to tme to obtain higher prices for their avocados. We cannot provide any assurance that economic conditons or politcal developments, including any changes to economic policies or the adopton of other reforms proposed by existng or future administratons, in or afectng Mexico will not have a material adverse efect on market conditons or our business, results of operatons or fnancial conditon.</w:t>
      </w:r>
    </w:p>
    <w:p>
      <w:pPr>
        <w:spacing w:after="0" w:line="159" w:lineRule="exact"/>
        <w:rPr>
          <w:sz w:val="20"/>
          <w:szCs w:val="20"/>
          <w:color w:val="auto"/>
        </w:rPr>
      </w:pPr>
    </w:p>
    <w:p>
      <w:pPr>
        <w:ind w:right="40" w:firstLine="509"/>
        <w:spacing w:after="0" w:line="229" w:lineRule="auto"/>
        <w:rPr>
          <w:sz w:val="20"/>
          <w:szCs w:val="20"/>
          <w:color w:val="auto"/>
        </w:rPr>
      </w:pPr>
      <w:r>
        <w:rPr>
          <w:rFonts w:ascii="Calibri" w:cs="Calibri" w:eastAsia="Calibri" w:hAnsi="Calibri"/>
          <w:sz w:val="13"/>
          <w:szCs w:val="13"/>
          <w:color w:val="auto"/>
        </w:rPr>
        <w:t>We are also subject to various legal and regulatory changes impactng labor in Mexico. In November 2020, the President of Mexico signed a reform bill on subcontractng maters to add and repeal various artcles of Mexico’s Federal Labor Law, Social Security Law, Law of the Natonal Workers’ Housing Fund Insttute, Federal Fiscal Code, Income Tax Law, the Value Added Tax Law, and other laws and regulatons. This Reform on Outsourcing bill was later approved and published in the Ofcial Gazete of the Federaton in April 2021. The bill, amongst other things, prohibits the subcontractng of personnel unless the subcontracted personnel provides services or executes specialized works that are not part of the corporate purpose of economic actvity of the benefciary of the services. In November 2022, the Secretary of Labor and Social Welfare set forth the criteria for subcontractng inspectons and noted that cutng, harvestng or picking would be considered the predominant economic actvity of companies who are engaged in the cultvaton, packing, distributon, and export of fruit. Under this interpretaton, we may be required to directly employ the avocado harvestng and picking crews in Mexico and may no longer be able to subcontract such personnel. We are analyzing the impact of this on our business and contemplatng all avenues available to us to challenge and/or comply with the both the bill and the criteria released in November 2022 for inspectons. If we are unsuccessful in our challenges, if any, or if we fail to comply with these regulatons, we could be subject to fnes, penaltes, unfavorable tax and other positons, and/or we may have to employ a signifcant number of picking and harvestng personnel in Mexico, and we may not have the infrastructure in place to do so in the tme period required. This and other impacts from this bill could have a material impact on our operatons, business, fnancial performance, and proftability.</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Peruvian economic and politcal conditons may have an adverse impact on our business.</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A signifcant part of our farming operatons are conducted in Peru. Accordingly, our business, fnancial conditon or results of operatons are afected by changes in economic or other policies of the Peruvian government or other politcal, regulatory or economic developments in the country. During the past several decades, Peru has had a succession of regimes with difering policies and programs. Past governments have frequently intervened in the naton’s economy and social structure, and also faced money laundering and corrupton issues. Among other actons, past governments have imposed controls on prices, exchange rates and local and foreign investments, as well as limitatons on imports, have restricted the ability of companies to dismiss employees and have prohibited the remitance of profts to foreign investors.</w:t>
      </w:r>
    </w:p>
    <w:p>
      <w:pPr>
        <w:spacing w:after="0" w:line="158" w:lineRule="exact"/>
        <w:rPr>
          <w:sz w:val="20"/>
          <w:szCs w:val="20"/>
          <w:color w:val="auto"/>
        </w:rPr>
      </w:pPr>
    </w:p>
    <w:p>
      <w:pPr>
        <w:ind w:right="340" w:firstLine="509"/>
        <w:spacing w:after="0" w:line="248" w:lineRule="auto"/>
        <w:rPr>
          <w:sz w:val="20"/>
          <w:szCs w:val="20"/>
          <w:color w:val="auto"/>
        </w:rPr>
      </w:pPr>
      <w:r>
        <w:rPr>
          <w:rFonts w:ascii="Calibri" w:cs="Calibri" w:eastAsia="Calibri" w:hAnsi="Calibri"/>
          <w:sz w:val="12"/>
          <w:szCs w:val="12"/>
          <w:color w:val="auto"/>
        </w:rPr>
        <w:t>Because we have signifcant operatons in Peru, politcal developments and economic conditons, including changes to economic policies or the adopton of other reforms proposed by existng or future administratons, in Peru and/or other factors could have a material adverse efect on market conditons, prices of our securites, our ability to obtain fnancing and our results of operatons and fnancial conditon.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049" w:right="379" w:bottom="1440" w:gutter="0" w:footer="0" w:header="0"/>
        </w:sectPr>
      </w:pPr>
    </w:p>
    <w:bookmarkStart w:id="9" w:name="page10"/>
    <w:bookmarkEnd w:id="9"/>
    <w:p>
      <w:pPr>
        <w:spacing w:after="0"/>
        <w:rPr>
          <w:sz w:val="20"/>
          <w:szCs w:val="20"/>
          <w:color w:val="auto"/>
        </w:rPr>
      </w:pPr>
      <w:r>
        <w:rPr>
          <w:rFonts w:ascii="Calibri" w:cs="Calibri" w:eastAsia="Calibri" w:hAnsi="Calibri"/>
          <w:sz w:val="13"/>
          <w:szCs w:val="13"/>
          <w:b w:val="1"/>
          <w:bCs w:val="1"/>
          <w:i w:val="1"/>
          <w:iCs w:val="1"/>
          <w:color w:val="auto"/>
        </w:rPr>
        <w:t>Our performance may be impacted by general economic conditons or an economic downturn.</w:t>
      </w:r>
    </w:p>
    <w:p>
      <w:pPr>
        <w:spacing w:after="0" w:line="158" w:lineRule="exact"/>
        <w:rPr>
          <w:sz w:val="20"/>
          <w:szCs w:val="20"/>
          <w:color w:val="auto"/>
        </w:rPr>
      </w:pPr>
    </w:p>
    <w:p>
      <w:pPr>
        <w:ind w:right="40" w:firstLine="509"/>
        <w:spacing w:after="0" w:line="229" w:lineRule="auto"/>
        <w:rPr>
          <w:sz w:val="20"/>
          <w:szCs w:val="20"/>
          <w:color w:val="auto"/>
        </w:rPr>
      </w:pPr>
      <w:r>
        <w:rPr>
          <w:rFonts w:ascii="Calibri" w:cs="Calibri" w:eastAsia="Calibri" w:hAnsi="Calibri"/>
          <w:sz w:val="13"/>
          <w:szCs w:val="13"/>
          <w:color w:val="auto"/>
        </w:rPr>
        <w:t>An overall decline in economic actvity could adversely impact our business and fnancial results. Economic uncertainty, recessions, or infatonary pressures may reduce consumer spending as consumers make decisions on what to include in their food budgets. This could be caused by politcal unrest, wars or other conficts, health pandemics or other maters beyond our control. This could also result in a shif in consumer preference. Shifs in consumer spending could result in increased pressure from compettors or customers that may require us to increase promotonal spending or reduce the prices of some of our products and/or limit our ability to increase or maintain prices, which could lower our revenue and proftability. Instability in fnancial markets may impact our ability, or increase the cost, to enter into new credit agreements in the future. Additonally, it may weaken the ability of our customers, suppliers, third-party distributors, banks, insurance companies and other business partners to perform their obligatons in the normal course of business, which could expose us to losses or disrupt the supply of inputs we rely upon to conduct our business. If one or more of our key business partners fail to perform as expected or contracted for any reason, our business could be negatvely impacted.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Failure to optmize our supply chain or disrupton of our supply chain could have an adverse efect on our business, fnancial conditon and results of operatons.</w:t>
      </w:r>
    </w:p>
    <w:p>
      <w:pPr>
        <w:spacing w:after="0" w:line="158" w:lineRule="exact"/>
        <w:rPr>
          <w:sz w:val="20"/>
          <w:szCs w:val="20"/>
          <w:color w:val="auto"/>
        </w:rPr>
      </w:pPr>
    </w:p>
    <w:p>
      <w:pPr>
        <w:jc w:val="both"/>
        <w:ind w:right="160" w:firstLine="509"/>
        <w:spacing w:after="0" w:line="230" w:lineRule="auto"/>
        <w:rPr>
          <w:sz w:val="20"/>
          <w:szCs w:val="20"/>
          <w:color w:val="auto"/>
        </w:rPr>
      </w:pPr>
      <w:r>
        <w:rPr>
          <w:rFonts w:ascii="Calibri" w:cs="Calibri" w:eastAsia="Calibri" w:hAnsi="Calibri"/>
          <w:sz w:val="13"/>
          <w:szCs w:val="13"/>
          <w:color w:val="auto"/>
        </w:rPr>
        <w:t>Our ability to make, move and sell products in coordinaton with our suppliers is critcal to our success. Our inability to maintain sufcient internal producton capacity or our inability to enter into co-packing arrangements on terms that are benefcial to the Company could have an adverse efect on our business. Failure to adequately handle increasing producton costs and complexity, turnover of personnel, or producton capability and efciency issues could materially impact our ability to cost efectvely produce our products and meet customer demand.</w:t>
      </w:r>
    </w:p>
    <w:p>
      <w:pPr>
        <w:spacing w:after="0" w:line="159" w:lineRule="exact"/>
        <w:rPr>
          <w:sz w:val="20"/>
          <w:szCs w:val="20"/>
          <w:color w:val="auto"/>
        </w:rPr>
      </w:pPr>
    </w:p>
    <w:p>
      <w:pPr>
        <w:ind w:right="140" w:firstLine="509"/>
        <w:spacing w:after="0" w:line="229" w:lineRule="auto"/>
        <w:rPr>
          <w:sz w:val="20"/>
          <w:szCs w:val="20"/>
          <w:color w:val="auto"/>
        </w:rPr>
      </w:pPr>
      <w:r>
        <w:rPr>
          <w:rFonts w:ascii="Calibri" w:cs="Calibri" w:eastAsia="Calibri" w:hAnsi="Calibri"/>
          <w:sz w:val="13"/>
          <w:szCs w:val="13"/>
          <w:color w:val="auto"/>
        </w:rPr>
        <w:t>Additonally, damage or disrupton to our collectve producton or distributon capabilites resultng from weather, any potental efects of climate change, natural disaster, disease, crop spoilage, fre or explosion, terrorism, pandemics, strikes, repairs or enhancements at our facilites, or other reasons, could impair our ability to produce or sell our products. Failure to take adequate steps to mitgate the likelihood or potental impact of such events, or to efectvely manage such events if they occur, could adversely afect our business, fnancial conditon and results of operatons, and may require additonal resources to restore our supply chain.</w:t>
      </w:r>
    </w:p>
    <w:p>
      <w:pPr>
        <w:spacing w:after="0" w:line="169" w:lineRule="exact"/>
        <w:rPr>
          <w:sz w:val="20"/>
          <w:szCs w:val="20"/>
          <w:color w:val="auto"/>
        </w:rPr>
      </w:pPr>
    </w:p>
    <w:p>
      <w:pPr>
        <w:ind w:right="420"/>
        <w:spacing w:after="0" w:line="233" w:lineRule="auto"/>
        <w:rPr>
          <w:sz w:val="20"/>
          <w:szCs w:val="20"/>
          <w:color w:val="auto"/>
        </w:rPr>
      </w:pPr>
      <w:r>
        <w:rPr>
          <w:rFonts w:ascii="Calibri" w:cs="Calibri" w:eastAsia="Calibri" w:hAnsi="Calibri"/>
          <w:sz w:val="13"/>
          <w:szCs w:val="13"/>
          <w:b w:val="1"/>
          <w:bCs w:val="1"/>
          <w:i w:val="1"/>
          <w:iCs w:val="1"/>
          <w:color w:val="auto"/>
        </w:rPr>
        <w:t>Our ability to serve our customers is a functon of reliable and cost-efectve transportaton. Disrupton of the supply of these services and/or signifcant increases in the cost of these services could impact our operatng income.</w:t>
      </w:r>
    </w:p>
    <w:p>
      <w:pPr>
        <w:spacing w:after="0" w:line="159" w:lineRule="exact"/>
        <w:rPr>
          <w:sz w:val="20"/>
          <w:szCs w:val="20"/>
          <w:color w:val="auto"/>
        </w:rPr>
      </w:pPr>
    </w:p>
    <w:p>
      <w:pPr>
        <w:ind w:right="100" w:firstLine="509"/>
        <w:spacing w:after="0" w:line="229" w:lineRule="auto"/>
        <w:rPr>
          <w:sz w:val="20"/>
          <w:szCs w:val="20"/>
          <w:color w:val="auto"/>
        </w:rPr>
      </w:pPr>
      <w:r>
        <w:rPr>
          <w:rFonts w:ascii="Calibri" w:cs="Calibri" w:eastAsia="Calibri" w:hAnsi="Calibri"/>
          <w:sz w:val="13"/>
          <w:szCs w:val="13"/>
          <w:color w:val="auto"/>
        </w:rPr>
        <w:t>We use multple forms of transportaton to bring our products to market. They include sea, truck and air-cargo. Transportaton costs include ship and truck operatng expenses, using chartered refrigerated ships and trucks and container equipment related costs. Disrupton to the tmely supply of these services or dramatc increases in the cost of these services for any reason including availability of fuel or labor for such services, labor disputes, governmental regulaton, or governmental restrictons limitng specifc forms of transportaton could have an adverse efect on our ability to serve our customers and consumers and could have an adverse efect on our fnancial performance.</w:t>
      </w:r>
    </w:p>
    <w:p>
      <w:pPr>
        <w:spacing w:after="0" w:line="158" w:lineRule="exact"/>
        <w:rPr>
          <w:sz w:val="20"/>
          <w:szCs w:val="20"/>
          <w:color w:val="auto"/>
        </w:rPr>
      </w:pPr>
    </w:p>
    <w:p>
      <w:pPr>
        <w:ind w:firstLine="509"/>
        <w:spacing w:after="0" w:line="228" w:lineRule="auto"/>
        <w:rPr>
          <w:sz w:val="20"/>
          <w:szCs w:val="20"/>
          <w:color w:val="auto"/>
        </w:rPr>
      </w:pPr>
      <w:r>
        <w:rPr>
          <w:rFonts w:ascii="Calibri" w:cs="Calibri" w:eastAsia="Calibri" w:hAnsi="Calibri"/>
          <w:sz w:val="13"/>
          <w:szCs w:val="13"/>
          <w:color w:val="auto"/>
        </w:rPr>
        <w:t>In partcular, as a result of increased shipping demand, infatonary pressures, and the COVID-19 pandemic, we have experienced increases in transportaton costs, decreases in the availability of shipping, and other global supply chain complexites, including labor shortages. Such complexites have and could contnue to result in delays in customer shipments which may negatvely impact our ability to recover costs, retain or atract customers, and/or sell our product efectvely. Signifcant disruptons could contnue to occur and put pressure on transportaton and shipping infrastructure, which could in turn cause contnued increases in costs that we are unable to recover fully. The duraton and magnitude of the increased transportaton costs cannot be predicted at this tme and there can be no assurances that such costs and/or shipping disruptons will not contnue to increase.</w:t>
      </w:r>
    </w:p>
    <w:p>
      <w:pPr>
        <w:spacing w:after="0" w:line="159" w:lineRule="exact"/>
        <w:rPr>
          <w:sz w:val="20"/>
          <w:szCs w:val="20"/>
          <w:color w:val="auto"/>
        </w:rPr>
      </w:pPr>
    </w:p>
    <w:p>
      <w:pPr>
        <w:jc w:val="both"/>
        <w:ind w:right="200" w:firstLine="509"/>
        <w:spacing w:after="0" w:line="230" w:lineRule="auto"/>
        <w:rPr>
          <w:sz w:val="20"/>
          <w:szCs w:val="20"/>
          <w:color w:val="auto"/>
        </w:rPr>
      </w:pPr>
      <w:r>
        <w:rPr>
          <w:rFonts w:ascii="Calibri" w:cs="Calibri" w:eastAsia="Calibri" w:hAnsi="Calibri"/>
          <w:sz w:val="13"/>
          <w:szCs w:val="13"/>
          <w:color w:val="auto"/>
        </w:rPr>
        <w:t>To the extent that we experience increased costs, we may increase our prices, pass the increase along to customers, or otherwise take actons to ofset the impacts. Further, compettve pressures and other factors may also limit our ability to quickly raise prices in response to increased costs. Accordingly, we may not be able to ofset increased costs fully or at all, and there can be no assurances that increasing prices will fully mitgate the impact of these increases, which could adversely impact our results.</w:t>
      </w:r>
    </w:p>
    <w:p>
      <w:pPr>
        <w:spacing w:after="0" w:line="180" w:lineRule="exact"/>
        <w:rPr>
          <w:sz w:val="20"/>
          <w:szCs w:val="20"/>
          <w:color w:val="auto"/>
        </w:rPr>
      </w:pPr>
    </w:p>
    <w:p>
      <w:pPr>
        <w:ind w:right="380"/>
        <w:spacing w:after="0" w:line="225" w:lineRule="auto"/>
        <w:rPr>
          <w:sz w:val="20"/>
          <w:szCs w:val="20"/>
          <w:color w:val="auto"/>
        </w:rPr>
      </w:pPr>
      <w:r>
        <w:rPr>
          <w:rFonts w:ascii="Calibri" w:cs="Calibri" w:eastAsia="Calibri" w:hAnsi="Calibri"/>
          <w:sz w:val="13"/>
          <w:szCs w:val="13"/>
          <w:b w:val="1"/>
          <w:bCs w:val="1"/>
          <w:i w:val="1"/>
          <w:iCs w:val="1"/>
          <w:color w:val="auto"/>
        </w:rPr>
        <w:t>We depend on our key personnel and an efectve organizatonal structure to run our business and if we lose the services of any of these individuals, fail to atract and retain additonal key personnel, or fail to optmize our organizaton structure, we may not be able to implement our business strategy or operate our business efectvely.</w:t>
      </w:r>
    </w:p>
    <w:p>
      <w:pPr>
        <w:spacing w:after="0" w:line="159"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Our future success largely depends on the contributons of our management team, including Stephen Barnard, our CEO. We believe that these individuals’ expertse and knowledge about our industry and their respectve felds and their relatonships with other individuals in our industry are critcal factors to our contnued growth and success. We have had departures of members of senior management and other members of senior management could depart the Company . This could have a material adverse efect on our business and prospects. Our success also depends upon our ability to atract and retain additonal qualifed sales, marketng and other personnel.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0" w:name="page11"/>
    <w:bookmarkEnd w:id="10"/>
    <w:p>
      <w:pPr>
        <w:ind w:right="60" w:firstLine="509"/>
        <w:spacing w:after="0" w:line="225" w:lineRule="auto"/>
        <w:rPr>
          <w:sz w:val="20"/>
          <w:szCs w:val="20"/>
          <w:color w:val="auto"/>
        </w:rPr>
      </w:pPr>
      <w:r>
        <w:rPr>
          <w:rFonts w:ascii="Calibri" w:cs="Calibri" w:eastAsia="Calibri" w:hAnsi="Calibri"/>
          <w:sz w:val="13"/>
          <w:szCs w:val="13"/>
          <w:color w:val="auto"/>
        </w:rPr>
        <w:t>The operaton of our facilites depends on adequate and afordable supply of labor and good labor relatons with our employees. Our employees are essental to our operatons and our ability to farm, package and/or deliver our products. We are subject to infatonary pressures in labor as well as a tght labor market for recruitment and retenton of skilled, short- and long-term labor. If we are unable to atract and retain enough skilled personnel at a reasonable cost, our results may be negatvely afected.</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We and our growers are subject to the risks that are inherent in farming.</w:t>
      </w:r>
    </w:p>
    <w:p>
      <w:pPr>
        <w:spacing w:after="0" w:line="158" w:lineRule="exact"/>
        <w:rPr>
          <w:sz w:val="20"/>
          <w:szCs w:val="20"/>
          <w:color w:val="auto"/>
        </w:rPr>
      </w:pPr>
    </w:p>
    <w:p>
      <w:pPr>
        <w:ind w:right="80" w:firstLine="509"/>
        <w:spacing w:after="0" w:line="230" w:lineRule="auto"/>
        <w:rPr>
          <w:sz w:val="20"/>
          <w:szCs w:val="20"/>
          <w:color w:val="auto"/>
        </w:rPr>
      </w:pPr>
      <w:r>
        <w:rPr>
          <w:rFonts w:ascii="Calibri" w:cs="Calibri" w:eastAsia="Calibri" w:hAnsi="Calibri"/>
          <w:sz w:val="13"/>
          <w:szCs w:val="13"/>
          <w:color w:val="auto"/>
        </w:rPr>
        <w:t>Our results of operatons may be adversely afected by numerous factors over which we have litle or no control and that are inherent in farming, including reductons in the market prices for our products, adverse weather including drought, high winds, earthquakes and wildfres. Growing conditons, pest and disease problems and new government regulatons regarding farming and the marketng of agricultural products can impose additonal costs on, or make it more difcult to conduct, our business.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Due to the seasonality of the business, our revenue and operatng results may vary from quarter to quarter and year to year.</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Our earnings may be afected by seasonal factors, including:</w:t>
      </w:r>
    </w:p>
    <w:p>
      <w:pPr>
        <w:spacing w:after="0" w:line="75" w:lineRule="exact"/>
        <w:rPr>
          <w:sz w:val="20"/>
          <w:szCs w:val="20"/>
          <w:color w:val="auto"/>
        </w:rPr>
      </w:pPr>
    </w:p>
    <w:p>
      <w:pPr>
        <w:ind w:left="520" w:hanging="260"/>
        <w:spacing w:after="0"/>
        <w:tabs>
          <w:tab w:leader="none" w:pos="5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the availability, quality and price of fruit;</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the tming and efects of ripening and perishability;</w:t>
      </w:r>
    </w:p>
    <w:p>
      <w:pPr>
        <w:spacing w:after="0" w:line="74" w:lineRule="exact"/>
        <w:rPr>
          <w:rFonts w:ascii="Calibri" w:cs="Calibri" w:eastAsia="Calibri" w:hAnsi="Calibri"/>
          <w:sz w:val="13"/>
          <w:szCs w:val="13"/>
          <w:color w:val="auto"/>
        </w:rPr>
      </w:pPr>
    </w:p>
    <w:p>
      <w:pPr>
        <w:ind w:left="520" w:hanging="260"/>
        <w:spacing w:after="0"/>
        <w:tabs>
          <w:tab w:leader="none" w:pos="5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the ability to process perishable raw materials in a tmely manner;</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fxed overhead costs during of-season months at our farms; and</w:t>
      </w:r>
    </w:p>
    <w:p>
      <w:pPr>
        <w:spacing w:after="0" w:line="74" w:lineRule="exact"/>
        <w:rPr>
          <w:rFonts w:ascii="Calibri" w:cs="Calibri" w:eastAsia="Calibri" w:hAnsi="Calibri"/>
          <w:sz w:val="13"/>
          <w:szCs w:val="13"/>
          <w:color w:val="auto"/>
        </w:rPr>
      </w:pPr>
    </w:p>
    <w:p>
      <w:pPr>
        <w:ind w:left="520" w:hanging="260"/>
        <w:spacing w:after="0"/>
        <w:tabs>
          <w:tab w:leader="none" w:pos="5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the impacts on consumer demand based on seasonal and holiday tming.</w:t>
      </w:r>
    </w:p>
    <w:p>
      <w:pPr>
        <w:spacing w:after="0" w:line="148" w:lineRule="exact"/>
        <w:rPr>
          <w:rFonts w:ascii="Calibri" w:cs="Calibri" w:eastAsia="Calibri" w:hAnsi="Calibri"/>
          <w:sz w:val="13"/>
          <w:szCs w:val="13"/>
          <w:color w:val="auto"/>
        </w:rPr>
      </w:pPr>
    </w:p>
    <w:p>
      <w:pPr>
        <w:ind w:left="520"/>
        <w:spacing w:after="0"/>
        <w:rPr>
          <w:rFonts w:ascii="Calibri" w:cs="Calibri" w:eastAsia="Calibri" w:hAnsi="Calibri"/>
          <w:sz w:val="13"/>
          <w:szCs w:val="13"/>
          <w:color w:val="auto"/>
        </w:rPr>
      </w:pPr>
      <w:r>
        <w:rPr>
          <w:rFonts w:ascii="Calibri" w:cs="Calibri" w:eastAsia="Calibri" w:hAnsi="Calibri"/>
          <w:sz w:val="13"/>
          <w:szCs w:val="13"/>
          <w:color w:val="auto"/>
        </w:rPr>
        <w:t>In partcular, our farming operatons in Peru are afected by seasonal factors, as the harvest in Peru is generally concentrated in the third and fourth fscal quarters.</w:t>
      </w:r>
    </w:p>
    <w:p>
      <w:pPr>
        <w:spacing w:after="0" w:line="169" w:lineRule="exact"/>
        <w:rPr>
          <w:sz w:val="20"/>
          <w:szCs w:val="20"/>
          <w:color w:val="auto"/>
        </w:rPr>
      </w:pPr>
    </w:p>
    <w:p>
      <w:pPr>
        <w:ind w:right="440"/>
        <w:spacing w:after="0" w:line="233" w:lineRule="auto"/>
        <w:rPr>
          <w:sz w:val="20"/>
          <w:szCs w:val="20"/>
          <w:color w:val="auto"/>
        </w:rPr>
      </w:pPr>
      <w:r>
        <w:rPr>
          <w:rFonts w:ascii="Calibri" w:cs="Calibri" w:eastAsia="Calibri" w:hAnsi="Calibri"/>
          <w:sz w:val="13"/>
          <w:szCs w:val="13"/>
          <w:b w:val="1"/>
          <w:bCs w:val="1"/>
          <w:i w:val="1"/>
          <w:iCs w:val="1"/>
          <w:color w:val="auto"/>
        </w:rPr>
        <w:t>System security risks, data protecton breaches, cyber-atacks and systems integraton issues could disrupt our internal operatons or services provided to customers, and any such disrupton could reduce our expected revenue, increase our expenses, damage our reputaton and adversely afect our stock price.</w:t>
      </w:r>
    </w:p>
    <w:p>
      <w:pPr>
        <w:spacing w:after="0" w:line="159"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Our internal computer systems and those of our current and any future partners, contractors and consultants are vulnerable to damage from cyber-atacks, computer viruses, unauthorized access, natural disasters, terrorism, war and telecommunicaton and electrical failures. System failures, accidents or security breaches can cause interruptons in our operatons and can result in a material disrupton of our business operatons. Experienced computer programmers and hackers may be able to penetrate our informaton technology security and misappropriate or compromise our confdental informaton or that of third partes, create system disruptons or cause shutdowns, or develop and deploy viruses, worms, and other malicious sofware programs that atack our programs or otherwise exploit any security vulnerabilites of our products. In additon, sophistcated hardware and operatng system sofware and applicatons that we produce or procure from third partes may contain defects in design or manufacture, including “bugs” and other problems that could unexpectedly interfere with the operaton of the system. The costs to us to eliminate or alleviate cyber or other security problems, bugs, viruses, worms, malicious sofware programs and security vulnerabilites could be signifcant, and our eforts to address these problems may not be successful and could result in interruptons, delays, cessaton of service and loss of existng or potental customers that may impede our sales, producton, distributon or other critcal functons.</w:t>
      </w:r>
    </w:p>
    <w:p>
      <w:pPr>
        <w:spacing w:after="0" w:line="163" w:lineRule="exact"/>
        <w:rPr>
          <w:sz w:val="20"/>
          <w:szCs w:val="20"/>
          <w:color w:val="auto"/>
        </w:rPr>
      </w:pPr>
    </w:p>
    <w:p>
      <w:pPr>
        <w:ind w:right="60" w:firstLine="509"/>
        <w:spacing w:after="0" w:line="228" w:lineRule="auto"/>
        <w:rPr>
          <w:sz w:val="20"/>
          <w:szCs w:val="20"/>
          <w:color w:val="auto"/>
        </w:rPr>
      </w:pPr>
      <w:r>
        <w:rPr>
          <w:rFonts w:ascii="Calibri" w:cs="Calibri" w:eastAsia="Calibri" w:hAnsi="Calibri"/>
          <w:sz w:val="13"/>
          <w:szCs w:val="13"/>
          <w:color w:val="auto"/>
        </w:rPr>
        <w:t>Portons of our informaton technology infrastructure have and may in the future experience interruptons, delays or cessatons of service or produce errors in connecton with systems integraton or migraton work that takes place from tme to tme. We have experienced difcultes, and may not be successful in the future, with implementng new systems and transitoning data, which have and could cause business disruptons. These difcultes have resulted in and may result in increased costs, tme consuming and resource-intensive remediaton eforts to address issues, and disrupton to the business. Such disruptons have and could adversely impact our ability to fulfll orders and interrupt other key business processes. We have experienced delays and lower proft from these disruptons and may experience such difcultes in the future. As a result, our fnancial results, stock price, or reputaton have and may be adversely afected.</w:t>
      </w:r>
    </w:p>
    <w:p>
      <w:pPr>
        <w:spacing w:after="0" w:line="180" w:lineRule="exact"/>
        <w:rPr>
          <w:sz w:val="20"/>
          <w:szCs w:val="20"/>
          <w:color w:val="auto"/>
        </w:rPr>
      </w:pPr>
    </w:p>
    <w:p>
      <w:pPr>
        <w:ind w:right="560"/>
        <w:spacing w:after="0" w:line="225" w:lineRule="auto"/>
        <w:rPr>
          <w:sz w:val="20"/>
          <w:szCs w:val="20"/>
          <w:color w:val="auto"/>
        </w:rPr>
      </w:pPr>
      <w:r>
        <w:rPr>
          <w:rFonts w:ascii="Calibri" w:cs="Calibri" w:eastAsia="Calibri" w:hAnsi="Calibri"/>
          <w:sz w:val="13"/>
          <w:szCs w:val="13"/>
          <w:b w:val="1"/>
          <w:bCs w:val="1"/>
          <w:i w:val="1"/>
          <w:iCs w:val="1"/>
          <w:color w:val="auto"/>
        </w:rPr>
        <w:t>We are subject to stringent privacy laws, informaton security laws, regulatons, policies and contractual obligatons related to data privacy and security and changes in such laws, regulatons, policies and contractual obligatons could adversely afect our business.</w:t>
      </w:r>
    </w:p>
    <w:p>
      <w:pPr>
        <w:spacing w:after="0" w:line="159" w:lineRule="exact"/>
        <w:rPr>
          <w:sz w:val="20"/>
          <w:szCs w:val="20"/>
          <w:color w:val="auto"/>
        </w:rPr>
      </w:pPr>
    </w:p>
    <w:p>
      <w:pPr>
        <w:ind w:right="80" w:firstLine="509"/>
        <w:spacing w:after="0" w:line="231" w:lineRule="auto"/>
        <w:rPr>
          <w:sz w:val="20"/>
          <w:szCs w:val="20"/>
          <w:color w:val="auto"/>
        </w:rPr>
      </w:pPr>
      <w:r>
        <w:rPr>
          <w:rFonts w:ascii="Calibri" w:cs="Calibri" w:eastAsia="Calibri" w:hAnsi="Calibri"/>
          <w:sz w:val="13"/>
          <w:szCs w:val="13"/>
          <w:color w:val="auto"/>
        </w:rPr>
        <w:t>In the ordinary course of business, we collect, store, process and transmit confdental business informaton and certain personal informaton relatng to customers, employees and suppliers. We are subject to data privacy and protecton laws and regulatons that apply to the collecton, transmission, storage and use of personally-identfying informaton, which among other things, impose certain requirements relatng to the privacy, security and transmission of personal informaton. The legislatve and regulatory landscape for privacy and data protecton contnues to evolve in jurisdictons worldwide, and there has been an increasing focus on privacy and data protecton issues with the potental to afect our business. Failure to comply with any of these laws and regulatons could result in enforcement acton against us, including fnes, imprisonment of company ofcials and public censure, claims for damages by afected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1" w:name="page12"/>
    <w:bookmarkEnd w:id="11"/>
    <w:p>
      <w:pPr>
        <w:ind w:right="360"/>
        <w:spacing w:after="0" w:line="225" w:lineRule="auto"/>
        <w:rPr>
          <w:sz w:val="20"/>
          <w:szCs w:val="20"/>
          <w:color w:val="auto"/>
        </w:rPr>
      </w:pPr>
      <w:r>
        <w:rPr>
          <w:rFonts w:ascii="Calibri" w:cs="Calibri" w:eastAsia="Calibri" w:hAnsi="Calibri"/>
          <w:sz w:val="13"/>
          <w:szCs w:val="13"/>
          <w:color w:val="auto"/>
        </w:rPr>
        <w:t>individuals, damage to our reputaton and loss of goodwill, any of which could have a material adverse efect on our business, fnancial conditon, results of operatons or prospects. Ongoing eforts to comply with evolving laws and regulatons may be costly and require ongoing modifcatons to our policies, procedures and systems.</w:t>
      </w:r>
    </w:p>
    <w:p>
      <w:pPr>
        <w:spacing w:after="0" w:line="159" w:lineRule="exact"/>
        <w:rPr>
          <w:sz w:val="20"/>
          <w:szCs w:val="20"/>
          <w:color w:val="auto"/>
        </w:rPr>
      </w:pPr>
    </w:p>
    <w:p>
      <w:pPr>
        <w:ind w:right="120" w:firstLine="509"/>
        <w:spacing w:after="0" w:line="229" w:lineRule="auto"/>
        <w:rPr>
          <w:sz w:val="20"/>
          <w:szCs w:val="20"/>
          <w:color w:val="auto"/>
        </w:rPr>
      </w:pPr>
      <w:r>
        <w:rPr>
          <w:rFonts w:ascii="Calibri" w:cs="Calibri" w:eastAsia="Calibri" w:hAnsi="Calibri"/>
          <w:sz w:val="13"/>
          <w:szCs w:val="13"/>
          <w:color w:val="auto"/>
        </w:rPr>
        <w:t>Data privacy remains an evolving landscape at both the domestc and internatonal level, with new regulatons coming into efect, including, for example, the California Consumer Privacy Act of 2018 (“CCPA”) and the General Data Protecton Regulaton, or GDPR, and others. If our or our partners’ or service providers’ privacy or data security measures fail to comply with requirements, we may be subject to litgaton, regulatory investgatons, enforcement notces requiring us to change the way we use personal data and/or fnes, as well as compensaton claims by afected individuals, negatve publicity, reputatonal harm and a potental loss of business and goodwill.</w:t>
      </w:r>
    </w:p>
    <w:p>
      <w:pPr>
        <w:spacing w:after="0" w:line="158"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It is possible that these laws may be interpreted and applied in a manner that is inconsistent with our practces and our eforts to comply with the evolving data protecton rules may be unsuccessful. We must devote signifcant resources to understanding and complying with this changing landscape. Failure to comply with federal, state and internatonal laws regarding privacy and security of personal informaton could expose us to penaltes under such laws. Any such failure to comply with data protecton and privacy laws could result in government-imposed fnes or orders requiring that we change our practces, claims for damages or other liabilites, regulatory investgatons and enforcement acton, litgaton and signifcant costs for remediaton, any of which could adversely afect our business. Even if we are not determined to have violated these laws, government investgatons into these issues typically require the expenditure of signifcant resources and generate negatve publicity, which could harm our business, fnancial conditon, results of operatons or prospects.</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Food safety events, including instances of food-borne illness involving avocados, could create negatve publicity for our customers and adversely afect sales and operatng results.</w:t>
      </w:r>
    </w:p>
    <w:p>
      <w:pPr>
        <w:spacing w:after="0" w:line="158" w:lineRule="exact"/>
        <w:rPr>
          <w:sz w:val="20"/>
          <w:szCs w:val="20"/>
          <w:color w:val="auto"/>
        </w:rPr>
      </w:pPr>
    </w:p>
    <w:p>
      <w:pPr>
        <w:ind w:right="240" w:firstLine="509"/>
        <w:spacing w:after="0" w:line="229" w:lineRule="auto"/>
        <w:rPr>
          <w:sz w:val="20"/>
          <w:szCs w:val="20"/>
          <w:color w:val="auto"/>
        </w:rPr>
      </w:pPr>
      <w:r>
        <w:rPr>
          <w:rFonts w:ascii="Calibri" w:cs="Calibri" w:eastAsia="Calibri" w:hAnsi="Calibri"/>
          <w:sz w:val="13"/>
          <w:szCs w:val="13"/>
          <w:color w:val="auto"/>
        </w:rPr>
        <w:t>Food safety is a top priority, and we dedicate substantal resources to ensure that our customers enjoy safe, quality products. However, food safety events, including instances of food-borne illness, have occurred with avocados in the past, and could occur in the future. Food safety events at customers, whether or not they involve avocados, could adversely afect sales to those customers. In additon, customers who purchase our avocados for their food products could experience negatve publicity, or experience a signifcant increase in food costs if there are food safety events. If such customers experience a decline in sales as a result of such food safety event, our results of operatons would be adversely afected.</w:t>
      </w:r>
    </w:p>
    <w:p>
      <w:pPr>
        <w:spacing w:after="0" w:line="169" w:lineRule="exact"/>
        <w:rPr>
          <w:sz w:val="20"/>
          <w:szCs w:val="20"/>
          <w:color w:val="auto"/>
        </w:rPr>
      </w:pPr>
    </w:p>
    <w:p>
      <w:pPr>
        <w:spacing w:after="0"/>
        <w:rPr>
          <w:sz w:val="20"/>
          <w:szCs w:val="20"/>
          <w:color w:val="auto"/>
        </w:rPr>
      </w:pPr>
      <w:r>
        <w:rPr>
          <w:rFonts w:ascii="Calibri" w:cs="Calibri" w:eastAsia="Calibri" w:hAnsi="Calibri"/>
          <w:sz w:val="12"/>
          <w:szCs w:val="12"/>
          <w:b w:val="1"/>
          <w:bCs w:val="1"/>
          <w:i w:val="1"/>
          <w:iCs w:val="1"/>
          <w:color w:val="auto"/>
        </w:rPr>
        <w:t>A recall of our products could have a material adverse efect on our business. In additon, we may be subject to signifcant liability claims should the consumpton of any of our products cause injury, illness or death.</w:t>
      </w:r>
    </w:p>
    <w:p>
      <w:pPr>
        <w:spacing w:after="0" w:line="161" w:lineRule="exact"/>
        <w:rPr>
          <w:sz w:val="20"/>
          <w:szCs w:val="20"/>
          <w:color w:val="auto"/>
        </w:rPr>
      </w:pPr>
    </w:p>
    <w:p>
      <w:pPr>
        <w:ind w:firstLine="509"/>
        <w:spacing w:after="0" w:line="231" w:lineRule="auto"/>
        <w:rPr>
          <w:sz w:val="20"/>
          <w:szCs w:val="20"/>
          <w:color w:val="auto"/>
        </w:rPr>
      </w:pPr>
      <w:r>
        <w:rPr>
          <w:rFonts w:ascii="Calibri" w:cs="Calibri" w:eastAsia="Calibri" w:hAnsi="Calibri"/>
          <w:sz w:val="13"/>
          <w:szCs w:val="13"/>
          <w:color w:val="auto"/>
        </w:rPr>
        <w:t>The sale of food products for human consumpton involves the risk of injury to consumers. Such injuries may result from tampering by unauthorized third partes, product contaminaton or spoilage, including the presence of foreign objects, substances, chemicals, or residues introduced during the growing, storage, handling or transportaton phases. While we are subject to governmental inspecton and regulatons and believe our facilites comply in all material respects with all applicable laws and regulatons, we cannot be sure that consumpton of our products will not cause a health-related illness in the future or that we will not be subject to claims or lawsuits relatng to such maters. Even if a product liability claim is unsuccessful or is not fully pursued, the negatve publicity surrounding any asserton that our products caused illness or injury could adversely afect our reputaton with existng and potental customers and our corporate and brand image.</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We are subject to possible changing United States Department of Agriculture and Food and Drug Administraton regulatons that govern the importaton of foreign avocados into the United States.</w:t>
      </w:r>
    </w:p>
    <w:p>
      <w:pPr>
        <w:spacing w:after="0" w:line="158" w:lineRule="exact"/>
        <w:rPr>
          <w:sz w:val="20"/>
          <w:szCs w:val="20"/>
          <w:color w:val="auto"/>
        </w:rPr>
      </w:pPr>
    </w:p>
    <w:p>
      <w:pPr>
        <w:jc w:val="both"/>
        <w:ind w:right="20" w:firstLine="509"/>
        <w:spacing w:after="0" w:line="230" w:lineRule="auto"/>
        <w:rPr>
          <w:sz w:val="20"/>
          <w:szCs w:val="20"/>
          <w:color w:val="auto"/>
        </w:rPr>
      </w:pPr>
      <w:r>
        <w:rPr>
          <w:rFonts w:ascii="Calibri" w:cs="Calibri" w:eastAsia="Calibri" w:hAnsi="Calibri"/>
          <w:sz w:val="13"/>
          <w:szCs w:val="13"/>
          <w:color w:val="auto"/>
        </w:rPr>
        <w:t>The USDA has established, and contnues to modify, regulatons governing the importaton of avocados into the United States, and also limits the countries from which avocados may be imported. Our permits that allow us to import foreign-sourced avocados into the United States generally are contngent on our compliance with these regulatons. Our results of operatons may be adversely afected if we are unable to comply with existng and modifed regulatons and are unable to secure avocado import permits in the future.</w:t>
      </w:r>
    </w:p>
    <w:p>
      <w:pPr>
        <w:spacing w:after="0" w:line="159" w:lineRule="exact"/>
        <w:rPr>
          <w:sz w:val="20"/>
          <w:szCs w:val="20"/>
          <w:color w:val="auto"/>
        </w:rPr>
      </w:pPr>
    </w:p>
    <w:p>
      <w:pPr>
        <w:jc w:val="both"/>
        <w:ind w:right="20" w:firstLine="509"/>
        <w:spacing w:after="0" w:line="233" w:lineRule="auto"/>
        <w:rPr>
          <w:sz w:val="20"/>
          <w:szCs w:val="20"/>
          <w:color w:val="auto"/>
        </w:rPr>
      </w:pPr>
      <w:r>
        <w:rPr>
          <w:rFonts w:ascii="Calibri" w:cs="Calibri" w:eastAsia="Calibri" w:hAnsi="Calibri"/>
          <w:sz w:val="13"/>
          <w:szCs w:val="13"/>
          <w:color w:val="auto"/>
        </w:rPr>
        <w:t>The FDA establishes, and contnues to modify, regulatons governing the distributon of avocado products, such as the new Food Safety Modernizaton Act, which implements mandatory preventve controls for food facilites and compliance with mandatory produce safety standards. Our results of operatons may be adversely afected if we are unable to comply with these existng and modifed regulatons.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Changes to U.S. trade policy, tarif and import/export regulatons may adversely afect our operatng results.</w:t>
      </w:r>
    </w:p>
    <w:p>
      <w:pPr>
        <w:spacing w:after="0" w:line="158" w:lineRule="exact"/>
        <w:rPr>
          <w:sz w:val="20"/>
          <w:szCs w:val="20"/>
          <w:color w:val="auto"/>
        </w:rPr>
      </w:pPr>
    </w:p>
    <w:p>
      <w:pPr>
        <w:jc w:val="both"/>
        <w:ind w:right="400" w:firstLine="509"/>
        <w:spacing w:after="0" w:line="230" w:lineRule="auto"/>
        <w:rPr>
          <w:sz w:val="20"/>
          <w:szCs w:val="20"/>
          <w:color w:val="auto"/>
        </w:rPr>
      </w:pPr>
      <w:r>
        <w:rPr>
          <w:rFonts w:ascii="Calibri" w:cs="Calibri" w:eastAsia="Calibri" w:hAnsi="Calibri"/>
          <w:sz w:val="13"/>
          <w:szCs w:val="13"/>
          <w:color w:val="auto"/>
        </w:rPr>
        <w:t>Changes in U.S. or internatonal social, politcal, regulatory and economic conditons or in laws and policies governing foreign trade, development and investment in the territories or countries where we currently conduct our business, as well as any negatve sentment toward the U.S. as a result of such changes, could adversely afect our business. The U.S. has insttuted or proposed changes in trade policies that include the negotaton or terminaton of trade agreements, the impositon of higher tarifs on imports into the 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2" w:name="page13"/>
    <w:bookmarkEnd w:id="12"/>
    <w:p>
      <w:pPr>
        <w:spacing w:after="0"/>
        <w:rPr>
          <w:sz w:val="20"/>
          <w:szCs w:val="20"/>
          <w:color w:val="auto"/>
        </w:rPr>
      </w:pPr>
      <w:r>
        <w:rPr>
          <w:rFonts w:ascii="Calibri" w:cs="Calibri" w:eastAsia="Calibri" w:hAnsi="Calibri"/>
          <w:sz w:val="13"/>
          <w:szCs w:val="13"/>
          <w:color w:val="auto"/>
        </w:rPr>
        <w:t>economic sanctons on individuals, corporatons or countries, and other government regulatons afectng trade between the U.S. and other countries where we conduct our business.</w:t>
      </w:r>
    </w:p>
    <w:p>
      <w:pPr>
        <w:spacing w:after="0" w:line="158" w:lineRule="exact"/>
        <w:rPr>
          <w:sz w:val="20"/>
          <w:szCs w:val="20"/>
          <w:color w:val="auto"/>
        </w:rPr>
      </w:pPr>
    </w:p>
    <w:p>
      <w:pPr>
        <w:ind w:right="40" w:firstLine="509"/>
        <w:spacing w:after="0" w:line="225" w:lineRule="auto"/>
        <w:rPr>
          <w:sz w:val="20"/>
          <w:szCs w:val="20"/>
          <w:color w:val="auto"/>
        </w:rPr>
      </w:pPr>
      <w:r>
        <w:rPr>
          <w:rFonts w:ascii="Calibri" w:cs="Calibri" w:eastAsia="Calibri" w:hAnsi="Calibri"/>
          <w:sz w:val="13"/>
          <w:szCs w:val="13"/>
          <w:color w:val="auto"/>
        </w:rPr>
        <w:t>As a result of policy changes and government proposals, there may be greater restrictons and economic disincentves on internatonal trade. The new tarifs and other changes in U.S. trade policy could trigger retaliatory actons by afected countries, and foreign governments have insttuted or are considering imposing trade sanctons on U.S. goods. Such changes have the potental to adversely impact the U.S. economy or sectors thereof, our industry and the global demand for our products, and as a result, could have a negatve impact on our business, fnancial conditon and results of operatons.</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We are subject to health and safety laws, which may restrict our operatons, result in operatonal delays or increase our operatng costs and adversely afect our fnancial results of operatons.</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We are required to comply with health and safety laws and regulatons in the United States, and in other countries where we do business and/or conduct our operatons, including Peru and Mexico, and are subject to periodic inspectons by the relevant governmental authorites. These laws and regulatons govern, among others, health and safety workplace conditons, including high risk labor and the handling, storage and disposal of chemical and other hazardous substances. Compliance with these laws and regulatons and new or existng regulatons that may be applicable to us in the future could increase our operatng costs and adversely afect our fnancial results of operatons and cash fows.</w:t>
      </w:r>
    </w:p>
    <w:p>
      <w:pPr>
        <w:spacing w:after="0" w:line="169" w:lineRule="exact"/>
        <w:rPr>
          <w:sz w:val="20"/>
          <w:szCs w:val="20"/>
          <w:color w:val="auto"/>
        </w:rPr>
      </w:pPr>
    </w:p>
    <w:p>
      <w:pPr>
        <w:ind w:right="320"/>
        <w:spacing w:after="0" w:line="233" w:lineRule="auto"/>
        <w:rPr>
          <w:sz w:val="20"/>
          <w:szCs w:val="20"/>
          <w:color w:val="auto"/>
        </w:rPr>
      </w:pPr>
      <w:r>
        <w:rPr>
          <w:rFonts w:ascii="Calibri" w:cs="Calibri" w:eastAsia="Calibri" w:hAnsi="Calibri"/>
          <w:sz w:val="13"/>
          <w:szCs w:val="13"/>
          <w:b w:val="1"/>
          <w:bCs w:val="1"/>
          <w:i w:val="1"/>
          <w:iCs w:val="1"/>
          <w:color w:val="auto"/>
        </w:rPr>
        <w:t>Compliance with environmental laws and regulatons, including laws pertaining to the use of herbicides, fertlizers and pestcides or climate change, or liabilites thereunder, could result in signifcant costs that adversely impact our business, results of operatons, fnancial positon, cash fows and reputaton.</w:t>
      </w:r>
    </w:p>
    <w:p>
      <w:pPr>
        <w:spacing w:after="0" w:line="159"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We are subject to a variety of federal, state, local and foreign laws and regulatons relatng to environmental maters. In partcular, our business depends on the use of herbicides, fertlizers, pestcides and other agricultural products and the use and disposal of these products in some jurisdictons are subject to regulaton by various agencies. These laws and regulatons may require that only certfed or professional users apply the product or that certain products only be used in certain types of locatons. These laws and regulatons may also require users to post notces on propertes at which products have been or will be applied, notfcaton to individuals in the vicinity that products will be applied in the future, or labeling of certain products or may restrict or ban the use of certain products. We can give no assurance that we can prevent violatons of these or other laws and regulatons from occurring. If we fail to comply with these laws and regulatons, we could be subject to, among other things, substantal penaltes or fnes, partal or complete cessaton of our operatons or a ban on the sale of part or all of our products in a jurisdicton. Even if we are able to comply with all such laws and regulatons and obtain all necessary registratons and licenses, we cannot assure you that the herbicides, fertlizers, pestcides or other products we apply, or the manner in which we apply them, will not be alleged to cause injury to the environment, people or animals, or that such products will not be restricted or banned in certain circumstances. A decision by a regulatory agency to signifcantly restrict the use of or ban such products that have traditonally been used in the cultvaton of one of our principal products could have an adverse impact on us. Under the Federal Insectcide, Fungicide and Rodentcide Act, the Federal Food, Drug and Cosmetc Act and the Food Quality Protecton Act of 1996, the U.S. Environmental Protecton Agency, or EPA, undertakes a series of regulatory actons relatng to the evaluaton and use of pestcides in the food industry. Similarly, in the EU, Regulaton (EC) No. 1107/2009, which became efectve on June 14, 2011, fundamentally changed the pestcide approval process from the current risk base to hazard criteria based on the intrinsic propertes of the substance. Actons regarding the availability and use of herbicides, fertlizers, pestcides and other agricultural products, the costs of compliance, consequences of non-compliance, remediaton costs and liabilites, unfavorable public perceptons of such products or products liability lawsuits could have a material adverse efect on our business, results of operatons, fnancial positon, cash fows and reputaton.</w:t>
      </w:r>
    </w:p>
    <w:p>
      <w:pPr>
        <w:spacing w:after="0" w:line="166" w:lineRule="exact"/>
        <w:rPr>
          <w:sz w:val="20"/>
          <w:szCs w:val="20"/>
          <w:color w:val="auto"/>
        </w:rPr>
      </w:pPr>
    </w:p>
    <w:p>
      <w:pPr>
        <w:ind w:right="20" w:firstLine="509"/>
        <w:spacing w:after="0" w:line="230" w:lineRule="auto"/>
        <w:rPr>
          <w:sz w:val="20"/>
          <w:szCs w:val="20"/>
          <w:color w:val="auto"/>
        </w:rPr>
      </w:pPr>
      <w:r>
        <w:rPr>
          <w:rFonts w:ascii="Calibri" w:cs="Calibri" w:eastAsia="Calibri" w:hAnsi="Calibri"/>
          <w:sz w:val="13"/>
          <w:szCs w:val="13"/>
          <w:color w:val="auto"/>
        </w:rPr>
        <w:t>There has been a broad range of proposed and promulgated state, natonal, local and internatonal regulaton aimed at reducing the efects of climate change. Such regulatons apply or could apply in countries where we conduct operatons or have interests or could conduct operatons or have interests in the future. In the United States, there is a signifcant possibility that some form of regulaton will be enacted at the federal level to address the efects of climate change. Such regulaton could take several forms that could result in additonal costs in the form of taxes, the restricton of output, investments of capital to maintain compliance with laws and regulatons, or required acquisiton or trading of emission allowances. Climate change regulaton contnues to evolve, and while it is not possible to accurately estmate either a tmetable for implementaton or our future compliance costs relatng to implementaton, such regulaton could have a material efect on our business, results of operatons, fnancial positon or capital expenditures. To the extent that climate change afects our farms, including their water supply, our ability to grow crops could be harmed.</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The acquisiton of other businesses could pose risks to our fnancial conditon and results.</w:t>
      </w:r>
    </w:p>
    <w:p>
      <w:pPr>
        <w:spacing w:after="0" w:line="158" w:lineRule="exact"/>
        <w:rPr>
          <w:sz w:val="20"/>
          <w:szCs w:val="20"/>
          <w:color w:val="auto"/>
        </w:rPr>
      </w:pPr>
    </w:p>
    <w:p>
      <w:pPr>
        <w:ind w:right="40" w:firstLine="509"/>
        <w:spacing w:after="0" w:line="229" w:lineRule="auto"/>
        <w:rPr>
          <w:sz w:val="20"/>
          <w:szCs w:val="20"/>
          <w:color w:val="auto"/>
        </w:rPr>
      </w:pPr>
      <w:r>
        <w:rPr>
          <w:rFonts w:ascii="Calibri" w:cs="Calibri" w:eastAsia="Calibri" w:hAnsi="Calibri"/>
          <w:sz w:val="13"/>
          <w:szCs w:val="13"/>
          <w:color w:val="auto"/>
        </w:rPr>
        <w:t>We intend to review acquisiton and investment prospects that would complement our business. Future acquisitons by us could result in accountng charges, potentally dilutve issuances of equity securites, and increased debt and contngent liabilites, any of which could have a material adverse efect on our business and the market price of our common stock. Acquisitons entail numerous risks, including the integraton of the acquired operatons, diversion of management’s atenton to other business concerns, risks of entering markets in which we have limited prior experience, assumpton of liabilites and the potental loss of key employees of acquired organizatons. We may be unable to successfully integrate businesses or the personnel of any business that might be acquired in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13" w:name="page14"/>
    <w:bookmarkEnd w:id="13"/>
    <w:p>
      <w:pPr>
        <w:spacing w:after="0"/>
        <w:rPr>
          <w:sz w:val="20"/>
          <w:szCs w:val="20"/>
          <w:color w:val="auto"/>
        </w:rPr>
      </w:pPr>
      <w:r>
        <w:rPr>
          <w:rFonts w:ascii="Calibri" w:cs="Calibri" w:eastAsia="Calibri" w:hAnsi="Calibri"/>
          <w:sz w:val="13"/>
          <w:szCs w:val="13"/>
          <w:color w:val="auto"/>
        </w:rPr>
        <w:t>future, and our failure to do so could have a material adverse efect on our business and on the market price of our common stock. We may also not be able to achieve an atractve return on our investments.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We depend on our infrastructure to have sufcient capacity to handle our business needs.</w:t>
      </w:r>
    </w:p>
    <w:p>
      <w:pPr>
        <w:spacing w:after="0" w:line="158" w:lineRule="exact"/>
        <w:rPr>
          <w:sz w:val="20"/>
          <w:szCs w:val="20"/>
          <w:color w:val="auto"/>
        </w:rPr>
      </w:pPr>
    </w:p>
    <w:p>
      <w:pPr>
        <w:ind w:right="20" w:firstLine="509"/>
        <w:spacing w:after="0" w:line="230" w:lineRule="auto"/>
        <w:rPr>
          <w:sz w:val="20"/>
          <w:szCs w:val="20"/>
          <w:color w:val="auto"/>
        </w:rPr>
      </w:pPr>
      <w:r>
        <w:rPr>
          <w:rFonts w:ascii="Calibri" w:cs="Calibri" w:eastAsia="Calibri" w:hAnsi="Calibri"/>
          <w:sz w:val="13"/>
          <w:szCs w:val="13"/>
          <w:color w:val="auto"/>
        </w:rPr>
        <w:t>We have an infrastructure that supports our producton and distributon, but if we lose machinery or facilites due to natural disasters, mechanical failures, or other reasons, we may not be able to operate at a sufcient capacity to meet our needs. We will also contnue to make investments in existng and new facilites to meet our needs. Any inability to have sufcient facilites, or loss or failure of facilites, could have a material adverse efect on our business, which could impact our results of operatons and our fnancial conditon.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Adverse results in material litgaton or governmental inquiries and actons could have an adverse fnancial impact and an adverse impact on our business and fnancial conditon.</w:t>
      </w:r>
    </w:p>
    <w:p>
      <w:pPr>
        <w:spacing w:after="0" w:line="158" w:lineRule="exact"/>
        <w:rPr>
          <w:sz w:val="20"/>
          <w:szCs w:val="20"/>
          <w:color w:val="auto"/>
        </w:rPr>
      </w:pPr>
    </w:p>
    <w:p>
      <w:pPr>
        <w:ind w:right="100" w:firstLine="509"/>
        <w:spacing w:after="0" w:line="229" w:lineRule="auto"/>
        <w:rPr>
          <w:sz w:val="20"/>
          <w:szCs w:val="20"/>
          <w:color w:val="auto"/>
        </w:rPr>
      </w:pPr>
      <w:r>
        <w:rPr>
          <w:rFonts w:ascii="Calibri" w:cs="Calibri" w:eastAsia="Calibri" w:hAnsi="Calibri"/>
          <w:sz w:val="13"/>
          <w:szCs w:val="13"/>
          <w:color w:val="auto"/>
        </w:rPr>
        <w:t>We are involved in various legal proceedings arising in the ordinary course of business including, among other things, disputes related to employee maters such as our pending class acton lawsuits, disputes with respect to vendors or business partners and clients, as well as inquiries or investgatons from governmental agencies. Some proceedings against us involve claims that are substantal in amount and could divert management's atenton from operatons. These proceedings also may result in substantal monetary damages. Further, the legal actons and government investgatons could damage our reputaton with investors and adversely afect the trading prices of our securites.</w:t>
      </w:r>
    </w:p>
    <w:p>
      <w:pPr>
        <w:spacing w:after="0" w:line="179" w:lineRule="exact"/>
        <w:rPr>
          <w:sz w:val="20"/>
          <w:szCs w:val="20"/>
          <w:color w:val="auto"/>
        </w:rPr>
      </w:pPr>
    </w:p>
    <w:p>
      <w:pPr>
        <w:ind w:right="140"/>
        <w:spacing w:after="0" w:line="225" w:lineRule="auto"/>
        <w:rPr>
          <w:sz w:val="20"/>
          <w:szCs w:val="20"/>
          <w:color w:val="auto"/>
        </w:rPr>
      </w:pPr>
      <w:r>
        <w:rPr>
          <w:rFonts w:ascii="Calibri" w:cs="Calibri" w:eastAsia="Calibri" w:hAnsi="Calibri"/>
          <w:sz w:val="13"/>
          <w:szCs w:val="13"/>
          <w:b w:val="1"/>
          <w:bCs w:val="1"/>
          <w:i w:val="1"/>
          <w:iCs w:val="1"/>
          <w:color w:val="auto"/>
        </w:rPr>
        <w:t>We are subject to extensive government regulaton in the jurisdictons in which we do business. Regulatons addressing, among other things, import/export restrictons, ant-bribery and corrupton, and taxes, can negatvely impact our fnancial conditon, results of operaton, and cash fows.</w:t>
      </w:r>
    </w:p>
    <w:p>
      <w:pPr>
        <w:spacing w:after="0" w:line="159" w:lineRule="exact"/>
        <w:rPr>
          <w:sz w:val="20"/>
          <w:szCs w:val="20"/>
          <w:color w:val="auto"/>
        </w:rPr>
      </w:pPr>
    </w:p>
    <w:p>
      <w:pPr>
        <w:ind w:right="160" w:firstLine="509"/>
        <w:spacing w:after="0" w:line="230" w:lineRule="auto"/>
        <w:rPr>
          <w:sz w:val="20"/>
          <w:szCs w:val="20"/>
          <w:color w:val="auto"/>
        </w:rPr>
      </w:pPr>
      <w:r>
        <w:rPr>
          <w:rFonts w:ascii="Calibri" w:cs="Calibri" w:eastAsia="Calibri" w:hAnsi="Calibri"/>
          <w:sz w:val="13"/>
          <w:szCs w:val="13"/>
          <w:color w:val="auto"/>
        </w:rPr>
        <w:t>We are subject to government regulaton in the United States and in the foreign jurisdictons where we conduct business. The applicaton of laws and regulatons to our business is sometmes unclear. Compliance with laws and regulatons may involve signifcant costs or require changes in business practces that could result in reduced proftability. If there is a determinaton that we have failed to comply with applicable laws or regulatons, we may be subject to penaltes or sanctons that could adversely impact our reputaton and fnancial results. Compliance with changes in laws or regulatons can result in increased operatng costs and require additonal, unplanned capital expenditures. Export controls or other regulatory restrictons could prevent us from shipping our products to and from some markets or increase the cost of doing so. Changes in tax laws and regulatons and internatonal tax treates could afect the fnancial results of our businesses. Increasingly aggressive enforcement of ant-bribery and ant-corrupton requirements, including the U.S. Foreign Corrupt Practces Act, the United Kingdom Bribery Act and the China Ant-Unfair Competton Law, could subject us to criminal or civil sanctons if a violaton is deemed to have occurred. In additon, we are subject to laws and sanctons imposed by the U.S. and other jurisdictons where we do business that may prohibit us, or certain of our afliates, from doing business in certain countries, or restrictng the kind of business that we may conduct.</w:t>
      </w:r>
    </w:p>
    <w:p>
      <w:pPr>
        <w:spacing w:after="0" w:line="163" w:lineRule="exact"/>
        <w:rPr>
          <w:sz w:val="20"/>
          <w:szCs w:val="20"/>
          <w:color w:val="auto"/>
        </w:rPr>
      </w:pPr>
    </w:p>
    <w:p>
      <w:pPr>
        <w:ind w:right="40" w:firstLine="509"/>
        <w:spacing w:after="0" w:line="231" w:lineRule="auto"/>
        <w:rPr>
          <w:sz w:val="20"/>
          <w:szCs w:val="20"/>
          <w:color w:val="auto"/>
        </w:rPr>
      </w:pPr>
      <w:r>
        <w:rPr>
          <w:rFonts w:ascii="Calibri" w:cs="Calibri" w:eastAsia="Calibri" w:hAnsi="Calibri"/>
          <w:sz w:val="13"/>
          <w:szCs w:val="13"/>
          <w:color w:val="auto"/>
        </w:rPr>
        <w:t>Further, we cannot guarantee that our internal controls and compliance systems will always protect us from acts commited by employees, agents, business partners or that businesses that we acquire would not violate U.S. and/or non-U.S. laws, including the laws governing payments to government ofcials, bribery, fraud, kickbacks and false claims, pricing, sales and marketng practces, conficts of interest, competton, export and import compliance, money laundering, and data privacy. Any such improper actons or allegatons of such acts could damage our reputaton and subject us to civil or criminal investgatons in the U.S. and in other jurisdictons and related shareholder lawsuits, could lead to substantal civil and criminal, monetary and non-monetary penaltes, and could cause us to incur signifcant legal and investgatory fees. In additon, the government may seek to hold us liable as a successor for violatons commited by companies in which we invest or that we acquire.</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Our business depends on a strong and trusted brand, and any failure to maintain, protect, and enhance our brand would have an adverse impact on our business.</w:t>
      </w:r>
    </w:p>
    <w:p>
      <w:pPr>
        <w:spacing w:after="0" w:line="158" w:lineRule="exact"/>
        <w:rPr>
          <w:sz w:val="20"/>
          <w:szCs w:val="20"/>
          <w:color w:val="auto"/>
        </w:rPr>
      </w:pPr>
    </w:p>
    <w:p>
      <w:pPr>
        <w:ind w:right="40" w:firstLine="509"/>
        <w:spacing w:after="0" w:line="230" w:lineRule="auto"/>
        <w:rPr>
          <w:sz w:val="20"/>
          <w:szCs w:val="20"/>
          <w:color w:val="auto"/>
        </w:rPr>
      </w:pPr>
      <w:r>
        <w:rPr>
          <w:rFonts w:ascii="Calibri" w:cs="Calibri" w:eastAsia="Calibri" w:hAnsi="Calibri"/>
          <w:sz w:val="13"/>
          <w:szCs w:val="13"/>
          <w:color w:val="auto"/>
        </w:rPr>
        <w:t>Consumer and insttutonal recogniton of the Mission Produce word and design marks and related brands and the associaton of these brands with our sourcing, producton and distributon of fresh avocados, and mangos, are an integral part of our business. The occurrence of any events or rumors that cause consumers and/or insttutons to no longer associate these brands with our products and services may materially adversely afect the value of our brand names and demand for our products and services.</w:t>
      </w:r>
    </w:p>
    <w:p>
      <w:pPr>
        <w:spacing w:after="0" w:line="159" w:lineRule="exact"/>
        <w:rPr>
          <w:sz w:val="20"/>
          <w:szCs w:val="20"/>
          <w:color w:val="auto"/>
        </w:rPr>
      </w:pPr>
    </w:p>
    <w:p>
      <w:pPr>
        <w:ind w:firstLine="509"/>
        <w:spacing w:after="0" w:line="228" w:lineRule="auto"/>
        <w:rPr>
          <w:sz w:val="20"/>
          <w:szCs w:val="20"/>
          <w:color w:val="auto"/>
        </w:rPr>
      </w:pPr>
      <w:r>
        <w:rPr>
          <w:rFonts w:ascii="Calibri" w:cs="Calibri" w:eastAsia="Calibri" w:hAnsi="Calibri"/>
          <w:sz w:val="13"/>
          <w:szCs w:val="13"/>
          <w:color w:val="auto"/>
        </w:rPr>
        <w:t>In additon, certain of our registered trademarks has been opposed, and the registered or unregistered trademarks or trade names that we own or may own in the future may be challenged, infringed, declared generic, or determined to be infringing on or dilutve of other marks. We may not be able to protect our rights in these trademarks and trade names, which we need in order to build name recogniton with potental customers. Moreover, third partes have and others may fle for registraton of trademarks similar or identcal to our trademarks; if they succeed in registering or developing common law rights in such trademarks, and if we are not successful in challenging such third-party rights, we may not be able to use these trademarks to develop brand recogniton of our technologies and products. Furthermore, there could be potental trade name or trademark infringement claims brought by owners of other registered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0" w:right="339" w:bottom="1440" w:gutter="0" w:footer="0" w:header="0"/>
        </w:sectPr>
      </w:pPr>
    </w:p>
    <w:bookmarkStart w:id="14" w:name="page15"/>
    <w:bookmarkEnd w:id="14"/>
    <w:p>
      <w:pPr>
        <w:ind w:right="40"/>
        <w:spacing w:after="0" w:line="225" w:lineRule="auto"/>
        <w:rPr>
          <w:sz w:val="20"/>
          <w:szCs w:val="20"/>
          <w:color w:val="auto"/>
        </w:rPr>
      </w:pPr>
      <w:r>
        <w:rPr>
          <w:rFonts w:ascii="Calibri" w:cs="Calibri" w:eastAsia="Calibri" w:hAnsi="Calibri"/>
          <w:sz w:val="13"/>
          <w:szCs w:val="13"/>
          <w:color w:val="auto"/>
        </w:rPr>
        <w:t>trademarks or trademarks that incorporate variatons of our registered or unregistered trademarks or trade names. If we are unable to establish name recogniton based on our trademarks and trade names, we may not be able to compete efectvely, which could have a material adverse efect on our business, fnancial conditon, and results of operatons.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We could be subject to changes in tax rates, the adopton of new U.S. or internatonal tax legislaton or exposure to additonal tax liabilites.</w:t>
      </w:r>
    </w:p>
    <w:p>
      <w:pPr>
        <w:spacing w:after="0" w:line="158" w:lineRule="exact"/>
        <w:rPr>
          <w:sz w:val="20"/>
          <w:szCs w:val="20"/>
          <w:color w:val="auto"/>
        </w:rPr>
      </w:pPr>
    </w:p>
    <w:p>
      <w:pPr>
        <w:ind w:right="20" w:firstLine="509"/>
        <w:spacing w:after="0" w:line="233" w:lineRule="auto"/>
        <w:rPr>
          <w:sz w:val="20"/>
          <w:szCs w:val="20"/>
          <w:color w:val="auto"/>
        </w:rPr>
      </w:pPr>
      <w:r>
        <w:rPr>
          <w:rFonts w:ascii="Calibri" w:cs="Calibri" w:eastAsia="Calibri" w:hAnsi="Calibri"/>
          <w:sz w:val="13"/>
          <w:szCs w:val="13"/>
          <w:color w:val="auto"/>
        </w:rPr>
        <w:t>We are subject to taxes in the U.S., Mexico, Peru and other countries. Due to economic and politcal conditons, tax rates in various jurisdictons may be subject to signifcant change. Our efectve tax rates could be afected by changes in the mix of earnings in countries with difering statutory tax rates, changes in the valuaton of deferred tax assets and liabilites, or changes in tax laws or their interpretaton. On December 30, 2020, Peru enacted tax law repealing current tax law which provided benefts to agribusiness enttes. The new law will subject us to higher Peruvian corporate income tax rates than our current rate of 15% as follows: 20% for calendar years 2023 to 2024, 25% for calendar years 2025 to 2027, and 29.5% thereafer.</w:t>
      </w:r>
    </w:p>
    <w:p>
      <w:pPr>
        <w:spacing w:after="0" w:line="158" w:lineRule="exact"/>
        <w:rPr>
          <w:sz w:val="20"/>
          <w:szCs w:val="20"/>
          <w:color w:val="auto"/>
        </w:rPr>
      </w:pPr>
    </w:p>
    <w:p>
      <w:pPr>
        <w:ind w:right="40" w:firstLine="509"/>
        <w:spacing w:after="0" w:line="229" w:lineRule="auto"/>
        <w:rPr>
          <w:sz w:val="20"/>
          <w:szCs w:val="20"/>
          <w:color w:val="auto"/>
        </w:rPr>
      </w:pPr>
      <w:r>
        <w:rPr>
          <w:rFonts w:ascii="Calibri" w:cs="Calibri" w:eastAsia="Calibri" w:hAnsi="Calibri"/>
          <w:sz w:val="13"/>
          <w:szCs w:val="13"/>
          <w:color w:val="auto"/>
        </w:rPr>
        <w:t>We are also subject to the examinaton of our tax returns and other tax maters by the U.S. Internal Revenue Service (“IRS”), the Servicio de Administracion Tributaria in Mexico (“SAT”), the Superintendencia Nacional de Administración Tributaria in Peru (“SUNAT”) and other tax authorites. We regularly assess the likelihood of an adverse outcome resultng from these examinatons to determine the adequacy of its provision for taxes. There can be no assurance as to the outcome of these examinatons. If our efectve tax rates were to increase, or if the ultmate determinaton of our taxes owed is for an amount in excess of amounts previously accrued, our fnancial conditon, operatng results and cash fows could be adversely afected.</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The ongoing confict between Russia and Ukraine may adversely afect our business and results of operatons.</w:t>
      </w:r>
    </w:p>
    <w:p>
      <w:pPr>
        <w:spacing w:after="0" w:line="158" w:lineRule="exact"/>
        <w:rPr>
          <w:sz w:val="20"/>
          <w:szCs w:val="20"/>
          <w:color w:val="auto"/>
        </w:rPr>
      </w:pPr>
    </w:p>
    <w:p>
      <w:pPr>
        <w:ind w:firstLine="509"/>
        <w:spacing w:after="0" w:line="231" w:lineRule="auto"/>
        <w:rPr>
          <w:sz w:val="20"/>
          <w:szCs w:val="20"/>
          <w:color w:val="auto"/>
        </w:rPr>
      </w:pPr>
      <w:r>
        <w:rPr>
          <w:rFonts w:ascii="Calibri" w:cs="Calibri" w:eastAsia="Calibri" w:hAnsi="Calibri"/>
          <w:sz w:val="13"/>
          <w:szCs w:val="13"/>
          <w:color w:val="auto"/>
        </w:rPr>
        <w:t>Given the nature of our business and our global operatons, politcal, economic, and other conditons in foreign countries and regions, including geopolitcal risks such as the current confict between Russia and Ukraine, may adversely afect our business and results of operatons. The broader consequences of this confict, which may include further sanctons, embargoes, regional instability, and geopolitcal shifs; transportaton bans relatng to certain routes, or strategic decisions to alter certain routes; potental retaliatory acton by the Russian government against companies, including us, as a result of the suspension of services in Russia, including natonalizaton of foreign businesses in Russia; increased tensions between the United States and countries in which we operate; and the extent of the confict’s efect on our business and results of operatons as well as the global economy, cannot be predicted.</w:t>
      </w:r>
    </w:p>
    <w:p>
      <w:pPr>
        <w:spacing w:after="0" w:line="38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Risks Related to Our Common Stock</w:t>
      </w:r>
    </w:p>
    <w:p>
      <w:pPr>
        <w:spacing w:after="0" w:line="166"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An actve, liquid and orderly market for our common stock may not be maintained.</w:t>
      </w:r>
    </w:p>
    <w:p>
      <w:pPr>
        <w:spacing w:after="0" w:line="158" w:lineRule="exact"/>
        <w:rPr>
          <w:sz w:val="20"/>
          <w:szCs w:val="20"/>
          <w:color w:val="auto"/>
        </w:rPr>
      </w:pPr>
    </w:p>
    <w:p>
      <w:pPr>
        <w:ind w:right="60" w:firstLine="509"/>
        <w:spacing w:after="0" w:line="229" w:lineRule="auto"/>
        <w:rPr>
          <w:sz w:val="20"/>
          <w:szCs w:val="20"/>
          <w:color w:val="auto"/>
        </w:rPr>
      </w:pPr>
      <w:r>
        <w:rPr>
          <w:rFonts w:ascii="Calibri" w:cs="Calibri" w:eastAsia="Calibri" w:hAnsi="Calibri"/>
          <w:sz w:val="13"/>
          <w:szCs w:val="13"/>
          <w:color w:val="auto"/>
        </w:rPr>
        <w:t>Our common stock began trading on Nasdaq in October 2020, but we can provide no assurance that we will be able to maintain an actve trading market for our common stock. Even if an actve trading market is developed, it may not be sustained. The lack of an actve market may impair your ability to sell your shares at the tme you wish to sell them or at a price that you consider reasonable. An inactve market may also impair our ability to raise capital by selling shares and may impair our ability to acquire other businesses or technologies using our shares as consideraton, which, in turn, could materially adversely afect our business. We may fail to comply with Nasdaq listng standards which could cause our stock to be delisted.</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The trading price of the shares of our common stock has been, and is likely to contnue to be, highly volatle, and purchasers of our common stock could incur substantal losses.</w:t>
      </w:r>
    </w:p>
    <w:p>
      <w:pPr>
        <w:spacing w:after="0" w:line="158" w:lineRule="exact"/>
        <w:rPr>
          <w:sz w:val="20"/>
          <w:szCs w:val="20"/>
          <w:color w:val="auto"/>
        </w:rPr>
      </w:pPr>
    </w:p>
    <w:p>
      <w:pPr>
        <w:ind w:right="140" w:firstLine="509"/>
        <w:spacing w:after="0" w:line="225" w:lineRule="auto"/>
        <w:rPr>
          <w:sz w:val="20"/>
          <w:szCs w:val="20"/>
          <w:color w:val="auto"/>
        </w:rPr>
      </w:pPr>
      <w:r>
        <w:rPr>
          <w:rFonts w:ascii="Calibri" w:cs="Calibri" w:eastAsia="Calibri" w:hAnsi="Calibri"/>
          <w:sz w:val="13"/>
          <w:szCs w:val="13"/>
          <w:color w:val="auto"/>
        </w:rPr>
        <w:t>Our stock price has been and is likely to contnue to be volatle. The stock market has experienced extreme volatlity that has ofen been unrelated to the operatng performance of partcular companies. As a result of this volatlity, investors may not be able to sell their common stock at or above the price at which they paid. The market price for our common stock may be infuenced by those factors discussed in this “Risk Factors” secton and many others.</w:t>
      </w:r>
    </w:p>
    <w:p>
      <w:pPr>
        <w:spacing w:after="0" w:line="180" w:lineRule="exact"/>
        <w:rPr>
          <w:sz w:val="20"/>
          <w:szCs w:val="20"/>
          <w:color w:val="auto"/>
        </w:rPr>
      </w:pPr>
    </w:p>
    <w:p>
      <w:pPr>
        <w:ind w:right="120"/>
        <w:spacing w:after="0" w:line="225" w:lineRule="auto"/>
        <w:rPr>
          <w:sz w:val="20"/>
          <w:szCs w:val="20"/>
          <w:color w:val="auto"/>
        </w:rPr>
      </w:pPr>
      <w:r>
        <w:rPr>
          <w:rFonts w:ascii="Calibri" w:cs="Calibri" w:eastAsia="Calibri" w:hAnsi="Calibri"/>
          <w:sz w:val="13"/>
          <w:szCs w:val="13"/>
          <w:b w:val="1"/>
          <w:bCs w:val="1"/>
          <w:i w:val="1"/>
          <w:iCs w:val="1"/>
          <w:color w:val="auto"/>
        </w:rPr>
        <w:t>Our executve ofcers, directors and principal stockholders, if they choose to act together, have the ability to control or signifcantly infuence all maters submited to stockholders for approval. Furthermore, many of our current directors were appointed by our principal stockholders.</w:t>
      </w:r>
    </w:p>
    <w:p>
      <w:pPr>
        <w:spacing w:after="0" w:line="159" w:lineRule="exact"/>
        <w:rPr>
          <w:sz w:val="20"/>
          <w:szCs w:val="20"/>
          <w:color w:val="auto"/>
        </w:rPr>
      </w:pPr>
    </w:p>
    <w:p>
      <w:pPr>
        <w:ind w:right="20" w:firstLine="509"/>
        <w:spacing w:after="0" w:line="229" w:lineRule="auto"/>
        <w:rPr>
          <w:sz w:val="20"/>
          <w:szCs w:val="20"/>
          <w:color w:val="auto"/>
        </w:rPr>
      </w:pPr>
      <w:r>
        <w:rPr>
          <w:rFonts w:ascii="Calibri" w:cs="Calibri" w:eastAsia="Calibri" w:hAnsi="Calibri"/>
          <w:sz w:val="13"/>
          <w:szCs w:val="13"/>
          <w:color w:val="auto"/>
        </w:rPr>
        <w:t>Our executve ofcers, directors and greater than 5% stockholders, in the aggregate, own approximately 41% of our outstanding common stock as of October 31, 2022. Furthermore, many of our current directors were appointed by our principal stockholders. As a result, such persons or their appointees to our Board of Directors, actng together, have the ability to control or signifcantly infuence all maters submited to our Board of Directors or stockholders for approval, including the appointment of our management, the electon and removal of directors and approval of any signifcant transacton, as well as our management and business afairs. This concentraton of ownership may have the efect of delaying, deferring or preventng a change in control, impeding a merger, consolidaton, takeover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5" w:name="page16"/>
    <w:bookmarkEnd w:id="15"/>
    <w:p>
      <w:pPr>
        <w:ind w:right="440"/>
        <w:spacing w:after="0" w:line="225" w:lineRule="auto"/>
        <w:rPr>
          <w:sz w:val="20"/>
          <w:szCs w:val="20"/>
          <w:color w:val="auto"/>
        </w:rPr>
      </w:pPr>
      <w:r>
        <w:rPr>
          <w:rFonts w:ascii="Calibri" w:cs="Calibri" w:eastAsia="Calibri" w:hAnsi="Calibri"/>
          <w:sz w:val="13"/>
          <w:szCs w:val="13"/>
          <w:color w:val="auto"/>
        </w:rPr>
        <w:t>other business combinaton involving us, or discouraging a potental acquirer from making a tender ofer or otherwise atemptng to obtain control of our business, even if such a transacton would beneft other stockholders.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Because we may not pay any cash dividends on our capital stock in the foreseeable future, capital appreciaton, if any, may be your sole source of gain.</w:t>
      </w:r>
    </w:p>
    <w:p>
      <w:pPr>
        <w:spacing w:after="0" w:line="158" w:lineRule="exact"/>
        <w:rPr>
          <w:sz w:val="20"/>
          <w:szCs w:val="20"/>
          <w:color w:val="auto"/>
        </w:rPr>
      </w:pPr>
    </w:p>
    <w:p>
      <w:pPr>
        <w:ind w:right="40" w:firstLine="509"/>
        <w:spacing w:after="0" w:line="233" w:lineRule="auto"/>
        <w:rPr>
          <w:sz w:val="20"/>
          <w:szCs w:val="20"/>
          <w:color w:val="auto"/>
        </w:rPr>
      </w:pPr>
      <w:r>
        <w:rPr>
          <w:rFonts w:ascii="Calibri" w:cs="Calibri" w:eastAsia="Calibri" w:hAnsi="Calibri"/>
          <w:sz w:val="13"/>
          <w:szCs w:val="13"/>
          <w:color w:val="auto"/>
        </w:rPr>
        <w:t>We have paid cash dividends on our capital stock in the past but cannot guarantee that we will contnue to do so in the future. Any determinaton to pay dividends in the future will be at the discreton of our Board of Directors and will depend upon results of operatons, fnancial conditon, any contractual restrictons, our indebtedness, restrictons imposed by applicable law and other factors our Board of Directors deems relevant. Any return to stockholders will therefore be limited to the appreciaton of their stock. Shares of our common stock may not appreciate in value or even maintain the price at which stockholders have purchased their shares.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We incur signifcant costs as a result of operatng as a public company, and our management will be required to devote substantal tme to new compliance initatves.</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As a public company, we incur signifcant legal, accountng and other expenses that we did not incur as a private company. We are subject to the reportng requirements of the Exchange Act, which require, among other things, that we fle with the SEC, annual, quarterly and current reports with respect to our business and fnancial conditon. In additon, the Sarbanes-Oxley Act, as well as rules subsequently adopted by the SEC and Nasdaq to implement provisions of the Sarbanes-Oxley Act, impose signifcant requirements on public companies, including requiring establishment and maintenance of efectve disclosure and fnancial controls and changes in corporate governance practces. Further, pursuant to the Dodd-Frank Wall Street Reform and Consumer Protecton Act of 2010, the SEC has adopted additonal rules and regulatons in these areas, such as mandatory “say on pay” votng requirements. Stockholder actvism, the current politcal environment and the current high level of government interventon and regulatory reform may lead to substantal new regulatons and disclosure obligatons, including with respect to environmental, social and governance (“ESG”) maters, which may lead to additonal compliance costs and impact the manner in which we operate our business in ways we cannot currently antcipate.</w:t>
      </w:r>
    </w:p>
    <w:p>
      <w:pPr>
        <w:spacing w:after="0" w:line="160" w:lineRule="exact"/>
        <w:rPr>
          <w:sz w:val="20"/>
          <w:szCs w:val="20"/>
          <w:color w:val="auto"/>
        </w:rPr>
      </w:pPr>
    </w:p>
    <w:p>
      <w:pPr>
        <w:ind w:right="20" w:firstLine="509"/>
        <w:spacing w:after="0" w:line="231" w:lineRule="auto"/>
        <w:rPr>
          <w:sz w:val="20"/>
          <w:szCs w:val="20"/>
          <w:color w:val="auto"/>
        </w:rPr>
      </w:pPr>
      <w:r>
        <w:rPr>
          <w:rFonts w:ascii="Calibri" w:cs="Calibri" w:eastAsia="Calibri" w:hAnsi="Calibri"/>
          <w:sz w:val="13"/>
          <w:szCs w:val="13"/>
          <w:color w:val="auto"/>
        </w:rPr>
        <w:t>The rules and regulatons applicable to public companies has and will contnue to substantally increase our legal and fnancial compliance costs and to make some actvites more tme consuming. If these requirements divert the atenton of our management and personnel from other business concerns, they could have a material adverse efect on our business, fnancial conditon and results of operatons. The increased costs will decrease our net income or increase our net loss, and may require us to reduce costs in other areas of our business. We cannot predict or estmate the amount or tming of additonal costs we may incur to respond to these requirements. The impact of these requirements could also make it more difcult for us to atract and retain qualifed persons to serve on our Board of Directors, our board commitees or as executve ofcers.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If securites or industry analysts do not publish research or reports or publish unfavorable research or reports about our business, our stock price and trading volume could decline.</w:t>
      </w:r>
    </w:p>
    <w:p>
      <w:pPr>
        <w:spacing w:after="0" w:line="158" w:lineRule="exact"/>
        <w:rPr>
          <w:sz w:val="20"/>
          <w:szCs w:val="20"/>
          <w:color w:val="auto"/>
        </w:rPr>
      </w:pPr>
    </w:p>
    <w:p>
      <w:pPr>
        <w:ind w:right="20" w:firstLine="509"/>
        <w:spacing w:after="0" w:line="233" w:lineRule="auto"/>
        <w:rPr>
          <w:sz w:val="20"/>
          <w:szCs w:val="20"/>
          <w:color w:val="auto"/>
        </w:rPr>
      </w:pPr>
      <w:r>
        <w:rPr>
          <w:rFonts w:ascii="Calibri" w:cs="Calibri" w:eastAsia="Calibri" w:hAnsi="Calibri"/>
          <w:sz w:val="13"/>
          <w:szCs w:val="13"/>
          <w:color w:val="auto"/>
        </w:rPr>
        <w:t>The trading market for our common stock depends in part on the research and reports that securites or industry analysts publish about us, our business, our market or our compettors. If no securites or industry analysts commence or contnue coverage of our company, the trading price for our stock would be negatvely impacted. In the event we obtain securites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69" w:lineRule="exact"/>
        <w:rPr>
          <w:sz w:val="20"/>
          <w:szCs w:val="20"/>
          <w:color w:val="auto"/>
        </w:rPr>
      </w:pPr>
    </w:p>
    <w:p>
      <w:pPr>
        <w:ind w:right="160"/>
        <w:spacing w:after="0" w:line="225" w:lineRule="auto"/>
        <w:rPr>
          <w:sz w:val="20"/>
          <w:szCs w:val="20"/>
          <w:color w:val="auto"/>
        </w:rPr>
      </w:pPr>
      <w:r>
        <w:rPr>
          <w:rFonts w:ascii="Calibri" w:cs="Calibri" w:eastAsia="Calibri" w:hAnsi="Calibri"/>
          <w:sz w:val="13"/>
          <w:szCs w:val="13"/>
          <w:b w:val="1"/>
          <w:bCs w:val="1"/>
          <w:i w:val="1"/>
          <w:iCs w:val="1"/>
          <w:color w:val="auto"/>
        </w:rPr>
        <w:t>If we fail to maintain proper and efectve internal control over fnancial reportng, our ability to produce accurate and tmely fnancial statements could be impaired, investors may lose confdence in our fnancial reportng and the trading price of our common stock may decline.</w:t>
      </w:r>
    </w:p>
    <w:p>
      <w:pPr>
        <w:spacing w:after="0" w:line="159" w:lineRule="exact"/>
        <w:rPr>
          <w:sz w:val="20"/>
          <w:szCs w:val="20"/>
          <w:color w:val="auto"/>
        </w:rPr>
      </w:pPr>
    </w:p>
    <w:p>
      <w:pPr>
        <w:ind w:right="80" w:firstLine="509"/>
        <w:spacing w:after="0" w:line="231" w:lineRule="auto"/>
        <w:rPr>
          <w:sz w:val="20"/>
          <w:szCs w:val="20"/>
          <w:color w:val="auto"/>
        </w:rPr>
      </w:pPr>
      <w:r>
        <w:rPr>
          <w:rFonts w:ascii="Calibri" w:cs="Calibri" w:eastAsia="Calibri" w:hAnsi="Calibri"/>
          <w:sz w:val="13"/>
          <w:szCs w:val="13"/>
          <w:color w:val="auto"/>
        </w:rPr>
        <w:t>Pursuant to Secton 404 of Sarbanes-Oxley, our management is required to report upon the efectveness of our internal control over fnancial reportng beginning with the annual report for our fscal year ending October 31, 2021. Our independent registered public accountng frm is required to atest to the efectveness of our internal control over fnancial reportng. The rules governing the standards that must be met for management to assess our internal control over fnancial reportng are complex and require signifcant documentaton, testng and possible remediaton. To comply with the requirements of being a reportng company under the Exchange Act, we have implemented additonal fnancial and management controls, reportng systems and procedures; and hired additonal accountng and fnance staf. If we or, if required, our auditors are unable to conclude that our internal control over fnancial reportng is efectve, investors may lose confdence in our fnancial reportng and the trading price of our common stock may decline.</w:t>
      </w:r>
    </w:p>
    <w:p>
      <w:pPr>
        <w:spacing w:after="0" w:line="159" w:lineRule="exact"/>
        <w:rPr>
          <w:sz w:val="20"/>
          <w:szCs w:val="20"/>
          <w:color w:val="auto"/>
        </w:rPr>
      </w:pPr>
    </w:p>
    <w:p>
      <w:pPr>
        <w:ind w:right="100" w:firstLine="509"/>
        <w:spacing w:after="0" w:line="229" w:lineRule="auto"/>
        <w:rPr>
          <w:sz w:val="20"/>
          <w:szCs w:val="20"/>
          <w:color w:val="auto"/>
        </w:rPr>
      </w:pPr>
      <w:r>
        <w:rPr>
          <w:rFonts w:ascii="Calibri" w:cs="Calibri" w:eastAsia="Calibri" w:hAnsi="Calibri"/>
          <w:sz w:val="13"/>
          <w:szCs w:val="13"/>
          <w:color w:val="auto"/>
        </w:rPr>
        <w:t>There could be material weaknesses in our internal control over fnancial reportng in the future. Any failure to maintain internal control over fnancial reportng could severely inhibit our ability to accurately report our fnancial conditon, results of operatons or cash fows. If we are unable to conclude that our internal control over fnancial reportng is efectve, or if our independent registered public accountng frm determines we have a material weakness in our internal control over fnancial reportng, investors may lose confdence in the accuracy and completeness of our fnancial reports, the market price of our common stock could decline, and we could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9" w:right="339" w:bottom="1440" w:gutter="0" w:footer="0" w:header="0"/>
        </w:sectPr>
      </w:pPr>
    </w:p>
    <w:bookmarkStart w:id="16" w:name="page17"/>
    <w:bookmarkEnd w:id="16"/>
    <w:p>
      <w:pPr>
        <w:ind w:right="160"/>
        <w:spacing w:after="0" w:line="225" w:lineRule="auto"/>
        <w:rPr>
          <w:sz w:val="20"/>
          <w:szCs w:val="20"/>
          <w:color w:val="auto"/>
        </w:rPr>
      </w:pPr>
      <w:r>
        <w:rPr>
          <w:rFonts w:ascii="Calibri" w:cs="Calibri" w:eastAsia="Calibri" w:hAnsi="Calibri"/>
          <w:sz w:val="13"/>
          <w:szCs w:val="13"/>
          <w:color w:val="auto"/>
        </w:rPr>
        <w:t>be subject to sanctons or investgatons by Nasdaq, the SEC or other regulatory authorites. Failure to remedy any material weakness in our internal control over fnancial reportng, or to implement or maintain other efectve control systems required of public companies, could also restrict our future access to the capital markets.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Provisions in our charter documents and under Delaware law could discourage a takeover that stockholders may consider favorable and may lead to entrenchment of management.</w:t>
      </w:r>
    </w:p>
    <w:p>
      <w:pPr>
        <w:spacing w:after="0" w:line="158" w:lineRule="exact"/>
        <w:rPr>
          <w:sz w:val="20"/>
          <w:szCs w:val="20"/>
          <w:color w:val="auto"/>
        </w:rPr>
      </w:pPr>
    </w:p>
    <w:p>
      <w:pPr>
        <w:ind w:right="80" w:firstLine="509"/>
        <w:spacing w:after="0" w:line="231" w:lineRule="auto"/>
        <w:rPr>
          <w:sz w:val="20"/>
          <w:szCs w:val="20"/>
          <w:color w:val="auto"/>
        </w:rPr>
      </w:pPr>
      <w:r>
        <w:rPr>
          <w:rFonts w:ascii="Calibri" w:cs="Calibri" w:eastAsia="Calibri" w:hAnsi="Calibri"/>
          <w:sz w:val="13"/>
          <w:szCs w:val="13"/>
          <w:color w:val="auto"/>
        </w:rPr>
        <w:t>Provisions in our amended and restated certfcate of incorporaton and our amended and restated bylaws may discourage, delay or prevent a merger, acquisiton or other change in control of us that stockholders may consider favorable, including transactons in which stockholders might otherwise receive a premium for their shares. These provisions could also limit the price that investors might be willing to pay in the future for shares of our common stock, thereby depressing the market price of our common stock. In additon, these provisions may frustrate or prevent any atempts by our stockholders to replace or remove our current management by making it more difcult for stockholders to replace members of our Board of Directors. Because our Board of Directors is responsible for appointng the members of our management team, these provisions could in turn afect any atempt by our stockholders to replace current members of our management team. These provisions provide, among other things, that:</w:t>
      </w:r>
    </w:p>
    <w:p>
      <w:pPr>
        <w:spacing w:after="0" w:line="85" w:lineRule="exact"/>
        <w:rPr>
          <w:sz w:val="20"/>
          <w:szCs w:val="20"/>
          <w:color w:val="auto"/>
        </w:rPr>
      </w:pPr>
    </w:p>
    <w:p>
      <w:pPr>
        <w:ind w:left="520" w:right="140" w:hanging="260"/>
        <w:spacing w:after="0" w:line="233" w:lineRule="auto"/>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our Board of Directors has the exclusive right to expand the size of our Board of Directors and to elect directors to fll a vacancy created by the expansion of the Board of Directors or the resignaton, death or removal of a director, which prevents stockholders from being able to fll vacancies on our Board of Directors;</w:t>
      </w:r>
    </w:p>
    <w:p>
      <w:pPr>
        <w:spacing w:after="0" w:line="84" w:lineRule="exact"/>
        <w:rPr>
          <w:rFonts w:ascii="Calibri" w:cs="Calibri" w:eastAsia="Calibri" w:hAnsi="Calibri"/>
          <w:sz w:val="13"/>
          <w:szCs w:val="13"/>
          <w:color w:val="auto"/>
        </w:rPr>
      </w:pPr>
    </w:p>
    <w:p>
      <w:pPr>
        <w:ind w:left="520" w:right="140" w:hanging="260"/>
        <w:spacing w:after="0" w:line="233" w:lineRule="auto"/>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75" w:lineRule="exact"/>
        <w:rPr>
          <w:rFonts w:ascii="Calibri" w:cs="Calibri" w:eastAsia="Calibri" w:hAnsi="Calibri"/>
          <w:sz w:val="13"/>
          <w:szCs w:val="13"/>
          <w:color w:val="auto"/>
        </w:rPr>
      </w:pPr>
    </w:p>
    <w:p>
      <w:pPr>
        <w:ind w:left="520" w:hanging="260"/>
        <w:spacing w:after="0"/>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our stockholders may not act by writen consent, which forces stockholder acton to be taken at an annual or special meetng of our stockholders;</w:t>
      </w:r>
    </w:p>
    <w:p>
      <w:pPr>
        <w:spacing w:after="0" w:line="83" w:lineRule="exact"/>
        <w:rPr>
          <w:rFonts w:ascii="Calibri" w:cs="Calibri" w:eastAsia="Calibri" w:hAnsi="Calibri"/>
          <w:sz w:val="13"/>
          <w:szCs w:val="13"/>
          <w:color w:val="auto"/>
        </w:rPr>
      </w:pPr>
    </w:p>
    <w:p>
      <w:pPr>
        <w:ind w:left="520" w:hanging="260"/>
        <w:spacing w:after="0" w:line="233" w:lineRule="auto"/>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a special meetng of stockholders may be called only by the chairperson of our Board of Directors, our chief executve ofcer, president or our Board of Directors, which may delay the ability of our stockholders to force consideraton of a proposal or to take acton, including the removal of directors;</w:t>
      </w:r>
    </w:p>
    <w:p>
      <w:pPr>
        <w:spacing w:after="0" w:line="75" w:lineRule="exact"/>
        <w:rPr>
          <w:rFonts w:ascii="Calibri" w:cs="Calibri" w:eastAsia="Calibri" w:hAnsi="Calibri"/>
          <w:sz w:val="13"/>
          <w:szCs w:val="13"/>
          <w:color w:val="auto"/>
        </w:rPr>
      </w:pPr>
    </w:p>
    <w:p>
      <w:pPr>
        <w:ind w:left="520" w:hanging="260"/>
        <w:spacing w:after="0"/>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our amended and restated certfcate of incorporaton prohibits cumulatve votng in the electon of directors, which limits the ability of minority stockholders to elect director candidates;</w:t>
      </w:r>
    </w:p>
    <w:p>
      <w:pPr>
        <w:spacing w:after="0" w:line="85" w:lineRule="exact"/>
        <w:rPr>
          <w:rFonts w:ascii="Calibri" w:cs="Calibri" w:eastAsia="Calibri" w:hAnsi="Calibri"/>
          <w:sz w:val="13"/>
          <w:szCs w:val="13"/>
          <w:color w:val="auto"/>
        </w:rPr>
      </w:pPr>
    </w:p>
    <w:p>
      <w:pPr>
        <w:ind w:left="520" w:hanging="260"/>
        <w:spacing w:after="0"/>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our Board of Directors may alter provisions of our bylaws without obtaining stockholder approval;</w:t>
      </w:r>
    </w:p>
    <w:p>
      <w:pPr>
        <w:spacing w:after="0" w:line="83" w:lineRule="exact"/>
        <w:rPr>
          <w:rFonts w:ascii="Calibri" w:cs="Calibri" w:eastAsia="Calibri" w:hAnsi="Calibri"/>
          <w:sz w:val="13"/>
          <w:szCs w:val="13"/>
          <w:color w:val="auto"/>
        </w:rPr>
      </w:pPr>
    </w:p>
    <w:p>
      <w:pPr>
        <w:ind w:left="520" w:right="20" w:hanging="260"/>
        <w:spacing w:after="0" w:line="225" w:lineRule="auto"/>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the approval of the holders of at least two-thirds of the shares enttled to vote at an electon of directors is required to adopt, amend or repeal our bylaws or repeal the provisions of our amended and restated certfcate of incorporaton regarding the electon and removal of directors;</w:t>
      </w:r>
    </w:p>
    <w:p>
      <w:pPr>
        <w:spacing w:after="0" w:line="95" w:lineRule="exact"/>
        <w:rPr>
          <w:rFonts w:ascii="Calibri" w:cs="Calibri" w:eastAsia="Calibri" w:hAnsi="Calibri"/>
          <w:sz w:val="13"/>
          <w:szCs w:val="13"/>
          <w:color w:val="auto"/>
        </w:rPr>
      </w:pPr>
    </w:p>
    <w:p>
      <w:pPr>
        <w:ind w:left="520" w:right="180" w:hanging="260"/>
        <w:spacing w:after="0" w:line="230" w:lineRule="auto"/>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stockholders must provide advance notce and additonal disclosures in order to nominate individuals for electon to the Board of Directors or to propose maters that can be acted upon at a stockholders’ meetng, which may discourage or deter a potental acquirer from conductng a solicitaton of proxies to elect the acquirer’s own slate of directors or otherwise atemptng to obtain control of our company; and</w:t>
      </w:r>
    </w:p>
    <w:p>
      <w:pPr>
        <w:spacing w:after="0" w:line="84" w:lineRule="exact"/>
        <w:rPr>
          <w:rFonts w:ascii="Calibri" w:cs="Calibri" w:eastAsia="Calibri" w:hAnsi="Calibri"/>
          <w:sz w:val="13"/>
          <w:szCs w:val="13"/>
          <w:color w:val="auto"/>
        </w:rPr>
      </w:pPr>
    </w:p>
    <w:p>
      <w:pPr>
        <w:ind w:left="520" w:hanging="260"/>
        <w:spacing w:after="0" w:line="225" w:lineRule="auto"/>
        <w:tabs>
          <w:tab w:leader="none" w:pos="5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our Board of Directors is authorized to issue shares of preferred stock and to determine the terms of those shares, including preferences and votng rights, without stockholder approval, which could be used to signifcantly dilute the ownership of a hostle acquirer.</w:t>
      </w:r>
    </w:p>
    <w:p>
      <w:pPr>
        <w:spacing w:after="0" w:line="159" w:lineRule="exact"/>
        <w:rPr>
          <w:sz w:val="20"/>
          <w:szCs w:val="20"/>
          <w:color w:val="auto"/>
        </w:rPr>
      </w:pPr>
    </w:p>
    <w:p>
      <w:pPr>
        <w:ind w:right="60" w:firstLine="509"/>
        <w:spacing w:after="0" w:line="230" w:lineRule="auto"/>
        <w:rPr>
          <w:sz w:val="20"/>
          <w:szCs w:val="20"/>
          <w:color w:val="auto"/>
        </w:rPr>
      </w:pPr>
      <w:r>
        <w:rPr>
          <w:rFonts w:ascii="Calibri" w:cs="Calibri" w:eastAsia="Calibri" w:hAnsi="Calibri"/>
          <w:sz w:val="13"/>
          <w:szCs w:val="13"/>
          <w:color w:val="auto"/>
        </w:rPr>
        <w:t>Moreover, because we are incorporated in Delaware, we are governed by the provisions of Secton 203 of the Delaware General Corporaton Law, which prohibits a person who owns in excess of 15% of our outstanding votng stock from merging or combining with us for a period of three years afer the date of the transacton in which the person acquired in excess of 15% of our outstanding votng stock, unless the merger or combinaton is approved in a prescribed manner.</w:t>
      </w:r>
    </w:p>
    <w:p>
      <w:pPr>
        <w:spacing w:after="0" w:line="180" w:lineRule="exact"/>
        <w:rPr>
          <w:sz w:val="20"/>
          <w:szCs w:val="20"/>
          <w:color w:val="auto"/>
        </w:rPr>
      </w:pPr>
    </w:p>
    <w:p>
      <w:pPr>
        <w:ind w:right="200"/>
        <w:spacing w:after="0" w:line="225" w:lineRule="auto"/>
        <w:rPr>
          <w:sz w:val="20"/>
          <w:szCs w:val="20"/>
          <w:color w:val="auto"/>
        </w:rPr>
      </w:pPr>
      <w:r>
        <w:rPr>
          <w:rFonts w:ascii="Calibri" w:cs="Calibri" w:eastAsia="Calibri" w:hAnsi="Calibri"/>
          <w:sz w:val="13"/>
          <w:szCs w:val="13"/>
          <w:b w:val="1"/>
          <w:bCs w:val="1"/>
          <w:i w:val="1"/>
          <w:iCs w:val="1"/>
          <w:color w:val="auto"/>
        </w:rPr>
        <w:t>Our amended and restated certfcate of incorporaton provides that the Chancery Court of the State of Delaware is the exclusive forum for substantally all disputes between us and our stockholders, which could limit our stockholders’ ability to obtain a favorable judicial forum for disputes with us or our directors, ofcers or employees.</w:t>
      </w:r>
    </w:p>
    <w:p>
      <w:pPr>
        <w:spacing w:after="0" w:line="159" w:lineRule="exact"/>
        <w:rPr>
          <w:sz w:val="20"/>
          <w:szCs w:val="20"/>
          <w:color w:val="auto"/>
        </w:rPr>
      </w:pPr>
    </w:p>
    <w:p>
      <w:pPr>
        <w:ind w:right="20" w:firstLine="509"/>
        <w:spacing w:after="0" w:line="230" w:lineRule="auto"/>
        <w:rPr>
          <w:sz w:val="20"/>
          <w:szCs w:val="20"/>
          <w:color w:val="auto"/>
        </w:rPr>
      </w:pPr>
      <w:r>
        <w:rPr>
          <w:rFonts w:ascii="Calibri" w:cs="Calibri" w:eastAsia="Calibri" w:hAnsi="Calibri"/>
          <w:sz w:val="13"/>
          <w:szCs w:val="13"/>
          <w:color w:val="auto"/>
        </w:rPr>
        <w:t>Our amended and restated certfcate of incorporaton provides that, unless we consent in writng to the selecton of an alternatve forum, the Chancery Court of the State of Delaware (or, in the event that the Chancery Court does not have jurisdicton, the federal district court for the District of Delaware or other state courts of the State of Delaware) shall, to the fullest extent permited by law, be the sole and exclusive forum for: (i) any derivatve acton, suit or proceeding brought on our behalf; (ii) any acton, suit or proceeding assertng a claim of breach of a fduciary duty owed by any of our directors, ofcers or stockholders owed to us or our stockholders; (iii) any acton, suit or proceeding assertng a claim against us arising pursuant to any provision of the Delaware General Corporaton Law, our amended and restated certfcate of incorporaton or our bylaws (as either may be amended from tme to tme); or (iv) any acton, suit or proceeding assertng a claim against us governed by the internal afairs doctrine. We believe this provision benefts us by providing increased consistency in the applicaton of Delaware law by chancellors partcularly experienced in resolving corporate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9" w:right="339" w:bottom="1440" w:gutter="0" w:footer="0" w:header="0"/>
        </w:sectPr>
      </w:pPr>
    </w:p>
    <w:bookmarkStart w:id="17" w:name="page18"/>
    <w:bookmarkEnd w:id="17"/>
    <w:p>
      <w:pPr>
        <w:spacing w:after="0"/>
        <w:rPr>
          <w:sz w:val="20"/>
          <w:szCs w:val="20"/>
          <w:color w:val="auto"/>
        </w:rPr>
      </w:pPr>
      <w:r>
        <w:rPr>
          <w:rFonts w:ascii="Calibri" w:cs="Calibri" w:eastAsia="Calibri" w:hAnsi="Calibri"/>
          <w:sz w:val="13"/>
          <w:szCs w:val="13"/>
          <w:color w:val="auto"/>
        </w:rPr>
        <w:t>disputes, efcient administraton of cases on a more expedited schedule relatve to other forums and protecton against the burdens of mult-forum litgaton.</w:t>
      </w:r>
    </w:p>
    <w:p>
      <w:pPr>
        <w:spacing w:after="0" w:line="158" w:lineRule="exact"/>
        <w:rPr>
          <w:sz w:val="20"/>
          <w:szCs w:val="20"/>
          <w:color w:val="auto"/>
        </w:rPr>
      </w:pPr>
    </w:p>
    <w:p>
      <w:pPr>
        <w:ind w:firstLine="509"/>
        <w:spacing w:after="0" w:line="250" w:lineRule="auto"/>
        <w:rPr>
          <w:sz w:val="20"/>
          <w:szCs w:val="20"/>
          <w:color w:val="auto"/>
        </w:rPr>
      </w:pPr>
      <w:r>
        <w:rPr>
          <w:rFonts w:ascii="Calibri" w:cs="Calibri" w:eastAsia="Calibri" w:hAnsi="Calibri"/>
          <w:sz w:val="12"/>
          <w:szCs w:val="12"/>
          <w:color w:val="auto"/>
        </w:rPr>
        <w:t>Notwithstanding the foregoing, the exclusive forum provision does not apply to suits brought to enforce any liability or duty created by the Exchange Act, the Securites Act or any claim for which the federal courts have exclusive or concurrent jurisdicton. Our amended and restated certfcate of incorporaton provides that the federal district courts of the United States of America will be the exclusive forum for resolving any complaint assertng a cause of acton arising under the Securites Act. If any such acton is fled in a court other than a court located within the State of Delaware (a “foreign acton”) in the name of any stockholder, such stockholder will be deemed to have consented to (a) the personal jurisdicton of the state and federal courts located within the State of Delaware in connecton with any acton brought in any such court to enforce such actons and (b) having service of process made upon such stockholder in any such acton by service upon such stockholder’s counsel in the foreign acton as agent for such stockholder. Secton 27 of the Exchange Act creates exclusive federal jurisdicton over all suits brought to enforce any duty or liability created by the Exchange Act of the rules and regulatons thereunder, and Secton 22 of the Securites Act creates concurrent jurisdicton for federal and state courts over all suits brought to enforce any duty or liability created by the Securites Act or the rules and regulatons thereunder, and notwithstanding the provisions of our certfcate of incorporaton and our bylaws, compliance with the federal securites laws and the rules and regulatons thereunder may not be waived by our investors. The enforceability of similar choice of forum provisions in other companies’ certfcates of incorporaton has been challenged in legal proceedings, and it is possible that a court could fnd these types of provisions to be inapplicable or unenforceable.</w:t>
      </w:r>
    </w:p>
    <w:p>
      <w:pPr>
        <w:spacing w:after="0" w:line="155" w:lineRule="exact"/>
        <w:rPr>
          <w:sz w:val="20"/>
          <w:szCs w:val="20"/>
          <w:color w:val="auto"/>
        </w:rPr>
      </w:pPr>
    </w:p>
    <w:p>
      <w:pPr>
        <w:ind w:right="80" w:firstLine="509"/>
        <w:spacing w:after="0" w:line="230" w:lineRule="auto"/>
        <w:rPr>
          <w:sz w:val="20"/>
          <w:szCs w:val="20"/>
          <w:color w:val="auto"/>
        </w:rPr>
      </w:pPr>
      <w:r>
        <w:rPr>
          <w:rFonts w:ascii="Calibri" w:cs="Calibri" w:eastAsia="Calibri" w:hAnsi="Calibri"/>
          <w:sz w:val="13"/>
          <w:szCs w:val="13"/>
          <w:color w:val="auto"/>
        </w:rPr>
        <w:t>This choice of forum provision may limit a stockholder’s ability to bring a claim in a judicial forum that it fnds favorable for disputes with us or our directors, ofcers or other employees, which may discourage such lawsuits against us and our directors, ofcers and other employees. Alternatvely, if a court were to fnd the choice of forum provision contained in our amended and restated certfcate of incorporaton to be inapplicable or unenforceable in an acton, we may incur additonal costs associated with resolving such acton in other jurisdictons.</w:t>
      </w:r>
    </w:p>
    <w:p>
      <w:pPr>
        <w:spacing w:after="0" w:line="38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Risks Related to Our Indebtedness</w:t>
      </w:r>
    </w:p>
    <w:p>
      <w:pPr>
        <w:spacing w:after="0" w:line="175" w:lineRule="exact"/>
        <w:rPr>
          <w:sz w:val="20"/>
          <w:szCs w:val="20"/>
          <w:color w:val="auto"/>
        </w:rPr>
      </w:pPr>
    </w:p>
    <w:p>
      <w:pPr>
        <w:ind w:right="200"/>
        <w:spacing w:after="0" w:line="225" w:lineRule="auto"/>
        <w:rPr>
          <w:sz w:val="20"/>
          <w:szCs w:val="20"/>
          <w:color w:val="auto"/>
        </w:rPr>
      </w:pPr>
      <w:r>
        <w:rPr>
          <w:rFonts w:ascii="Calibri" w:cs="Calibri" w:eastAsia="Calibri" w:hAnsi="Calibri"/>
          <w:sz w:val="13"/>
          <w:szCs w:val="13"/>
          <w:b w:val="1"/>
          <w:bCs w:val="1"/>
          <w:i w:val="1"/>
          <w:iCs w:val="1"/>
          <w:color w:val="auto"/>
        </w:rPr>
        <w:t>We are subject to a number of restrictve covenants under our credit facility, which could afect our fexibility to fund ongoing operatons, uses of capital and strategic initatves, and, if we are unable to maintain compliance with such covenants, it could lead to signifcant challenges in meetng our liquidity requirements and acceleraton of our debt.</w:t>
      </w:r>
    </w:p>
    <w:p>
      <w:pPr>
        <w:spacing w:after="0" w:line="159" w:lineRule="exact"/>
        <w:rPr>
          <w:sz w:val="20"/>
          <w:szCs w:val="20"/>
          <w:color w:val="auto"/>
        </w:rPr>
      </w:pPr>
    </w:p>
    <w:p>
      <w:pPr>
        <w:ind w:right="20" w:firstLine="509"/>
        <w:spacing w:after="0" w:line="231" w:lineRule="auto"/>
        <w:rPr>
          <w:sz w:val="20"/>
          <w:szCs w:val="20"/>
          <w:color w:val="auto"/>
        </w:rPr>
      </w:pPr>
      <w:r>
        <w:rPr>
          <w:rFonts w:ascii="Calibri" w:cs="Calibri" w:eastAsia="Calibri" w:hAnsi="Calibri"/>
          <w:sz w:val="13"/>
          <w:szCs w:val="13"/>
          <w:color w:val="auto"/>
        </w:rPr>
        <w:t>The terms of our credit facility contain a number of restrictve covenants, including customary operatng restrictons that limit our ability to engage in such actvites as borrowing and making investments, capital expenditures and distributons on our capital stock, and engaging in mergers, acquisitons and asset sales. We are also subject to customary fnancial covenants, including a leverage rato and a fxed coverage rato. These covenants restrict the amount of our borrowings, reducing our fexibility to fund ongoing operatons and strategic initatves. These borrowing arrangements are described in more detail in “Liquidity and Capital Resources” under Part II, Item 7 and in Note 7 to the consolidated fnancial statements under Part II, Item 8 of this annual report. Compliance with some of these covenants is based on fnancial measures derived from our operatng results. If economic conditons deteriorate, we may experience material adverse impacts to our business and operatng results, such as through reduced customer demand and infaton. A decline in our business could make us unable to maintain compliance with these fnancial covenants, in which case we may be restricted in how we manage our business and deploy capital, including by limitng our ability to make acquisitons and dispositons and pay dividends. In additon, if we are unable to maintain compliance with our fnancial covenants or otherwise breach the covenants that we are subject to under our credit facility, our lenders could demand immediate payment of amounts outstanding and we would need to seek alternate fnancing sources to pay of such debts and to fund our ongoing operatons. Such fnancing may not be available on favorable terms, if at all. In additon, our term loans are secured by real property, personal property and the capital stock of our subsidiaries. If we cannot repay all amounts that we have borrowed under our term loans, our lenders could proceed against our assets.</w:t>
      </w:r>
    </w:p>
    <w:p>
      <w:pPr>
        <w:spacing w:after="0" w:line="200" w:lineRule="exact"/>
        <w:rPr>
          <w:sz w:val="20"/>
          <w:szCs w:val="20"/>
          <w:color w:val="auto"/>
        </w:rPr>
      </w:pPr>
    </w:p>
    <w:p>
      <w:pPr>
        <w:spacing w:after="0" w:line="222"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1B.</w:t>
      </w:r>
      <w:r>
        <w:rPr>
          <w:sz w:val="20"/>
          <w:szCs w:val="20"/>
          <w:color w:val="auto"/>
        </w:rPr>
        <w:tab/>
      </w:r>
      <w:r>
        <w:rPr>
          <w:rFonts w:ascii="Calibri" w:cs="Calibri" w:eastAsia="Calibri" w:hAnsi="Calibri"/>
          <w:sz w:val="18"/>
          <w:szCs w:val="18"/>
          <w:b w:val="1"/>
          <w:bCs w:val="1"/>
          <w:color w:val="auto"/>
        </w:rPr>
        <w:t>Unresolved Staf Comments</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20"/>
                <w:szCs w:val="20"/>
                <w:color w:val="auto"/>
              </w:rPr>
            </w:pPr>
            <w:r>
              <w:rPr>
                <w:rFonts w:ascii="Calibri" w:cs="Calibri" w:eastAsia="Calibri" w:hAnsi="Calibri"/>
                <w:sz w:val="18"/>
                <w:szCs w:val="18"/>
                <w:b w:val="1"/>
                <w:bCs w:val="1"/>
                <w:color w:val="auto"/>
              </w:rPr>
              <w:t>Item 2.</w:t>
            </w:r>
          </w:p>
        </w:tc>
        <w:tc>
          <w:tcPr>
            <w:tcW w:w="1480" w:type="dxa"/>
            <w:vAlign w:val="bottom"/>
          </w:tcPr>
          <w:p>
            <w:pPr>
              <w:spacing w:after="0"/>
              <w:rPr>
                <w:sz w:val="20"/>
                <w:szCs w:val="20"/>
                <w:color w:val="auto"/>
              </w:rPr>
            </w:pPr>
            <w:r>
              <w:rPr>
                <w:rFonts w:ascii="Calibri" w:cs="Calibri" w:eastAsia="Calibri" w:hAnsi="Calibri"/>
                <w:sz w:val="18"/>
                <w:szCs w:val="18"/>
                <w:b w:val="1"/>
                <w:bCs w:val="1"/>
                <w:color w:val="auto"/>
              </w:rPr>
              <w:t>Propertes</w:t>
            </w:r>
          </w:p>
        </w:tc>
        <w:tc>
          <w:tcPr>
            <w:tcW w:w="3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6"/>
        </w:trPr>
        <w:tc>
          <w:tcPr>
            <w:tcW w:w="5740" w:type="dxa"/>
            <w:vAlign w:val="bottom"/>
            <w:gridSpan w:val="3"/>
          </w:tcPr>
          <w:p>
            <w:pPr>
              <w:ind w:left="520"/>
              <w:spacing w:after="0"/>
              <w:rPr>
                <w:sz w:val="20"/>
                <w:szCs w:val="20"/>
                <w:color w:val="auto"/>
              </w:rPr>
            </w:pPr>
            <w:r>
              <w:rPr>
                <w:rFonts w:ascii="Calibri" w:cs="Calibri" w:eastAsia="Calibri" w:hAnsi="Calibri"/>
                <w:sz w:val="13"/>
                <w:szCs w:val="13"/>
                <w:color w:val="auto"/>
              </w:rPr>
              <w:t>Our principal operatng, distributon and packing facilites as of October 31, 2022 were as follows:</w:t>
            </w:r>
          </w:p>
        </w:tc>
        <w:tc>
          <w:tcPr>
            <w:tcW w:w="22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338"/>
        </w:trPr>
        <w:tc>
          <w:tcPr>
            <w:tcW w:w="860" w:type="dxa"/>
            <w:vAlign w:val="bottom"/>
          </w:tcPr>
          <w:p>
            <w:pPr>
              <w:ind w:left="20"/>
              <w:spacing w:after="0"/>
              <w:rPr>
                <w:sz w:val="20"/>
                <w:szCs w:val="20"/>
                <w:color w:val="auto"/>
              </w:rPr>
            </w:pPr>
            <w:r>
              <w:rPr>
                <w:rFonts w:ascii="Calibri" w:cs="Calibri" w:eastAsia="Calibri" w:hAnsi="Calibri"/>
                <w:sz w:val="11"/>
                <w:szCs w:val="11"/>
                <w:b w:val="1"/>
                <w:bCs w:val="1"/>
                <w:color w:val="auto"/>
              </w:rPr>
              <w:t>Locaton</w:t>
            </w:r>
          </w:p>
        </w:tc>
        <w:tc>
          <w:tcPr>
            <w:tcW w:w="1480" w:type="dxa"/>
            <w:vAlign w:val="bottom"/>
          </w:tcPr>
          <w:p>
            <w:pPr>
              <w:spacing w:after="0"/>
              <w:rPr>
                <w:sz w:val="24"/>
                <w:szCs w:val="24"/>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b w:val="1"/>
                <w:bCs w:val="1"/>
                <w:color w:val="auto"/>
              </w:rPr>
              <w:t>Type</w:t>
            </w:r>
          </w:p>
        </w:tc>
        <w:tc>
          <w:tcPr>
            <w:tcW w:w="2280" w:type="dxa"/>
            <w:vAlign w:val="bottom"/>
          </w:tcPr>
          <w:p>
            <w:pPr>
              <w:ind w:left="200"/>
              <w:spacing w:after="0"/>
              <w:rPr>
                <w:sz w:val="20"/>
                <w:szCs w:val="20"/>
                <w:color w:val="auto"/>
              </w:rPr>
            </w:pPr>
            <w:r>
              <w:rPr>
                <w:rFonts w:ascii="Calibri" w:cs="Calibri" w:eastAsia="Calibri" w:hAnsi="Calibri"/>
                <w:sz w:val="11"/>
                <w:szCs w:val="11"/>
                <w:b w:val="1"/>
                <w:bCs w:val="1"/>
                <w:color w:val="auto"/>
              </w:rPr>
              <w:t>Reportable Segment</w:t>
            </w:r>
          </w:p>
        </w:tc>
        <w:tc>
          <w:tcPr>
            <w:tcW w:w="3080" w:type="dxa"/>
            <w:vAlign w:val="bottom"/>
          </w:tcPr>
          <w:p>
            <w:pPr>
              <w:ind w:left="940"/>
              <w:spacing w:after="0"/>
              <w:rPr>
                <w:sz w:val="20"/>
                <w:szCs w:val="20"/>
                <w:color w:val="auto"/>
              </w:rPr>
            </w:pPr>
            <w:r>
              <w:rPr>
                <w:rFonts w:ascii="Calibri" w:cs="Calibri" w:eastAsia="Calibri" w:hAnsi="Calibri"/>
                <w:sz w:val="11"/>
                <w:szCs w:val="11"/>
                <w:b w:val="1"/>
                <w:bCs w:val="1"/>
                <w:color w:val="auto"/>
              </w:rPr>
              <w:t>Owned or Leased</w:t>
            </w:r>
          </w:p>
        </w:tc>
      </w:tr>
      <w:tr>
        <w:trPr>
          <w:trHeight w:val="46"/>
        </w:trPr>
        <w:tc>
          <w:tcPr>
            <w:tcW w:w="8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r>
      <w:tr>
        <w:trPr>
          <w:trHeight w:val="151"/>
        </w:trPr>
        <w:tc>
          <w:tcPr>
            <w:tcW w:w="8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b w:val="1"/>
                <w:bCs w:val="1"/>
                <w:color w:val="auto"/>
              </w:rPr>
              <w:t>North America:</w:t>
            </w:r>
          </w:p>
        </w:tc>
        <w:tc>
          <w:tcPr>
            <w:tcW w:w="1480" w:type="dxa"/>
            <w:vAlign w:val="bottom"/>
            <w:tcBorders>
              <w:bottom w:val="single" w:sz="8" w:color="DBDBDB"/>
            </w:tcBorders>
            <w:shd w:val="clear" w:color="auto" w:fill="DBDBDB"/>
          </w:tcPr>
          <w:p>
            <w:pPr>
              <w:spacing w:after="0"/>
              <w:rPr>
                <w:sz w:val="13"/>
                <w:szCs w:val="13"/>
                <w:color w:val="auto"/>
              </w:rPr>
            </w:pPr>
          </w:p>
        </w:tc>
        <w:tc>
          <w:tcPr>
            <w:tcW w:w="3400" w:type="dxa"/>
            <w:vAlign w:val="bottom"/>
            <w:tcBorders>
              <w:bottom w:val="single" w:sz="8" w:color="DBDBDB"/>
            </w:tcBorders>
            <w:shd w:val="clear" w:color="auto" w:fill="DBDBDB"/>
          </w:tcPr>
          <w:p>
            <w:pPr>
              <w:spacing w:after="0"/>
              <w:rPr>
                <w:sz w:val="13"/>
                <w:szCs w:val="13"/>
                <w:color w:val="auto"/>
              </w:rPr>
            </w:pPr>
          </w:p>
        </w:tc>
        <w:tc>
          <w:tcPr>
            <w:tcW w:w="2280" w:type="dxa"/>
            <w:vAlign w:val="bottom"/>
            <w:tcBorders>
              <w:bottom w:val="single" w:sz="8" w:color="DBDBDB"/>
            </w:tcBorders>
            <w:shd w:val="clear" w:color="auto" w:fill="DBDBDB"/>
          </w:tcPr>
          <w:p>
            <w:pPr>
              <w:spacing w:after="0"/>
              <w:rPr>
                <w:sz w:val="13"/>
                <w:szCs w:val="13"/>
                <w:color w:val="auto"/>
              </w:rPr>
            </w:pPr>
          </w:p>
        </w:tc>
        <w:tc>
          <w:tcPr>
            <w:tcW w:w="3080" w:type="dxa"/>
            <w:vAlign w:val="bottom"/>
            <w:tcBorders>
              <w:bottom w:val="single" w:sz="8" w:color="DBDBDB"/>
            </w:tcBorders>
            <w:shd w:val="clear" w:color="auto" w:fill="DBDBDB"/>
          </w:tcPr>
          <w:p>
            <w:pPr>
              <w:spacing w:after="0"/>
              <w:rPr>
                <w:sz w:val="13"/>
                <w:szCs w:val="13"/>
                <w:color w:val="auto"/>
              </w:rPr>
            </w:pPr>
          </w:p>
        </w:tc>
      </w:tr>
      <w:tr>
        <w:trPr>
          <w:trHeight w:val="135"/>
        </w:trPr>
        <w:tc>
          <w:tcPr>
            <w:tcW w:w="860" w:type="dxa"/>
            <w:vAlign w:val="bottom"/>
          </w:tcPr>
          <w:p>
            <w:pPr>
              <w:ind w:left="20"/>
              <w:spacing w:after="0"/>
              <w:rPr>
                <w:sz w:val="20"/>
                <w:szCs w:val="20"/>
                <w:color w:val="auto"/>
              </w:rPr>
            </w:pPr>
            <w:r>
              <w:rPr>
                <w:rFonts w:ascii="Calibri" w:cs="Calibri" w:eastAsia="Calibri" w:hAnsi="Calibri"/>
                <w:sz w:val="11"/>
                <w:szCs w:val="11"/>
                <w:color w:val="auto"/>
              </w:rPr>
              <w:t>Laredo, Texas</w:t>
            </w:r>
          </w:p>
        </w:tc>
        <w:tc>
          <w:tcPr>
            <w:tcW w:w="148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Owned</w:t>
            </w:r>
          </w:p>
        </w:tc>
      </w:tr>
      <w:tr>
        <w:trPr>
          <w:trHeight w:val="46"/>
        </w:trPr>
        <w:tc>
          <w:tcPr>
            <w:tcW w:w="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8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Oxnard, California</w:t>
            </w:r>
          </w:p>
        </w:tc>
        <w:tc>
          <w:tcPr>
            <w:tcW w:w="1480" w:type="dxa"/>
            <w:vAlign w:val="bottom"/>
            <w:tcBorders>
              <w:bottom w:val="single" w:sz="8" w:color="DBDBDB"/>
            </w:tcBorders>
            <w:shd w:val="clear" w:color="auto" w:fill="DBDBDB"/>
          </w:tcPr>
          <w:p>
            <w:pPr>
              <w:spacing w:after="0"/>
              <w:rPr>
                <w:sz w:val="13"/>
                <w:szCs w:val="13"/>
                <w:color w:val="auto"/>
              </w:rPr>
            </w:pPr>
          </w:p>
        </w:tc>
        <w:tc>
          <w:tcPr>
            <w:tcW w:w="340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1"/>
                <w:szCs w:val="11"/>
                <w:color w:val="auto"/>
              </w:rPr>
              <w:t>Distributon, packing</w:t>
            </w:r>
          </w:p>
        </w:tc>
        <w:tc>
          <w:tcPr>
            <w:tcW w:w="22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Borders>
              <w:bottom w:val="single" w:sz="8" w:color="DBDBDB"/>
            </w:tcBorders>
            <w:shd w:val="clear" w:color="auto" w:fill="DBDBDB"/>
          </w:tcPr>
          <w:p>
            <w:pPr>
              <w:ind w:left="940"/>
              <w:spacing w:after="0"/>
              <w:rPr>
                <w:sz w:val="20"/>
                <w:szCs w:val="20"/>
                <w:color w:val="auto"/>
              </w:rPr>
            </w:pPr>
            <w:r>
              <w:rPr>
                <w:rFonts w:ascii="Calibri" w:cs="Calibri" w:eastAsia="Calibri" w:hAnsi="Calibri"/>
                <w:sz w:val="11"/>
                <w:szCs w:val="11"/>
                <w:color w:val="auto"/>
              </w:rPr>
              <w:t>Owned</w:t>
            </w:r>
          </w:p>
        </w:tc>
      </w:tr>
      <w:tr>
        <w:trPr>
          <w:trHeight w:val="135"/>
        </w:trPr>
        <w:tc>
          <w:tcPr>
            <w:tcW w:w="2340" w:type="dxa"/>
            <w:vAlign w:val="bottom"/>
            <w:gridSpan w:val="2"/>
          </w:tcPr>
          <w:p>
            <w:pPr>
              <w:ind w:left="20"/>
              <w:spacing w:after="0"/>
              <w:rPr>
                <w:sz w:val="20"/>
                <w:szCs w:val="20"/>
                <w:color w:val="auto"/>
              </w:rPr>
            </w:pPr>
            <w:r>
              <w:rPr>
                <w:rFonts w:ascii="Calibri" w:cs="Calibri" w:eastAsia="Calibri" w:hAnsi="Calibri"/>
                <w:sz w:val="11"/>
                <w:szCs w:val="11"/>
                <w:color w:val="auto"/>
              </w:rPr>
              <w:t>Swedesboro, New Jersey</w:t>
            </w:r>
          </w:p>
        </w:tc>
        <w:tc>
          <w:tcPr>
            <w:tcW w:w="3400" w:type="dxa"/>
            <w:vAlign w:val="bottom"/>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Leased</w:t>
            </w:r>
          </w:p>
        </w:tc>
      </w:tr>
      <w:tr>
        <w:trPr>
          <w:trHeight w:val="46"/>
        </w:trPr>
        <w:tc>
          <w:tcPr>
            <w:tcW w:w="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8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Portland, Oregon</w:t>
            </w:r>
          </w:p>
        </w:tc>
        <w:tc>
          <w:tcPr>
            <w:tcW w:w="1480" w:type="dxa"/>
            <w:vAlign w:val="bottom"/>
            <w:tcBorders>
              <w:bottom w:val="single" w:sz="8" w:color="DBDBDB"/>
            </w:tcBorders>
            <w:shd w:val="clear" w:color="auto" w:fill="DBDBDB"/>
          </w:tcPr>
          <w:p>
            <w:pPr>
              <w:spacing w:after="0"/>
              <w:rPr>
                <w:sz w:val="13"/>
                <w:szCs w:val="13"/>
                <w:color w:val="auto"/>
              </w:rPr>
            </w:pPr>
          </w:p>
        </w:tc>
        <w:tc>
          <w:tcPr>
            <w:tcW w:w="340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Borders>
              <w:bottom w:val="single" w:sz="8" w:color="DBDBDB"/>
            </w:tcBorders>
            <w:shd w:val="clear" w:color="auto" w:fill="DBDBDB"/>
          </w:tcPr>
          <w:p>
            <w:pPr>
              <w:ind w:left="940"/>
              <w:spacing w:after="0"/>
              <w:rPr>
                <w:sz w:val="20"/>
                <w:szCs w:val="20"/>
                <w:color w:val="auto"/>
              </w:rPr>
            </w:pPr>
            <w:r>
              <w:rPr>
                <w:rFonts w:ascii="Calibri" w:cs="Calibri" w:eastAsia="Calibri" w:hAnsi="Calibri"/>
                <w:sz w:val="11"/>
                <w:szCs w:val="11"/>
                <w:color w:val="auto"/>
              </w:rPr>
              <w:t>Leased</w:t>
            </w:r>
          </w:p>
        </w:tc>
      </w:tr>
      <w:tr>
        <w:trPr>
          <w:trHeight w:val="135"/>
        </w:trPr>
        <w:tc>
          <w:tcPr>
            <w:tcW w:w="860" w:type="dxa"/>
            <w:vAlign w:val="bottom"/>
          </w:tcPr>
          <w:p>
            <w:pPr>
              <w:ind w:left="20"/>
              <w:spacing w:after="0"/>
              <w:rPr>
                <w:sz w:val="20"/>
                <w:szCs w:val="20"/>
                <w:color w:val="auto"/>
              </w:rPr>
            </w:pPr>
            <w:r>
              <w:rPr>
                <w:rFonts w:ascii="Calibri" w:cs="Calibri" w:eastAsia="Calibri" w:hAnsi="Calibri"/>
                <w:sz w:val="11"/>
                <w:szCs w:val="11"/>
                <w:color w:val="auto"/>
              </w:rPr>
              <w:t>Atlanta, Georgia</w:t>
            </w:r>
          </w:p>
        </w:tc>
        <w:tc>
          <w:tcPr>
            <w:tcW w:w="148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Leased</w:t>
            </w:r>
          </w:p>
        </w:tc>
      </w:tr>
      <w:tr>
        <w:trPr>
          <w:trHeight w:val="46"/>
        </w:trPr>
        <w:tc>
          <w:tcPr>
            <w:tcW w:w="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8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Denver, Colorado</w:t>
            </w:r>
          </w:p>
        </w:tc>
        <w:tc>
          <w:tcPr>
            <w:tcW w:w="1480" w:type="dxa"/>
            <w:vAlign w:val="bottom"/>
            <w:tcBorders>
              <w:bottom w:val="single" w:sz="8" w:color="DBDBDB"/>
            </w:tcBorders>
            <w:shd w:val="clear" w:color="auto" w:fill="DBDBDB"/>
          </w:tcPr>
          <w:p>
            <w:pPr>
              <w:spacing w:after="0"/>
              <w:rPr>
                <w:sz w:val="13"/>
                <w:szCs w:val="13"/>
                <w:color w:val="auto"/>
              </w:rPr>
            </w:pPr>
          </w:p>
        </w:tc>
        <w:tc>
          <w:tcPr>
            <w:tcW w:w="340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Borders>
              <w:bottom w:val="single" w:sz="8" w:color="DBDBDB"/>
            </w:tcBorders>
            <w:shd w:val="clear" w:color="auto" w:fill="DBDBDB"/>
          </w:tcPr>
          <w:p>
            <w:pPr>
              <w:ind w:left="940"/>
              <w:spacing w:after="0"/>
              <w:rPr>
                <w:sz w:val="20"/>
                <w:szCs w:val="20"/>
                <w:color w:val="auto"/>
              </w:rPr>
            </w:pPr>
            <w:r>
              <w:rPr>
                <w:rFonts w:ascii="Calibri" w:cs="Calibri" w:eastAsia="Calibri" w:hAnsi="Calibri"/>
                <w:sz w:val="11"/>
                <w:szCs w:val="11"/>
                <w:color w:val="auto"/>
              </w:rPr>
              <w:t>Leased</w:t>
            </w:r>
          </w:p>
        </w:tc>
      </w:tr>
      <w:tr>
        <w:trPr>
          <w:trHeight w:val="135"/>
        </w:trPr>
        <w:tc>
          <w:tcPr>
            <w:tcW w:w="860" w:type="dxa"/>
            <w:vAlign w:val="bottom"/>
          </w:tcPr>
          <w:p>
            <w:pPr>
              <w:ind w:left="20"/>
              <w:spacing w:after="0"/>
              <w:rPr>
                <w:sz w:val="20"/>
                <w:szCs w:val="20"/>
                <w:color w:val="auto"/>
              </w:rPr>
            </w:pPr>
            <w:r>
              <w:rPr>
                <w:rFonts w:ascii="Calibri" w:cs="Calibri" w:eastAsia="Calibri" w:hAnsi="Calibri"/>
                <w:sz w:val="11"/>
                <w:szCs w:val="11"/>
                <w:color w:val="auto"/>
              </w:rPr>
              <w:t>Chicago, Illinois</w:t>
            </w:r>
          </w:p>
        </w:tc>
        <w:tc>
          <w:tcPr>
            <w:tcW w:w="148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Leased</w:t>
            </w:r>
          </w:p>
        </w:tc>
      </w:tr>
      <w:tr>
        <w:trPr>
          <w:trHeight w:val="46"/>
        </w:trPr>
        <w:tc>
          <w:tcPr>
            <w:tcW w:w="2340" w:type="dxa"/>
            <w:vAlign w:val="bottom"/>
            <w:gridSpan w:val="2"/>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234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1"/>
                <w:szCs w:val="11"/>
                <w:color w:val="auto"/>
              </w:rPr>
              <w:t>Calgary, Alberta, Canada</w:t>
            </w:r>
          </w:p>
        </w:tc>
        <w:tc>
          <w:tcPr>
            <w:tcW w:w="340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Borders>
              <w:bottom w:val="single" w:sz="8" w:color="DBDBDB"/>
            </w:tcBorders>
            <w:shd w:val="clear" w:color="auto" w:fill="DBDBDB"/>
          </w:tcPr>
          <w:p>
            <w:pPr>
              <w:ind w:left="940"/>
              <w:spacing w:after="0"/>
              <w:rPr>
                <w:sz w:val="20"/>
                <w:szCs w:val="20"/>
                <w:color w:val="auto"/>
              </w:rPr>
            </w:pPr>
            <w:r>
              <w:rPr>
                <w:rFonts w:ascii="Calibri" w:cs="Calibri" w:eastAsia="Calibri" w:hAnsi="Calibri"/>
                <w:sz w:val="11"/>
                <w:szCs w:val="11"/>
                <w:color w:val="auto"/>
              </w:rPr>
              <w:t>Leased</w:t>
            </w:r>
          </w:p>
        </w:tc>
      </w:tr>
      <w:tr>
        <w:trPr>
          <w:trHeight w:val="135"/>
        </w:trPr>
        <w:tc>
          <w:tcPr>
            <w:tcW w:w="860" w:type="dxa"/>
            <w:vAlign w:val="bottom"/>
          </w:tcPr>
          <w:p>
            <w:pPr>
              <w:ind w:left="20"/>
              <w:spacing w:after="0"/>
              <w:rPr>
                <w:sz w:val="20"/>
                <w:szCs w:val="20"/>
                <w:color w:val="auto"/>
              </w:rPr>
            </w:pPr>
            <w:r>
              <w:rPr>
                <w:rFonts w:ascii="Calibri" w:cs="Calibri" w:eastAsia="Calibri" w:hAnsi="Calibri"/>
                <w:sz w:val="11"/>
                <w:szCs w:val="11"/>
                <w:color w:val="auto"/>
              </w:rPr>
              <w:t>Dallas, Texas</w:t>
            </w:r>
          </w:p>
        </w:tc>
        <w:tc>
          <w:tcPr>
            <w:tcW w:w="148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Leased</w:t>
            </w:r>
          </w:p>
        </w:tc>
      </w:tr>
      <w:tr>
        <w:trPr>
          <w:trHeight w:val="46"/>
        </w:trPr>
        <w:tc>
          <w:tcPr>
            <w:tcW w:w="2340" w:type="dxa"/>
            <w:vAlign w:val="bottom"/>
            <w:gridSpan w:val="2"/>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234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1"/>
                <w:szCs w:val="11"/>
                <w:color w:val="auto"/>
              </w:rPr>
              <w:t>Toronto, Ontario, Canada</w:t>
            </w:r>
          </w:p>
        </w:tc>
        <w:tc>
          <w:tcPr>
            <w:tcW w:w="340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Borders>
              <w:bottom w:val="single" w:sz="8" w:color="DBDBDB"/>
            </w:tcBorders>
            <w:shd w:val="clear" w:color="auto" w:fill="DBDBDB"/>
          </w:tcPr>
          <w:p>
            <w:pPr>
              <w:ind w:left="940"/>
              <w:spacing w:after="0"/>
              <w:rPr>
                <w:sz w:val="20"/>
                <w:szCs w:val="20"/>
                <w:color w:val="auto"/>
              </w:rPr>
            </w:pPr>
            <w:r>
              <w:rPr>
                <w:rFonts w:ascii="Calibri" w:cs="Calibri" w:eastAsia="Calibri" w:hAnsi="Calibri"/>
                <w:sz w:val="11"/>
                <w:szCs w:val="11"/>
                <w:color w:val="auto"/>
              </w:rPr>
              <w:t>Leased</w:t>
            </w:r>
          </w:p>
        </w:tc>
      </w:tr>
      <w:tr>
        <w:trPr>
          <w:trHeight w:val="135"/>
        </w:trPr>
        <w:tc>
          <w:tcPr>
            <w:tcW w:w="860" w:type="dxa"/>
            <w:vAlign w:val="bottom"/>
          </w:tcPr>
          <w:p>
            <w:pPr>
              <w:ind w:left="20"/>
              <w:spacing w:after="0"/>
              <w:rPr>
                <w:sz w:val="20"/>
                <w:szCs w:val="20"/>
                <w:color w:val="auto"/>
              </w:rPr>
            </w:pPr>
            <w:r>
              <w:rPr>
                <w:rFonts w:ascii="Calibri" w:cs="Calibri" w:eastAsia="Calibri" w:hAnsi="Calibri"/>
                <w:sz w:val="11"/>
                <w:szCs w:val="11"/>
                <w:color w:val="auto"/>
              </w:rPr>
              <w:t>Oxnard, California</w:t>
            </w:r>
          </w:p>
        </w:tc>
        <w:tc>
          <w:tcPr>
            <w:tcW w:w="148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color w:val="auto"/>
              </w:rPr>
              <w:t>Corporate headquarters</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Leased</w:t>
            </w:r>
          </w:p>
        </w:tc>
      </w:tr>
      <w:tr>
        <w:trPr>
          <w:trHeight w:val="46"/>
        </w:trPr>
        <w:tc>
          <w:tcPr>
            <w:tcW w:w="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8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b w:val="1"/>
                <w:bCs w:val="1"/>
                <w:color w:val="auto"/>
              </w:rPr>
              <w:t>Other:</w:t>
            </w:r>
          </w:p>
        </w:tc>
        <w:tc>
          <w:tcPr>
            <w:tcW w:w="1480" w:type="dxa"/>
            <w:vAlign w:val="bottom"/>
            <w:tcBorders>
              <w:bottom w:val="single" w:sz="8" w:color="DBDBDB"/>
            </w:tcBorders>
            <w:shd w:val="clear" w:color="auto" w:fill="DBDBDB"/>
          </w:tcPr>
          <w:p>
            <w:pPr>
              <w:spacing w:after="0"/>
              <w:rPr>
                <w:sz w:val="13"/>
                <w:szCs w:val="13"/>
                <w:color w:val="auto"/>
              </w:rPr>
            </w:pPr>
          </w:p>
        </w:tc>
        <w:tc>
          <w:tcPr>
            <w:tcW w:w="3400" w:type="dxa"/>
            <w:vAlign w:val="bottom"/>
            <w:tcBorders>
              <w:bottom w:val="single" w:sz="8" w:color="DBDBDB"/>
            </w:tcBorders>
            <w:shd w:val="clear" w:color="auto" w:fill="DBDBDB"/>
          </w:tcPr>
          <w:p>
            <w:pPr>
              <w:spacing w:after="0"/>
              <w:rPr>
                <w:sz w:val="13"/>
                <w:szCs w:val="13"/>
                <w:color w:val="auto"/>
              </w:rPr>
            </w:pPr>
          </w:p>
        </w:tc>
        <w:tc>
          <w:tcPr>
            <w:tcW w:w="2280" w:type="dxa"/>
            <w:vAlign w:val="bottom"/>
            <w:tcBorders>
              <w:bottom w:val="single" w:sz="8" w:color="DBDBDB"/>
            </w:tcBorders>
            <w:shd w:val="clear" w:color="auto" w:fill="DBDBDB"/>
          </w:tcPr>
          <w:p>
            <w:pPr>
              <w:spacing w:after="0"/>
              <w:rPr>
                <w:sz w:val="13"/>
                <w:szCs w:val="13"/>
                <w:color w:val="auto"/>
              </w:rPr>
            </w:pPr>
          </w:p>
        </w:tc>
        <w:tc>
          <w:tcPr>
            <w:tcW w:w="3080" w:type="dxa"/>
            <w:vAlign w:val="bottom"/>
            <w:tcBorders>
              <w:bottom w:val="single" w:sz="8" w:color="DBDBDB"/>
            </w:tcBorders>
            <w:shd w:val="clear" w:color="auto" w:fill="DBDBDB"/>
          </w:tcPr>
          <w:p>
            <w:pPr>
              <w:spacing w:after="0"/>
              <w:rPr>
                <w:sz w:val="13"/>
                <w:szCs w:val="13"/>
                <w:color w:val="auto"/>
              </w:rPr>
            </w:pPr>
          </w:p>
        </w:tc>
      </w:tr>
      <w:tr>
        <w:trPr>
          <w:trHeight w:val="135"/>
        </w:trPr>
        <w:tc>
          <w:tcPr>
            <w:tcW w:w="2340" w:type="dxa"/>
            <w:vAlign w:val="bottom"/>
            <w:gridSpan w:val="2"/>
          </w:tcPr>
          <w:p>
            <w:pPr>
              <w:ind w:left="20"/>
              <w:spacing w:after="0"/>
              <w:rPr>
                <w:sz w:val="20"/>
                <w:szCs w:val="20"/>
                <w:color w:val="auto"/>
              </w:rPr>
            </w:pPr>
            <w:r>
              <w:rPr>
                <w:rFonts w:ascii="Calibri" w:cs="Calibri" w:eastAsia="Calibri" w:hAnsi="Calibri"/>
                <w:sz w:val="11"/>
                <w:szCs w:val="11"/>
                <w:color w:val="auto"/>
              </w:rPr>
              <w:t>Breda, the Netherlands</w:t>
            </w:r>
          </w:p>
        </w:tc>
        <w:tc>
          <w:tcPr>
            <w:tcW w:w="3400" w:type="dxa"/>
            <w:vAlign w:val="bottom"/>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Leased</w:t>
            </w:r>
          </w:p>
        </w:tc>
      </w:tr>
      <w:tr>
        <w:trPr>
          <w:trHeight w:val="46"/>
        </w:trPr>
        <w:tc>
          <w:tcPr>
            <w:tcW w:w="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8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Dartord, U.K.</w:t>
            </w:r>
          </w:p>
        </w:tc>
        <w:tc>
          <w:tcPr>
            <w:tcW w:w="1480" w:type="dxa"/>
            <w:vAlign w:val="bottom"/>
            <w:tcBorders>
              <w:bottom w:val="single" w:sz="8" w:color="DBDBDB"/>
            </w:tcBorders>
            <w:shd w:val="clear" w:color="auto" w:fill="DBDBDB"/>
          </w:tcPr>
          <w:p>
            <w:pPr>
              <w:spacing w:after="0"/>
              <w:rPr>
                <w:sz w:val="13"/>
                <w:szCs w:val="13"/>
                <w:color w:val="auto"/>
              </w:rPr>
            </w:pPr>
          </w:p>
        </w:tc>
        <w:tc>
          <w:tcPr>
            <w:tcW w:w="340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1"/>
                <w:szCs w:val="11"/>
                <w:color w:val="auto"/>
              </w:rPr>
              <w:t>Distributon*</w:t>
            </w:r>
          </w:p>
        </w:tc>
        <w:tc>
          <w:tcPr>
            <w:tcW w:w="22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Borders>
              <w:bottom w:val="single" w:sz="8" w:color="DBDBDB"/>
            </w:tcBorders>
            <w:shd w:val="clear" w:color="auto" w:fill="DBDBDB"/>
          </w:tcPr>
          <w:p>
            <w:pPr>
              <w:ind w:left="940"/>
              <w:spacing w:after="0"/>
              <w:rPr>
                <w:sz w:val="20"/>
                <w:szCs w:val="20"/>
                <w:color w:val="auto"/>
              </w:rPr>
            </w:pPr>
            <w:r>
              <w:rPr>
                <w:rFonts w:ascii="Calibri" w:cs="Calibri" w:eastAsia="Calibri" w:hAnsi="Calibri"/>
                <w:sz w:val="11"/>
                <w:szCs w:val="11"/>
                <w:color w:val="auto"/>
              </w:rPr>
              <w:t>Leased</w:t>
            </w:r>
          </w:p>
        </w:tc>
      </w:tr>
      <w:tr>
        <w:trPr>
          <w:trHeight w:val="135"/>
        </w:trPr>
        <w:tc>
          <w:tcPr>
            <w:tcW w:w="860" w:type="dxa"/>
            <w:vAlign w:val="bottom"/>
          </w:tcPr>
          <w:p>
            <w:pPr>
              <w:ind w:left="20"/>
              <w:spacing w:after="0"/>
              <w:rPr>
                <w:sz w:val="20"/>
                <w:szCs w:val="20"/>
                <w:color w:val="auto"/>
              </w:rPr>
            </w:pPr>
            <w:r>
              <w:rPr>
                <w:rFonts w:ascii="Calibri" w:cs="Calibri" w:eastAsia="Calibri" w:hAnsi="Calibri"/>
                <w:sz w:val="11"/>
                <w:szCs w:val="11"/>
                <w:color w:val="auto"/>
              </w:rPr>
              <w:t>Virú, Peru</w:t>
            </w:r>
          </w:p>
        </w:tc>
        <w:tc>
          <w:tcPr>
            <w:tcW w:w="148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color w:val="auto"/>
              </w:rPr>
              <w:t>Packing</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Internatonal Farming</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Owned</w:t>
            </w:r>
          </w:p>
        </w:tc>
      </w:tr>
      <w:tr>
        <w:trPr>
          <w:trHeight w:val="46"/>
        </w:trPr>
        <w:tc>
          <w:tcPr>
            <w:tcW w:w="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8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Uruapan, Mexico</w:t>
            </w:r>
          </w:p>
        </w:tc>
        <w:tc>
          <w:tcPr>
            <w:tcW w:w="1480" w:type="dxa"/>
            <w:vAlign w:val="bottom"/>
            <w:tcBorders>
              <w:bottom w:val="single" w:sz="8" w:color="DBDBDB"/>
            </w:tcBorders>
            <w:shd w:val="clear" w:color="auto" w:fill="DBDBDB"/>
          </w:tcPr>
          <w:p>
            <w:pPr>
              <w:spacing w:after="0"/>
              <w:rPr>
                <w:sz w:val="13"/>
                <w:szCs w:val="13"/>
                <w:color w:val="auto"/>
              </w:rPr>
            </w:pPr>
          </w:p>
        </w:tc>
        <w:tc>
          <w:tcPr>
            <w:tcW w:w="340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1"/>
                <w:szCs w:val="11"/>
                <w:color w:val="auto"/>
              </w:rPr>
              <w:t>Packing</w:t>
            </w:r>
          </w:p>
        </w:tc>
        <w:tc>
          <w:tcPr>
            <w:tcW w:w="22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Borders>
              <w:bottom w:val="single" w:sz="8" w:color="DBDBDB"/>
            </w:tcBorders>
            <w:shd w:val="clear" w:color="auto" w:fill="DBDBDB"/>
          </w:tcPr>
          <w:p>
            <w:pPr>
              <w:ind w:left="940"/>
              <w:spacing w:after="0"/>
              <w:rPr>
                <w:sz w:val="20"/>
                <w:szCs w:val="20"/>
                <w:color w:val="auto"/>
              </w:rPr>
            </w:pPr>
            <w:r>
              <w:rPr>
                <w:rFonts w:ascii="Calibri" w:cs="Calibri" w:eastAsia="Calibri" w:hAnsi="Calibri"/>
                <w:sz w:val="11"/>
                <w:szCs w:val="11"/>
                <w:color w:val="auto"/>
              </w:rPr>
              <w:t>Owned</w:t>
            </w:r>
          </w:p>
        </w:tc>
      </w:tr>
      <w:tr>
        <w:trPr>
          <w:trHeight w:val="135"/>
        </w:trPr>
        <w:tc>
          <w:tcPr>
            <w:tcW w:w="860" w:type="dxa"/>
            <w:vAlign w:val="bottom"/>
          </w:tcPr>
          <w:p>
            <w:pPr>
              <w:ind w:left="20"/>
              <w:spacing w:after="0"/>
              <w:rPr>
                <w:sz w:val="20"/>
                <w:szCs w:val="20"/>
                <w:color w:val="auto"/>
              </w:rPr>
            </w:pPr>
            <w:r>
              <w:rPr>
                <w:rFonts w:ascii="Calibri" w:cs="Calibri" w:eastAsia="Calibri" w:hAnsi="Calibri"/>
                <w:sz w:val="11"/>
                <w:szCs w:val="11"/>
                <w:color w:val="auto"/>
              </w:rPr>
              <w:t>Zamora, Mexico</w:t>
            </w:r>
          </w:p>
        </w:tc>
        <w:tc>
          <w:tcPr>
            <w:tcW w:w="148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color w:val="auto"/>
              </w:rPr>
              <w:t>Packing</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Marketng &amp; Distributon</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Owned</w:t>
            </w:r>
          </w:p>
        </w:tc>
      </w:tr>
      <w:tr>
        <w:trPr>
          <w:trHeight w:val="46"/>
        </w:trPr>
        <w:tc>
          <w:tcPr>
            <w:tcW w:w="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80" w:type="dxa"/>
            <w:vAlign w:val="bottom"/>
          </w:tcPr>
          <w:p>
            <w:pPr>
              <w:spacing w:after="0"/>
              <w:rPr>
                <w:sz w:val="3"/>
                <w:szCs w:val="3"/>
                <w:color w:val="auto"/>
              </w:rPr>
            </w:pPr>
          </w:p>
        </w:tc>
      </w:tr>
      <w:tr>
        <w:trPr>
          <w:trHeight w:val="160"/>
        </w:trPr>
        <w:tc>
          <w:tcPr>
            <w:tcW w:w="8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Trujillo, Peru</w:t>
            </w:r>
          </w:p>
        </w:tc>
        <w:tc>
          <w:tcPr>
            <w:tcW w:w="1480" w:type="dxa"/>
            <w:vAlign w:val="bottom"/>
            <w:tcBorders>
              <w:bottom w:val="single" w:sz="8" w:color="DBDBDB"/>
            </w:tcBorders>
            <w:shd w:val="clear" w:color="auto" w:fill="DBDBDB"/>
          </w:tcPr>
          <w:p>
            <w:pPr>
              <w:spacing w:after="0"/>
              <w:rPr>
                <w:sz w:val="13"/>
                <w:szCs w:val="13"/>
                <w:color w:val="auto"/>
              </w:rPr>
            </w:pPr>
          </w:p>
        </w:tc>
        <w:tc>
          <w:tcPr>
            <w:tcW w:w="340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1"/>
                <w:szCs w:val="11"/>
                <w:color w:val="auto"/>
              </w:rPr>
              <w:t>Administratve</w:t>
            </w:r>
          </w:p>
        </w:tc>
        <w:tc>
          <w:tcPr>
            <w:tcW w:w="22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1"/>
                <w:szCs w:val="11"/>
                <w:color w:val="auto"/>
              </w:rPr>
              <w:t>Internatonal Farming</w:t>
            </w:r>
          </w:p>
        </w:tc>
        <w:tc>
          <w:tcPr>
            <w:tcW w:w="3080" w:type="dxa"/>
            <w:vAlign w:val="bottom"/>
            <w:tcBorders>
              <w:bottom w:val="single" w:sz="8" w:color="DBDBDB"/>
            </w:tcBorders>
            <w:shd w:val="clear" w:color="auto" w:fill="DBDBDB"/>
          </w:tcPr>
          <w:p>
            <w:pPr>
              <w:ind w:left="940"/>
              <w:spacing w:after="0"/>
              <w:rPr>
                <w:sz w:val="20"/>
                <w:szCs w:val="20"/>
                <w:color w:val="auto"/>
              </w:rPr>
            </w:pPr>
            <w:r>
              <w:rPr>
                <w:rFonts w:ascii="Calibri" w:cs="Calibri" w:eastAsia="Calibri" w:hAnsi="Calibri"/>
                <w:sz w:val="11"/>
                <w:szCs w:val="11"/>
                <w:color w:val="auto"/>
              </w:rPr>
              <w:t>Leased</w:t>
            </w:r>
          </w:p>
        </w:tc>
      </w:tr>
      <w:tr>
        <w:trPr>
          <w:trHeight w:val="135"/>
        </w:trPr>
        <w:tc>
          <w:tcPr>
            <w:tcW w:w="860" w:type="dxa"/>
            <w:vAlign w:val="bottom"/>
          </w:tcPr>
          <w:p>
            <w:pPr>
              <w:ind w:left="20"/>
              <w:spacing w:after="0"/>
              <w:rPr>
                <w:sz w:val="20"/>
                <w:szCs w:val="20"/>
                <w:color w:val="auto"/>
              </w:rPr>
            </w:pPr>
            <w:r>
              <w:rPr>
                <w:rFonts w:ascii="Calibri" w:cs="Calibri" w:eastAsia="Calibri" w:hAnsi="Calibri"/>
                <w:sz w:val="11"/>
                <w:szCs w:val="11"/>
                <w:color w:val="auto"/>
              </w:rPr>
              <w:t>Lima, Peru</w:t>
            </w:r>
          </w:p>
        </w:tc>
        <w:tc>
          <w:tcPr>
            <w:tcW w:w="148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Calibri" w:cs="Calibri" w:eastAsia="Calibri" w:hAnsi="Calibri"/>
                <w:sz w:val="11"/>
                <w:szCs w:val="11"/>
                <w:color w:val="auto"/>
              </w:rPr>
              <w:t>Administratve, sales</w:t>
            </w:r>
          </w:p>
        </w:tc>
        <w:tc>
          <w:tcPr>
            <w:tcW w:w="2280" w:type="dxa"/>
            <w:vAlign w:val="bottom"/>
          </w:tcPr>
          <w:p>
            <w:pPr>
              <w:ind w:left="200"/>
              <w:spacing w:after="0"/>
              <w:rPr>
                <w:sz w:val="20"/>
                <w:szCs w:val="20"/>
                <w:color w:val="auto"/>
              </w:rPr>
            </w:pPr>
            <w:r>
              <w:rPr>
                <w:rFonts w:ascii="Calibri" w:cs="Calibri" w:eastAsia="Calibri" w:hAnsi="Calibri"/>
                <w:sz w:val="11"/>
                <w:szCs w:val="11"/>
                <w:color w:val="auto"/>
              </w:rPr>
              <w:t>Internatonal Farming</w:t>
            </w:r>
          </w:p>
        </w:tc>
        <w:tc>
          <w:tcPr>
            <w:tcW w:w="3080" w:type="dxa"/>
            <w:vAlign w:val="bottom"/>
          </w:tcPr>
          <w:p>
            <w:pPr>
              <w:ind w:left="940"/>
              <w:spacing w:after="0"/>
              <w:rPr>
                <w:sz w:val="20"/>
                <w:szCs w:val="20"/>
                <w:color w:val="auto"/>
              </w:rPr>
            </w:pPr>
            <w:r>
              <w:rPr>
                <w:rFonts w:ascii="Calibri" w:cs="Calibri" w:eastAsia="Calibri" w:hAnsi="Calibri"/>
                <w:sz w:val="11"/>
                <w:szCs w:val="11"/>
                <w:color w:val="auto"/>
              </w:rPr>
              <w:t>Leased</w:t>
            </w:r>
          </w:p>
        </w:tc>
      </w:tr>
      <w:tr>
        <w:trPr>
          <w:trHeight w:val="46"/>
        </w:trPr>
        <w:tc>
          <w:tcPr>
            <w:tcW w:w="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bl>
    <w:p>
      <w:pPr>
        <w:spacing w:after="0" w:line="104" w:lineRule="exact"/>
        <w:rPr>
          <w:sz w:val="20"/>
          <w:szCs w:val="20"/>
          <w:color w:val="auto"/>
        </w:rPr>
      </w:pPr>
    </w:p>
    <w:p>
      <w:pPr>
        <w:spacing w:after="0"/>
        <w:rPr>
          <w:sz w:val="20"/>
          <w:szCs w:val="20"/>
          <w:color w:val="auto"/>
        </w:rPr>
      </w:pPr>
      <w:r>
        <w:rPr>
          <w:rFonts w:ascii="Calibri" w:cs="Calibri" w:eastAsia="Calibri" w:hAnsi="Calibri"/>
          <w:sz w:val="10"/>
          <w:szCs w:val="10"/>
          <w:color w:val="auto"/>
        </w:rPr>
        <w:t>*Indicates that the property is under constructon.</w:t>
      </w:r>
    </w:p>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We own/lease approximately 20,000 acres of land under our farming operatons. Our principal farming propertes as of October 31, 2022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60" w:type="dxa"/>
            <w:vAlign w:val="bottom"/>
          </w:tcPr>
          <w:p>
            <w:pPr>
              <w:ind w:left="20"/>
              <w:spacing w:after="0"/>
              <w:rPr>
                <w:sz w:val="20"/>
                <w:szCs w:val="20"/>
                <w:color w:val="auto"/>
              </w:rPr>
            </w:pPr>
            <w:r>
              <w:rPr>
                <w:rFonts w:ascii="Calibri" w:cs="Calibri" w:eastAsia="Calibri" w:hAnsi="Calibri"/>
                <w:sz w:val="11"/>
                <w:szCs w:val="11"/>
                <w:b w:val="1"/>
                <w:bCs w:val="1"/>
                <w:color w:val="auto"/>
              </w:rPr>
              <w:t>Locaton</w:t>
            </w:r>
          </w:p>
        </w:tc>
        <w:tc>
          <w:tcPr>
            <w:tcW w:w="2600" w:type="dxa"/>
            <w:vAlign w:val="bottom"/>
          </w:tcPr>
          <w:p>
            <w:pPr>
              <w:ind w:left="980"/>
              <w:spacing w:after="0"/>
              <w:rPr>
                <w:sz w:val="20"/>
                <w:szCs w:val="20"/>
                <w:color w:val="auto"/>
              </w:rPr>
            </w:pPr>
            <w:r>
              <w:rPr>
                <w:rFonts w:ascii="Calibri" w:cs="Calibri" w:eastAsia="Calibri" w:hAnsi="Calibri"/>
                <w:sz w:val="11"/>
                <w:szCs w:val="11"/>
                <w:b w:val="1"/>
                <w:bCs w:val="1"/>
                <w:color w:val="auto"/>
              </w:rPr>
              <w:t>Type</w:t>
            </w:r>
          </w:p>
        </w:tc>
        <w:tc>
          <w:tcPr>
            <w:tcW w:w="3400" w:type="dxa"/>
            <w:vAlign w:val="bottom"/>
          </w:tcPr>
          <w:p>
            <w:pPr>
              <w:ind w:left="1400"/>
              <w:spacing w:after="0"/>
              <w:rPr>
                <w:sz w:val="20"/>
                <w:szCs w:val="20"/>
                <w:color w:val="auto"/>
              </w:rPr>
            </w:pPr>
            <w:r>
              <w:rPr>
                <w:rFonts w:ascii="Calibri" w:cs="Calibri" w:eastAsia="Calibri" w:hAnsi="Calibri"/>
                <w:sz w:val="11"/>
                <w:szCs w:val="11"/>
                <w:b w:val="1"/>
                <w:bCs w:val="1"/>
                <w:color w:val="auto"/>
              </w:rPr>
              <w:t>Reportable Segment</w:t>
            </w:r>
          </w:p>
        </w:tc>
        <w:tc>
          <w:tcPr>
            <w:tcW w:w="3220" w:type="dxa"/>
            <w:vAlign w:val="bottom"/>
          </w:tcPr>
          <w:p>
            <w:pPr>
              <w:ind w:left="1020"/>
              <w:spacing w:after="0"/>
              <w:rPr>
                <w:sz w:val="20"/>
                <w:szCs w:val="20"/>
                <w:color w:val="auto"/>
              </w:rPr>
            </w:pPr>
            <w:r>
              <w:rPr>
                <w:rFonts w:ascii="Calibri" w:cs="Calibri" w:eastAsia="Calibri" w:hAnsi="Calibri"/>
                <w:sz w:val="11"/>
                <w:szCs w:val="11"/>
                <w:b w:val="1"/>
                <w:bCs w:val="1"/>
                <w:color w:val="auto"/>
              </w:rPr>
              <w:t>Owned or Leased</w:t>
            </w:r>
          </w:p>
        </w:tc>
      </w:tr>
      <w:tr>
        <w:trPr>
          <w:trHeight w:val="46"/>
        </w:trPr>
        <w:tc>
          <w:tcPr>
            <w:tcW w:w="206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r>
      <w:tr>
        <w:trPr>
          <w:trHeight w:val="151"/>
        </w:trPr>
        <w:tc>
          <w:tcPr>
            <w:tcW w:w="20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Olmos, Peru</w:t>
            </w:r>
          </w:p>
        </w:tc>
        <w:tc>
          <w:tcPr>
            <w:tcW w:w="2600" w:type="dxa"/>
            <w:vAlign w:val="bottom"/>
            <w:tcBorders>
              <w:bottom w:val="single" w:sz="8" w:color="DBDBDB"/>
            </w:tcBorders>
            <w:shd w:val="clear" w:color="auto" w:fill="DBDBDB"/>
          </w:tcPr>
          <w:p>
            <w:pPr>
              <w:ind w:left="980"/>
              <w:spacing w:after="0" w:line="126" w:lineRule="exact"/>
              <w:rPr>
                <w:sz w:val="20"/>
                <w:szCs w:val="20"/>
                <w:color w:val="auto"/>
              </w:rPr>
            </w:pPr>
            <w:r>
              <w:rPr>
                <w:rFonts w:ascii="Calibri" w:cs="Calibri" w:eastAsia="Calibri" w:hAnsi="Calibri"/>
                <w:sz w:val="11"/>
                <w:szCs w:val="11"/>
                <w:color w:val="auto"/>
              </w:rPr>
              <w:t>Land</w:t>
            </w:r>
          </w:p>
        </w:tc>
        <w:tc>
          <w:tcPr>
            <w:tcW w:w="3400" w:type="dxa"/>
            <w:vAlign w:val="bottom"/>
            <w:tcBorders>
              <w:bottom w:val="single" w:sz="8" w:color="DBDBDB"/>
            </w:tcBorders>
            <w:shd w:val="clear" w:color="auto" w:fill="DBDBDB"/>
          </w:tcPr>
          <w:p>
            <w:pPr>
              <w:ind w:left="1400"/>
              <w:spacing w:after="0" w:line="126" w:lineRule="exact"/>
              <w:rPr>
                <w:sz w:val="20"/>
                <w:szCs w:val="20"/>
                <w:color w:val="auto"/>
              </w:rPr>
            </w:pPr>
            <w:r>
              <w:rPr>
                <w:rFonts w:ascii="Calibri" w:cs="Calibri" w:eastAsia="Calibri" w:hAnsi="Calibri"/>
                <w:sz w:val="11"/>
                <w:szCs w:val="11"/>
                <w:color w:val="auto"/>
              </w:rPr>
              <w:t>Internatonal Farming</w:t>
            </w:r>
          </w:p>
        </w:tc>
        <w:tc>
          <w:tcPr>
            <w:tcW w:w="3220" w:type="dxa"/>
            <w:vAlign w:val="bottom"/>
            <w:tcBorders>
              <w:bottom w:val="single" w:sz="8" w:color="DBDBDB"/>
            </w:tcBorders>
            <w:shd w:val="clear" w:color="auto" w:fill="DBDBDB"/>
          </w:tcPr>
          <w:p>
            <w:pPr>
              <w:ind w:left="1020"/>
              <w:spacing w:after="0" w:line="126" w:lineRule="exact"/>
              <w:rPr>
                <w:sz w:val="20"/>
                <w:szCs w:val="20"/>
                <w:color w:val="auto"/>
              </w:rPr>
            </w:pPr>
            <w:r>
              <w:rPr>
                <w:rFonts w:ascii="Calibri" w:cs="Calibri" w:eastAsia="Calibri" w:hAnsi="Calibri"/>
                <w:sz w:val="11"/>
                <w:szCs w:val="11"/>
                <w:color w:val="auto"/>
              </w:rPr>
              <w:t>Owned</w:t>
            </w:r>
          </w:p>
        </w:tc>
      </w:tr>
      <w:tr>
        <w:trPr>
          <w:trHeight w:val="135"/>
        </w:trPr>
        <w:tc>
          <w:tcPr>
            <w:tcW w:w="2060" w:type="dxa"/>
            <w:vAlign w:val="bottom"/>
          </w:tcPr>
          <w:p>
            <w:pPr>
              <w:ind w:left="20"/>
              <w:spacing w:after="0"/>
              <w:rPr>
                <w:sz w:val="20"/>
                <w:szCs w:val="20"/>
                <w:color w:val="auto"/>
              </w:rPr>
            </w:pPr>
            <w:r>
              <w:rPr>
                <w:rFonts w:ascii="Calibri" w:cs="Calibri" w:eastAsia="Calibri" w:hAnsi="Calibri"/>
                <w:sz w:val="11"/>
                <w:szCs w:val="11"/>
                <w:color w:val="auto"/>
              </w:rPr>
              <w:t>Virú, Peru</w:t>
            </w:r>
          </w:p>
        </w:tc>
        <w:tc>
          <w:tcPr>
            <w:tcW w:w="2600" w:type="dxa"/>
            <w:vAlign w:val="bottom"/>
          </w:tcPr>
          <w:p>
            <w:pPr>
              <w:ind w:left="980"/>
              <w:spacing w:after="0"/>
              <w:rPr>
                <w:sz w:val="20"/>
                <w:szCs w:val="20"/>
                <w:color w:val="auto"/>
              </w:rPr>
            </w:pPr>
            <w:r>
              <w:rPr>
                <w:rFonts w:ascii="Calibri" w:cs="Calibri" w:eastAsia="Calibri" w:hAnsi="Calibri"/>
                <w:sz w:val="11"/>
                <w:szCs w:val="11"/>
                <w:color w:val="auto"/>
              </w:rPr>
              <w:t>Land</w:t>
            </w:r>
          </w:p>
        </w:tc>
        <w:tc>
          <w:tcPr>
            <w:tcW w:w="3400" w:type="dxa"/>
            <w:vAlign w:val="bottom"/>
          </w:tcPr>
          <w:p>
            <w:pPr>
              <w:ind w:left="1400"/>
              <w:spacing w:after="0"/>
              <w:rPr>
                <w:sz w:val="20"/>
                <w:szCs w:val="20"/>
                <w:color w:val="auto"/>
              </w:rPr>
            </w:pPr>
            <w:r>
              <w:rPr>
                <w:rFonts w:ascii="Calibri" w:cs="Calibri" w:eastAsia="Calibri" w:hAnsi="Calibri"/>
                <w:sz w:val="11"/>
                <w:szCs w:val="11"/>
                <w:color w:val="auto"/>
              </w:rPr>
              <w:t>Internatonal Farming</w:t>
            </w:r>
          </w:p>
        </w:tc>
        <w:tc>
          <w:tcPr>
            <w:tcW w:w="3220" w:type="dxa"/>
            <w:vAlign w:val="bottom"/>
          </w:tcPr>
          <w:p>
            <w:pPr>
              <w:ind w:left="1020"/>
              <w:spacing w:after="0"/>
              <w:rPr>
                <w:sz w:val="20"/>
                <w:szCs w:val="20"/>
                <w:color w:val="auto"/>
              </w:rPr>
            </w:pPr>
            <w:r>
              <w:rPr>
                <w:rFonts w:ascii="Calibri" w:cs="Calibri" w:eastAsia="Calibri" w:hAnsi="Calibri"/>
                <w:sz w:val="11"/>
                <w:szCs w:val="11"/>
                <w:color w:val="auto"/>
              </w:rPr>
              <w:t>Owned</w:t>
            </w:r>
          </w:p>
        </w:tc>
      </w:tr>
      <w:tr>
        <w:trPr>
          <w:trHeight w:val="46"/>
        </w:trPr>
        <w:tc>
          <w:tcPr>
            <w:tcW w:w="20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60"/>
        </w:trPr>
        <w:tc>
          <w:tcPr>
            <w:tcW w:w="20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Santa Rosa, Guatemala</w:t>
            </w:r>
          </w:p>
        </w:tc>
        <w:tc>
          <w:tcPr>
            <w:tcW w:w="2600" w:type="dxa"/>
            <w:vAlign w:val="bottom"/>
            <w:tcBorders>
              <w:bottom w:val="single" w:sz="8" w:color="DBDBDB"/>
            </w:tcBorders>
            <w:shd w:val="clear" w:color="auto" w:fill="DBDBDB"/>
          </w:tcPr>
          <w:p>
            <w:pPr>
              <w:ind w:left="980"/>
              <w:spacing w:after="0"/>
              <w:rPr>
                <w:sz w:val="20"/>
                <w:szCs w:val="20"/>
                <w:color w:val="auto"/>
              </w:rPr>
            </w:pPr>
            <w:r>
              <w:rPr>
                <w:rFonts w:ascii="Calibri" w:cs="Calibri" w:eastAsia="Calibri" w:hAnsi="Calibri"/>
                <w:sz w:val="11"/>
                <w:szCs w:val="11"/>
                <w:color w:val="auto"/>
              </w:rPr>
              <w:t>Land</w:t>
            </w:r>
          </w:p>
        </w:tc>
        <w:tc>
          <w:tcPr>
            <w:tcW w:w="3400" w:type="dxa"/>
            <w:vAlign w:val="bottom"/>
            <w:tcBorders>
              <w:bottom w:val="single" w:sz="8" w:color="DBDBDB"/>
            </w:tcBorders>
            <w:shd w:val="clear" w:color="auto" w:fill="DBDBDB"/>
          </w:tcPr>
          <w:p>
            <w:pPr>
              <w:ind w:left="1400"/>
              <w:spacing w:after="0"/>
              <w:rPr>
                <w:sz w:val="20"/>
                <w:szCs w:val="20"/>
                <w:color w:val="auto"/>
              </w:rPr>
            </w:pPr>
            <w:r>
              <w:rPr>
                <w:rFonts w:ascii="Calibri" w:cs="Calibri" w:eastAsia="Calibri" w:hAnsi="Calibri"/>
                <w:sz w:val="11"/>
                <w:szCs w:val="11"/>
                <w:color w:val="auto"/>
              </w:rPr>
              <w:t>Internatonal Farming</w:t>
            </w:r>
          </w:p>
        </w:tc>
        <w:tc>
          <w:tcPr>
            <w:tcW w:w="3220" w:type="dxa"/>
            <w:vAlign w:val="bottom"/>
            <w:tcBorders>
              <w:bottom w:val="single" w:sz="8" w:color="DBDBDB"/>
            </w:tcBorders>
            <w:shd w:val="clear" w:color="auto" w:fill="DBDBDB"/>
          </w:tcPr>
          <w:p>
            <w:pPr>
              <w:ind w:left="1020"/>
              <w:spacing w:after="0"/>
              <w:rPr>
                <w:sz w:val="20"/>
                <w:szCs w:val="20"/>
                <w:color w:val="auto"/>
              </w:rPr>
            </w:pPr>
            <w:r>
              <w:rPr>
                <w:rFonts w:ascii="Calibri" w:cs="Calibri" w:eastAsia="Calibri" w:hAnsi="Calibri"/>
                <w:sz w:val="11"/>
                <w:szCs w:val="11"/>
                <w:color w:val="auto"/>
              </w:rPr>
              <w:t>Leased</w:t>
            </w:r>
          </w:p>
        </w:tc>
      </w:tr>
      <w:tr>
        <w:trPr>
          <w:trHeight w:val="20"/>
        </w:trPr>
        <w:tc>
          <w:tcPr>
            <w:tcW w:w="206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ind w:right="40" w:firstLine="509"/>
        <w:spacing w:after="0" w:line="225" w:lineRule="auto"/>
        <w:rPr>
          <w:sz w:val="20"/>
          <w:szCs w:val="20"/>
          <w:color w:val="auto"/>
        </w:rPr>
      </w:pPr>
      <w:r>
        <w:rPr>
          <w:rFonts w:ascii="Calibri" w:cs="Calibri" w:eastAsia="Calibri" w:hAnsi="Calibri"/>
          <w:sz w:val="13"/>
          <w:szCs w:val="13"/>
          <w:color w:val="auto"/>
        </w:rPr>
        <w:t>We believe that our facilites are adequate to meet our current needs, and that suitable additonal alternatve spaces will be available in the future on commercially reasonable terms, if required. For additonal informaton on leased property, see Note 8 of this annual report on Form 10-K.</w:t>
      </w:r>
    </w:p>
    <w:p>
      <w:pPr>
        <w:spacing w:after="0" w:line="272"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b w:val="1"/>
          <w:bCs w:val="1"/>
          <w:color w:val="auto"/>
        </w:rPr>
        <w:t>Item 3.</w:t>
      </w:r>
      <w:r>
        <w:rPr>
          <w:sz w:val="20"/>
          <w:szCs w:val="20"/>
          <w:color w:val="auto"/>
        </w:rPr>
        <w:tab/>
      </w:r>
      <w:r>
        <w:rPr>
          <w:rFonts w:ascii="Calibri" w:cs="Calibri" w:eastAsia="Calibri" w:hAnsi="Calibri"/>
          <w:sz w:val="17"/>
          <w:szCs w:val="17"/>
          <w:b w:val="1"/>
          <w:bCs w:val="1"/>
          <w:color w:val="auto"/>
        </w:rPr>
        <w:t>Legal Proceedings</w:t>
      </w:r>
    </w:p>
    <w:p>
      <w:pPr>
        <w:spacing w:after="0" w:line="187" w:lineRule="exact"/>
        <w:rPr>
          <w:sz w:val="20"/>
          <w:szCs w:val="20"/>
          <w:color w:val="auto"/>
        </w:rPr>
      </w:pPr>
    </w:p>
    <w:p>
      <w:pPr>
        <w:ind w:right="100" w:firstLine="509"/>
        <w:spacing w:after="0" w:line="225" w:lineRule="auto"/>
        <w:rPr>
          <w:sz w:val="20"/>
          <w:szCs w:val="20"/>
          <w:color w:val="auto"/>
        </w:rPr>
      </w:pPr>
      <w:r>
        <w:rPr>
          <w:rFonts w:ascii="Calibri" w:cs="Calibri" w:eastAsia="Calibri" w:hAnsi="Calibri"/>
          <w:sz w:val="13"/>
          <w:szCs w:val="13"/>
          <w:color w:val="auto"/>
        </w:rPr>
        <w:t>We are from tme to tme involved in legal proceedings and investgatons arising in the ordinary course of business, including those relatng to employment maters, relatonships with clients and contractors, intellectual property disputes and other business maters.</w:t>
      </w:r>
    </w:p>
    <w:p>
      <w:pPr>
        <w:spacing w:after="0" w:line="159" w:lineRule="exact"/>
        <w:rPr>
          <w:sz w:val="20"/>
          <w:szCs w:val="20"/>
          <w:color w:val="auto"/>
        </w:rPr>
      </w:pPr>
    </w:p>
    <w:p>
      <w:pPr>
        <w:ind w:right="60" w:firstLine="509"/>
        <w:spacing w:after="0" w:line="229" w:lineRule="auto"/>
        <w:rPr>
          <w:sz w:val="20"/>
          <w:szCs w:val="20"/>
          <w:color w:val="auto"/>
        </w:rPr>
      </w:pPr>
      <w:r>
        <w:rPr>
          <w:rFonts w:ascii="Calibri" w:cs="Calibri" w:eastAsia="Calibri" w:hAnsi="Calibri"/>
          <w:sz w:val="13"/>
          <w:szCs w:val="13"/>
          <w:color w:val="auto"/>
        </w:rPr>
        <w:t>On April 23, 2020, former Mission Produce, Inc. employees fled a class acton lawsuit in the Superior Court of the State of California for the County of Los Angeles against us alleging violaton of certain wage and labor laws in California, including failure to pay all overtme wages, minimum wage violatons, and meal and rest period violatons, among others. Additonally, on June 10, 2020, former Mission Produce, Inc. employees fled a class acton lawsuit in the Superior Court of the State of California for the County of Ventura against us alleging similar violatons of certain wage and labor laws. The plaintfs in both cases seek damages primarily consistng of class certfcaton and payment of wages earned and owed, plus other consequental and special damages. While the Company believes that it did not violate any wage or labor laws, it nevertheless decided to setle these class acton lawsuits. In May 2021, the plaintfs in both class acton lawsuits and the Company agreed preliminarily to a comprehensive setlement to resolve both class acton cases for a total of $0.8 million, which the Company recorded as a loss contngency in selling, general and administratve expenses in the consolidated statements of income during the three months ended April 30, 2021. The partes executed a stpulaton of setlement agreement on such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19" w:name="page20"/>
    <w:bookmarkEnd w:id="19"/>
    <w:p>
      <w:pPr>
        <w:spacing w:after="0"/>
        <w:rPr>
          <w:sz w:val="20"/>
          <w:szCs w:val="20"/>
          <w:color w:val="auto"/>
        </w:rPr>
      </w:pPr>
      <w:r>
        <w:rPr>
          <w:rFonts w:ascii="Calibri" w:cs="Calibri" w:eastAsia="Calibri" w:hAnsi="Calibri"/>
          <w:sz w:val="13"/>
          <w:szCs w:val="13"/>
          <w:color w:val="auto"/>
        </w:rPr>
        <w:t>terms in November 2021. This preliminary setlement was approved by the applicable courts in October 2022 and is subject to fnal approval which is currently estmated to be in the spring of 2023.</w:t>
      </w:r>
    </w:p>
    <w:p>
      <w:pPr>
        <w:spacing w:after="0" w:line="158" w:lineRule="exact"/>
        <w:rPr>
          <w:sz w:val="20"/>
          <w:szCs w:val="20"/>
          <w:color w:val="auto"/>
        </w:rPr>
      </w:pPr>
    </w:p>
    <w:p>
      <w:pPr>
        <w:ind w:right="280" w:firstLine="509"/>
        <w:spacing w:after="0" w:line="225" w:lineRule="auto"/>
        <w:rPr>
          <w:sz w:val="20"/>
          <w:szCs w:val="20"/>
          <w:color w:val="auto"/>
        </w:rPr>
      </w:pPr>
      <w:r>
        <w:rPr>
          <w:rFonts w:ascii="Calibri" w:cs="Calibri" w:eastAsia="Calibri" w:hAnsi="Calibri"/>
          <w:sz w:val="13"/>
          <w:szCs w:val="13"/>
          <w:color w:val="auto"/>
        </w:rPr>
        <w:t>The outcomes of our legal proceedings and other contngencies are inherently unpredictable, subject to signifcant uncertaintes, and if one or more legal maters were resolved against the Company in a reportng period for amounts above management’s expectatons, the Company’s fnancial conditon and operatng results for that period could be materially adversely afected.</w:t>
      </w:r>
    </w:p>
    <w:p>
      <w:pPr>
        <w:spacing w:after="0" w:line="200" w:lineRule="exact"/>
        <w:rPr>
          <w:sz w:val="20"/>
          <w:szCs w:val="20"/>
          <w:color w:val="auto"/>
        </w:rPr>
      </w:pPr>
    </w:p>
    <w:p>
      <w:pPr>
        <w:spacing w:after="0" w:line="221"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b w:val="1"/>
          <w:bCs w:val="1"/>
          <w:color w:val="auto"/>
        </w:rPr>
        <w:t>Item 4.</w:t>
      </w:r>
      <w:r>
        <w:rPr>
          <w:sz w:val="20"/>
          <w:szCs w:val="20"/>
          <w:color w:val="auto"/>
        </w:rPr>
        <w:tab/>
      </w:r>
      <w:r>
        <w:rPr>
          <w:rFonts w:ascii="Calibri" w:cs="Calibri" w:eastAsia="Calibri" w:hAnsi="Calibri"/>
          <w:sz w:val="17"/>
          <w:szCs w:val="17"/>
          <w:b w:val="1"/>
          <w:bCs w:val="1"/>
          <w:color w:val="auto"/>
        </w:rPr>
        <w:t>Mine Safety Disclosures</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b w:val="1"/>
          <w:bCs w:val="1"/>
          <w:color w:val="auto"/>
        </w:rPr>
        <w:t>PART II</w:t>
      </w:r>
    </w:p>
    <w:p>
      <w:pPr>
        <w:spacing w:after="0" w:line="173" w:lineRule="exact"/>
        <w:rPr>
          <w:sz w:val="20"/>
          <w:szCs w:val="20"/>
          <w:color w:val="auto"/>
        </w:rPr>
      </w:pPr>
    </w:p>
    <w:p>
      <w:pPr>
        <w:spacing w:after="0"/>
        <w:tabs>
          <w:tab w:leader="none" w:pos="880" w:val="left"/>
        </w:tabs>
        <w:rPr>
          <w:sz w:val="20"/>
          <w:szCs w:val="20"/>
          <w:color w:val="auto"/>
        </w:rPr>
      </w:pPr>
      <w:r>
        <w:rPr>
          <w:rFonts w:ascii="Calibri" w:cs="Calibri" w:eastAsia="Calibri" w:hAnsi="Calibri"/>
          <w:sz w:val="18"/>
          <w:szCs w:val="18"/>
          <w:b w:val="1"/>
          <w:bCs w:val="1"/>
          <w:color w:val="auto"/>
        </w:rPr>
        <w:t>Item 5.</w:t>
      </w:r>
      <w:r>
        <w:rPr>
          <w:sz w:val="20"/>
          <w:szCs w:val="20"/>
          <w:color w:val="auto"/>
        </w:rPr>
        <w:tab/>
      </w:r>
      <w:r>
        <w:rPr>
          <w:rFonts w:ascii="Calibri" w:cs="Calibri" w:eastAsia="Calibri" w:hAnsi="Calibri"/>
          <w:sz w:val="18"/>
          <w:szCs w:val="18"/>
          <w:b w:val="1"/>
          <w:bCs w:val="1"/>
          <w:color w:val="auto"/>
        </w:rPr>
        <w:t>Market for Registrant’s Common Equity, Related Stockholder Maters and Issuer Purchases of Equity Securites</w:t>
      </w:r>
    </w:p>
    <w:p>
      <w:pPr>
        <w:spacing w:after="0" w:line="17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Market Informaton</w:t>
      </w:r>
    </w:p>
    <w:p>
      <w:pPr>
        <w:spacing w:after="0" w:line="182" w:lineRule="exact"/>
        <w:rPr>
          <w:sz w:val="20"/>
          <w:szCs w:val="20"/>
          <w:color w:val="auto"/>
        </w:rPr>
      </w:pPr>
    </w:p>
    <w:p>
      <w:pPr>
        <w:ind w:left="520"/>
        <w:spacing w:after="0"/>
        <w:rPr>
          <w:sz w:val="20"/>
          <w:szCs w:val="20"/>
          <w:color w:val="auto"/>
        </w:rPr>
      </w:pPr>
      <w:r>
        <w:rPr>
          <w:rFonts w:ascii="Calibri" w:cs="Calibri" w:eastAsia="Calibri" w:hAnsi="Calibri"/>
          <w:sz w:val="12"/>
          <w:szCs w:val="12"/>
          <w:color w:val="auto"/>
        </w:rPr>
        <w:t>Our common stock has been publicly traded on the Nasdaq Global Select Market under the symbol “AVO” since our IPO on October 1, 2020, which was completed at a price to the public of $12.00 per share.</w:t>
      </w:r>
    </w:p>
    <w:p>
      <w:pPr>
        <w:spacing w:after="0" w:line="229" w:lineRule="auto"/>
        <w:rPr>
          <w:sz w:val="20"/>
          <w:szCs w:val="20"/>
          <w:color w:val="auto"/>
        </w:rPr>
      </w:pPr>
      <w:r>
        <w:rPr>
          <w:rFonts w:ascii="Calibri" w:cs="Calibri" w:eastAsia="Calibri" w:hAnsi="Calibri"/>
          <w:sz w:val="13"/>
          <w:szCs w:val="13"/>
          <w:color w:val="auto"/>
        </w:rPr>
        <w:t>Prior to our IPO, there was no public market for our common stock.</w:t>
      </w:r>
    </w:p>
    <w:p>
      <w:pPr>
        <w:spacing w:after="0" w:line="15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Holders of Common Stock</w:t>
      </w:r>
    </w:p>
    <w:p>
      <w:pPr>
        <w:spacing w:after="0" w:line="182" w:lineRule="exact"/>
        <w:rPr>
          <w:sz w:val="20"/>
          <w:szCs w:val="20"/>
          <w:color w:val="auto"/>
        </w:rPr>
      </w:pPr>
    </w:p>
    <w:p>
      <w:pPr>
        <w:ind w:right="80" w:firstLine="509"/>
        <w:spacing w:after="0" w:line="225" w:lineRule="auto"/>
        <w:rPr>
          <w:sz w:val="20"/>
          <w:szCs w:val="20"/>
          <w:color w:val="auto"/>
        </w:rPr>
      </w:pPr>
      <w:r>
        <w:rPr>
          <w:rFonts w:ascii="Calibri" w:cs="Calibri" w:eastAsia="Calibri" w:hAnsi="Calibri"/>
          <w:sz w:val="13"/>
          <w:szCs w:val="13"/>
          <w:color w:val="auto"/>
        </w:rPr>
        <w:t>We had 19 shareholders of record of our common stock as of December 1, 2022. This number was derived from our shareholder records and does not include holders of our common stock whose shares are held in the name of various dealers, clearing agencies, banks, brokers and other fduciaries.</w:t>
      </w:r>
    </w:p>
    <w:p>
      <w:pPr>
        <w:spacing w:after="0" w:line="16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Dividend Policy</w:t>
      </w:r>
    </w:p>
    <w:p>
      <w:pPr>
        <w:spacing w:after="0" w:line="171" w:lineRule="exact"/>
        <w:rPr>
          <w:sz w:val="20"/>
          <w:szCs w:val="20"/>
          <w:color w:val="auto"/>
        </w:rPr>
      </w:pPr>
    </w:p>
    <w:p>
      <w:pPr>
        <w:ind w:right="60" w:firstLine="509"/>
        <w:spacing w:after="0" w:line="230" w:lineRule="auto"/>
        <w:rPr>
          <w:sz w:val="20"/>
          <w:szCs w:val="20"/>
          <w:color w:val="auto"/>
        </w:rPr>
      </w:pPr>
      <w:r>
        <w:rPr>
          <w:rFonts w:ascii="Calibri" w:cs="Calibri" w:eastAsia="Calibri" w:hAnsi="Calibri"/>
          <w:sz w:val="13"/>
          <w:szCs w:val="13"/>
          <w:color w:val="auto"/>
        </w:rPr>
        <w:t>We have paid cash dividends on our capital stock in the past but cannot guarantee that we will contnue to do so in the future. Any determinaton to pay dividends in the future will be at the discreton of our Board of Directors and will depend upon results of operatons, fnancial conditon, capital requirements, business prospects, restrictons imposed by applicable law and other factors our Board of Directors deems relevant.</w:t>
      </w:r>
    </w:p>
    <w:p>
      <w:pPr>
        <w:spacing w:after="0" w:line="15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Securites Authorized for Issuance Under Equity Compensaton Plans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See Item 12 of Part III of this annual report on Form 10-K for informaton about our equity compensaton plans which is incorporated by reference herein.</w:t>
      </w:r>
    </w:p>
    <w:p>
      <w:pPr>
        <w:spacing w:after="0" w:line="15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Comparatve Stock Performance Graph</w:t>
      </w:r>
    </w:p>
    <w:p>
      <w:pPr>
        <w:spacing w:after="0" w:line="182"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The following performance graph shows a comparison from October 1, 2020 (the date our common stock commenced trading on the Nasdaq Global Market) through October 31, 2022, of the cumulatve total return for our common stock, the Nasdaq Composite Total Return Index, and the Nasdaq US Smart Food &amp; Beverage Total Return Index. The graph assumes $100 was invested on October 1, 2020 in Mission Produce common stock, or the respectve indices, including reinvestment of dividends, with the associated plots indicatng the relatve performance as of the last day of trading prior to the fscal year end 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rPr>
          <w:sz w:val="20"/>
          <w:szCs w:val="20"/>
          <w:color w:val="auto"/>
        </w:rPr>
      </w:pPr>
      <w:r>
        <w:rPr>
          <w:rFonts w:ascii="Calibri" w:cs="Calibri" w:eastAsia="Calibri" w:hAnsi="Calibri"/>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040" w:right="3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675005</wp:posOffset>
            </wp:positionV>
            <wp:extent cx="4527550" cy="2007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527550" cy="200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960" w:type="dxa"/>
            <w:vAlign w:val="bottom"/>
          </w:tcPr>
          <w:p>
            <w:pPr>
              <w:spacing w:after="0"/>
              <w:rPr>
                <w:sz w:val="11"/>
                <w:szCs w:val="11"/>
                <w:color w:val="auto"/>
              </w:rPr>
            </w:pPr>
          </w:p>
        </w:tc>
        <w:tc>
          <w:tcPr>
            <w:tcW w:w="3580" w:type="dxa"/>
            <w:vAlign w:val="bottom"/>
          </w:tcPr>
          <w:p>
            <w:pPr>
              <w:jc w:val="right"/>
              <w:ind w:right="303"/>
              <w:spacing w:after="0"/>
              <w:rPr>
                <w:sz w:val="20"/>
                <w:szCs w:val="20"/>
                <w:color w:val="auto"/>
              </w:rPr>
            </w:pPr>
            <w:r>
              <w:rPr>
                <w:rFonts w:ascii="Calibri" w:cs="Calibri" w:eastAsia="Calibri" w:hAnsi="Calibri"/>
                <w:sz w:val="11"/>
                <w:szCs w:val="11"/>
                <w:b w:val="1"/>
                <w:bCs w:val="1"/>
                <w:color w:val="auto"/>
              </w:rPr>
              <w:t>October 1, 2020</w:t>
            </w:r>
          </w:p>
        </w:tc>
        <w:tc>
          <w:tcPr>
            <w:tcW w:w="1560" w:type="dxa"/>
            <w:vAlign w:val="bottom"/>
          </w:tcPr>
          <w:p>
            <w:pPr>
              <w:jc w:val="right"/>
              <w:ind w:right="323"/>
              <w:spacing w:after="0"/>
              <w:rPr>
                <w:sz w:val="20"/>
                <w:szCs w:val="20"/>
                <w:color w:val="auto"/>
              </w:rPr>
            </w:pPr>
            <w:r>
              <w:rPr>
                <w:rFonts w:ascii="Calibri" w:cs="Calibri" w:eastAsia="Calibri" w:hAnsi="Calibri"/>
                <w:sz w:val="11"/>
                <w:szCs w:val="11"/>
                <w:b w:val="1"/>
                <w:bCs w:val="1"/>
                <w:color w:val="auto"/>
              </w:rPr>
              <w:t>October 29, 2021</w:t>
            </w:r>
          </w:p>
        </w:tc>
        <w:tc>
          <w:tcPr>
            <w:tcW w:w="1180" w:type="dxa"/>
            <w:vAlign w:val="bottom"/>
          </w:tcPr>
          <w:p>
            <w:pPr>
              <w:jc w:val="right"/>
              <w:spacing w:after="0"/>
              <w:rPr>
                <w:sz w:val="20"/>
                <w:szCs w:val="20"/>
                <w:color w:val="auto"/>
              </w:rPr>
            </w:pPr>
            <w:r>
              <w:rPr>
                <w:rFonts w:ascii="Calibri" w:cs="Calibri" w:eastAsia="Calibri" w:hAnsi="Calibri"/>
                <w:sz w:val="11"/>
                <w:szCs w:val="11"/>
                <w:b w:val="1"/>
                <w:bCs w:val="1"/>
                <w:color w:val="auto"/>
              </w:rPr>
              <w:t>October 31, 2022</w:t>
            </w:r>
          </w:p>
        </w:tc>
      </w:tr>
      <w:tr>
        <w:trPr>
          <w:trHeight w:val="46"/>
        </w:trPr>
        <w:tc>
          <w:tcPr>
            <w:tcW w:w="496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151"/>
        </w:trPr>
        <w:tc>
          <w:tcPr>
            <w:tcW w:w="49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Mission Produce, Inc.</w:t>
            </w:r>
          </w:p>
        </w:tc>
        <w:tc>
          <w:tcPr>
            <w:tcW w:w="3580" w:type="dxa"/>
            <w:vAlign w:val="bottom"/>
            <w:tcBorders>
              <w:bottom w:val="single" w:sz="8" w:color="DBDBDB"/>
            </w:tcBorders>
            <w:shd w:val="clear" w:color="auto" w:fill="DBDBDB"/>
          </w:tcPr>
          <w:p>
            <w:pPr>
              <w:jc w:val="right"/>
              <w:ind w:right="303"/>
              <w:spacing w:after="0" w:line="126" w:lineRule="exact"/>
              <w:rPr>
                <w:sz w:val="20"/>
                <w:szCs w:val="20"/>
                <w:color w:val="auto"/>
              </w:rPr>
            </w:pPr>
            <w:r>
              <w:rPr>
                <w:rFonts w:ascii="Calibri" w:cs="Calibri" w:eastAsia="Calibri" w:hAnsi="Calibri"/>
                <w:sz w:val="11"/>
                <w:szCs w:val="11"/>
                <w:color w:val="auto"/>
              </w:rPr>
              <w:t>100.0</w:t>
            </w:r>
          </w:p>
        </w:tc>
        <w:tc>
          <w:tcPr>
            <w:tcW w:w="1560" w:type="dxa"/>
            <w:vAlign w:val="bottom"/>
            <w:tcBorders>
              <w:bottom w:val="single" w:sz="8" w:color="DBDBDB"/>
            </w:tcBorders>
            <w:shd w:val="clear" w:color="auto" w:fill="DBDBDB"/>
          </w:tcPr>
          <w:p>
            <w:pPr>
              <w:jc w:val="right"/>
              <w:ind w:right="323"/>
              <w:spacing w:after="0" w:line="126" w:lineRule="exact"/>
              <w:rPr>
                <w:sz w:val="20"/>
                <w:szCs w:val="20"/>
                <w:color w:val="auto"/>
              </w:rPr>
            </w:pPr>
            <w:r>
              <w:rPr>
                <w:rFonts w:ascii="Calibri" w:cs="Calibri" w:eastAsia="Calibri" w:hAnsi="Calibri"/>
                <w:sz w:val="11"/>
                <w:szCs w:val="11"/>
                <w:color w:val="auto"/>
              </w:rPr>
              <w:t>137.6</w:t>
            </w:r>
          </w:p>
        </w:tc>
        <w:tc>
          <w:tcPr>
            <w:tcW w:w="11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120.6</w:t>
            </w:r>
          </w:p>
        </w:tc>
      </w:tr>
      <w:tr>
        <w:trPr>
          <w:trHeight w:val="135"/>
        </w:trPr>
        <w:tc>
          <w:tcPr>
            <w:tcW w:w="4960" w:type="dxa"/>
            <w:vAlign w:val="bottom"/>
          </w:tcPr>
          <w:p>
            <w:pPr>
              <w:ind w:left="20"/>
              <w:spacing w:after="0"/>
              <w:rPr>
                <w:sz w:val="20"/>
                <w:szCs w:val="20"/>
                <w:color w:val="auto"/>
              </w:rPr>
            </w:pPr>
            <w:r>
              <w:rPr>
                <w:rFonts w:ascii="Calibri" w:cs="Calibri" w:eastAsia="Calibri" w:hAnsi="Calibri"/>
                <w:sz w:val="11"/>
                <w:szCs w:val="11"/>
                <w:color w:val="auto"/>
              </w:rPr>
              <w:t>Nasdaq Composite Total Return Index</w:t>
            </w:r>
          </w:p>
        </w:tc>
        <w:tc>
          <w:tcPr>
            <w:tcW w:w="3580" w:type="dxa"/>
            <w:vAlign w:val="bottom"/>
          </w:tcPr>
          <w:p>
            <w:pPr>
              <w:jc w:val="right"/>
              <w:ind w:right="303"/>
              <w:spacing w:after="0"/>
              <w:rPr>
                <w:sz w:val="20"/>
                <w:szCs w:val="20"/>
                <w:color w:val="auto"/>
              </w:rPr>
            </w:pPr>
            <w:r>
              <w:rPr>
                <w:rFonts w:ascii="Calibri" w:cs="Calibri" w:eastAsia="Calibri" w:hAnsi="Calibri"/>
                <w:sz w:val="11"/>
                <w:szCs w:val="11"/>
                <w:color w:val="auto"/>
              </w:rPr>
              <w:t>100.0</w:t>
            </w:r>
          </w:p>
        </w:tc>
        <w:tc>
          <w:tcPr>
            <w:tcW w:w="1560" w:type="dxa"/>
            <w:vAlign w:val="bottom"/>
          </w:tcPr>
          <w:p>
            <w:pPr>
              <w:jc w:val="right"/>
              <w:ind w:right="323"/>
              <w:spacing w:after="0"/>
              <w:rPr>
                <w:sz w:val="20"/>
                <w:szCs w:val="20"/>
                <w:color w:val="auto"/>
              </w:rPr>
            </w:pPr>
            <w:r>
              <w:rPr>
                <w:rFonts w:ascii="Calibri" w:cs="Calibri" w:eastAsia="Calibri" w:hAnsi="Calibri"/>
                <w:sz w:val="11"/>
                <w:szCs w:val="11"/>
                <w:color w:val="auto"/>
              </w:rPr>
              <w:t>136.8</w:t>
            </w:r>
          </w:p>
        </w:tc>
        <w:tc>
          <w:tcPr>
            <w:tcW w:w="1180" w:type="dxa"/>
            <w:vAlign w:val="bottom"/>
          </w:tcPr>
          <w:p>
            <w:pPr>
              <w:jc w:val="right"/>
              <w:spacing w:after="0"/>
              <w:rPr>
                <w:sz w:val="20"/>
                <w:szCs w:val="20"/>
                <w:color w:val="auto"/>
              </w:rPr>
            </w:pPr>
            <w:r>
              <w:rPr>
                <w:rFonts w:ascii="Calibri" w:cs="Calibri" w:eastAsia="Calibri" w:hAnsi="Calibri"/>
                <w:sz w:val="11"/>
                <w:szCs w:val="11"/>
                <w:color w:val="auto"/>
              </w:rPr>
              <w:t>97.0</w:t>
            </w:r>
          </w:p>
        </w:tc>
      </w:tr>
      <w:tr>
        <w:trPr>
          <w:trHeight w:val="46"/>
        </w:trPr>
        <w:tc>
          <w:tcPr>
            <w:tcW w:w="496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60"/>
        </w:trPr>
        <w:tc>
          <w:tcPr>
            <w:tcW w:w="4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Nasdaq US Smart Food &amp; Beverage Total Return Index</w:t>
            </w:r>
          </w:p>
        </w:tc>
        <w:tc>
          <w:tcPr>
            <w:tcW w:w="358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100.0</w:t>
            </w:r>
          </w:p>
        </w:tc>
        <w:tc>
          <w:tcPr>
            <w:tcW w:w="1560" w:type="dxa"/>
            <w:vAlign w:val="bottom"/>
            <w:tcBorders>
              <w:bottom w:val="single" w:sz="8" w:color="DBDBDB"/>
            </w:tcBorders>
            <w:shd w:val="clear" w:color="auto" w:fill="DBDBDB"/>
          </w:tcPr>
          <w:p>
            <w:pPr>
              <w:jc w:val="right"/>
              <w:ind w:right="323"/>
              <w:spacing w:after="0"/>
              <w:rPr>
                <w:sz w:val="20"/>
                <w:szCs w:val="20"/>
                <w:color w:val="auto"/>
              </w:rPr>
            </w:pPr>
            <w:r>
              <w:rPr>
                <w:rFonts w:ascii="Calibri" w:cs="Calibri" w:eastAsia="Calibri" w:hAnsi="Calibri"/>
                <w:sz w:val="11"/>
                <w:szCs w:val="11"/>
                <w:color w:val="auto"/>
              </w:rPr>
              <w:t>121.2</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135.1</w:t>
            </w:r>
          </w:p>
        </w:tc>
      </w:tr>
      <w:tr>
        <w:trPr>
          <w:trHeight w:val="20"/>
        </w:trPr>
        <w:tc>
          <w:tcPr>
            <w:tcW w:w="49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Unregistered Sales of Equity Securites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None.</w:t>
      </w:r>
    </w:p>
    <w:p>
      <w:pPr>
        <w:spacing w:after="0" w:line="15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Issuer Repurchases of Equity Securites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None.</w:t>
      </w:r>
    </w:p>
    <w:p>
      <w:pPr>
        <w:spacing w:after="0" w:line="261"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b w:val="1"/>
          <w:bCs w:val="1"/>
          <w:color w:val="auto"/>
        </w:rPr>
        <w:t>Item 6.</w:t>
      </w:r>
      <w:r>
        <w:rPr>
          <w:sz w:val="20"/>
          <w:szCs w:val="20"/>
          <w:color w:val="auto"/>
        </w:rPr>
        <w:tab/>
      </w:r>
      <w:r>
        <w:rPr>
          <w:rFonts w:ascii="Calibri" w:cs="Calibri" w:eastAsia="Calibri" w:hAnsi="Calibri"/>
          <w:sz w:val="17"/>
          <w:szCs w:val="17"/>
          <w:b w:val="1"/>
          <w:bCs w:val="1"/>
          <w:color w:val="auto"/>
        </w:rPr>
        <w:t>Reserved</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Not applicable.</w:t>
      </w:r>
    </w:p>
    <w:p>
      <w:pPr>
        <w:spacing w:after="0" w:line="261"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b w:val="1"/>
          <w:bCs w:val="1"/>
          <w:color w:val="auto"/>
        </w:rPr>
        <w:t>Item 7.</w:t>
      </w:r>
      <w:r>
        <w:rPr>
          <w:sz w:val="20"/>
          <w:szCs w:val="20"/>
          <w:color w:val="auto"/>
        </w:rPr>
        <w:tab/>
      </w:r>
      <w:r>
        <w:rPr>
          <w:rFonts w:ascii="Calibri" w:cs="Calibri" w:eastAsia="Calibri" w:hAnsi="Calibri"/>
          <w:sz w:val="18"/>
          <w:szCs w:val="18"/>
          <w:b w:val="1"/>
          <w:bCs w:val="1"/>
          <w:color w:val="auto"/>
        </w:rPr>
        <w:t>Management’s Discussion and Analysis of Financial Conditon and Results of Operatons</w:t>
      </w:r>
    </w:p>
    <w:p>
      <w:pPr>
        <w:spacing w:after="0" w:line="187" w:lineRule="exact"/>
        <w:rPr>
          <w:sz w:val="20"/>
          <w:szCs w:val="20"/>
          <w:color w:val="auto"/>
        </w:rPr>
      </w:pPr>
    </w:p>
    <w:p>
      <w:pPr>
        <w:jc w:val="both"/>
        <w:ind w:right="60" w:firstLine="509"/>
        <w:spacing w:after="0" w:line="230" w:lineRule="auto"/>
        <w:rPr>
          <w:sz w:val="20"/>
          <w:szCs w:val="20"/>
          <w:color w:val="auto"/>
        </w:rPr>
      </w:pPr>
      <w:r>
        <w:rPr>
          <w:rFonts w:ascii="Calibri" w:cs="Calibri" w:eastAsia="Calibri" w:hAnsi="Calibri"/>
          <w:sz w:val="13"/>
          <w:szCs w:val="13"/>
          <w:color w:val="auto"/>
        </w:rPr>
        <w:t>You should read the following discussion and analysis of our fnancial conditon and results of operatons together with our fnancial statements and related notes included elsewhere in this annual report. This discussion and analysis contains forward-looking statements based upon our current beliefs, plans and expectatons that involve risks, uncertaintes and assumptons. Our actual results may difer materially from those antcipated in these forward-looking statements as a result of various factors. Please refer to the secton of this report under the heading “Forward Looking Statements.”</w:t>
      </w:r>
    </w:p>
    <w:p>
      <w:pPr>
        <w:spacing w:after="0" w:line="15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Overview</w:t>
      </w:r>
    </w:p>
    <w:p>
      <w:pPr>
        <w:spacing w:after="0" w:line="182" w:lineRule="exact"/>
        <w:rPr>
          <w:sz w:val="20"/>
          <w:szCs w:val="20"/>
          <w:color w:val="auto"/>
        </w:rPr>
      </w:pPr>
    </w:p>
    <w:p>
      <w:pPr>
        <w:jc w:val="both"/>
        <w:ind w:right="240" w:firstLine="509"/>
        <w:spacing w:after="0" w:line="225" w:lineRule="auto"/>
        <w:rPr>
          <w:sz w:val="20"/>
          <w:szCs w:val="20"/>
          <w:color w:val="auto"/>
        </w:rPr>
      </w:pPr>
      <w:r>
        <w:rPr>
          <w:rFonts w:ascii="Calibri" w:cs="Calibri" w:eastAsia="Calibri" w:hAnsi="Calibri"/>
          <w:sz w:val="13"/>
          <w:szCs w:val="13"/>
          <w:color w:val="auto"/>
        </w:rPr>
        <w:t>We are a world leader in sourcing, producing and distributng fresh avocados, serving retail, wholesale and foodservice customers. We source, produce, pack and distribute avocados and a small amount of other fruits to our customers and provide value-added services including ripening, bagging, custom packaging and logistcal management. In additon, we provide our customers with merchandising and promotonal support, insights on market trends and training designed to increase their retail avocado sales.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1" w:name="page22"/>
    <w:bookmarkEnd w:id="21"/>
    <w:p>
      <w:pPr>
        <w:spacing w:after="0"/>
        <w:rPr>
          <w:sz w:val="20"/>
          <w:szCs w:val="20"/>
          <w:color w:val="auto"/>
        </w:rPr>
      </w:pPr>
      <w:r>
        <w:rPr>
          <w:rFonts w:ascii="Calibri" w:cs="Calibri" w:eastAsia="Calibri" w:hAnsi="Calibri"/>
          <w:sz w:val="13"/>
          <w:szCs w:val="13"/>
          <w:b w:val="1"/>
          <w:bCs w:val="1"/>
          <w:i w:val="1"/>
          <w:iCs w:val="1"/>
          <w:color w:val="auto"/>
        </w:rPr>
        <w:t xml:space="preserve">Consolidaton </w:t>
      </w:r>
      <w:r>
        <w:rPr>
          <w:rFonts w:ascii="Calibri" w:cs="Calibri" w:eastAsia="Calibri" w:hAnsi="Calibri"/>
          <w:sz w:val="13"/>
          <w:szCs w:val="13"/>
          <w:b w:val="1"/>
          <w:bCs w:val="1"/>
          <w:color w:val="auto"/>
        </w:rPr>
        <w:t>of VIE</w:t>
      </w:r>
    </w:p>
    <w:p>
      <w:pPr>
        <w:spacing w:after="0" w:line="158" w:lineRule="exact"/>
        <w:rPr>
          <w:sz w:val="20"/>
          <w:szCs w:val="20"/>
          <w:color w:val="auto"/>
        </w:rPr>
      </w:pPr>
    </w:p>
    <w:p>
      <w:pPr>
        <w:ind w:right="100" w:firstLine="509"/>
        <w:spacing w:after="0" w:line="231" w:lineRule="auto"/>
        <w:rPr>
          <w:sz w:val="20"/>
          <w:szCs w:val="20"/>
          <w:color w:val="auto"/>
        </w:rPr>
      </w:pPr>
      <w:r>
        <w:rPr>
          <w:rFonts w:ascii="Calibri" w:cs="Calibri" w:eastAsia="Calibri" w:hAnsi="Calibri"/>
          <w:sz w:val="13"/>
          <w:szCs w:val="13"/>
          <w:color w:val="auto"/>
        </w:rPr>
        <w:t>On May 1, 2022, a reconsideraton event occurred related to Moruga S.A.C., a holding company with one wholly owned subsidiary Blueberries Peru, S.A.C. (collectvely referred to as “Moruga”), an entty for which we have a 60% equity ownership interest. Moruga was previously accounted for under the equity method of accountng, where investments are stated at inital cost and adjusted for subsequent additonal investments and our proportonate share of earnings or losses and distributons. As a result of the reconsideraton event, we concluded that Moruga is a variable interest entty (“VIE”), and that the Company is the primary benefciary with a controlling fnancial interest. Based on this conclusion, Moruga was prospectvely consolidated on May 1, 2022. For more details on Moruga, refer to Note 3 to the fnancial statements in this annual report.</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Reportable segments</w:t>
      </w:r>
    </w:p>
    <w:p>
      <w:pPr>
        <w:spacing w:after="0" w:line="158" w:lineRule="exact"/>
        <w:rPr>
          <w:sz w:val="20"/>
          <w:szCs w:val="20"/>
          <w:color w:val="auto"/>
        </w:rPr>
      </w:pPr>
    </w:p>
    <w:p>
      <w:pPr>
        <w:ind w:right="220" w:firstLine="509"/>
        <w:spacing w:after="0" w:line="230" w:lineRule="auto"/>
        <w:rPr>
          <w:sz w:val="20"/>
          <w:szCs w:val="20"/>
          <w:color w:val="auto"/>
        </w:rPr>
      </w:pPr>
      <w:r>
        <w:rPr>
          <w:rFonts w:ascii="Calibri" w:cs="Calibri" w:eastAsia="Calibri" w:hAnsi="Calibri"/>
          <w:sz w:val="13"/>
          <w:szCs w:val="13"/>
          <w:color w:val="auto"/>
        </w:rPr>
        <w:t>We have three operatng segments which are also reportable segments. Our reportable segments are presented based on how informaton is used by our CEO, who is the chief operatng decision maker, to measure performance and allocate resources. Afer the consolidaton of Moruga on May 1, 2022, the informaton used by the CEO was expanded to include the results of Moruga, and as such, we determined our reportable segments to be:</w:t>
      </w:r>
    </w:p>
    <w:p>
      <w:pPr>
        <w:spacing w:after="0" w:line="150" w:lineRule="exact"/>
        <w:rPr>
          <w:sz w:val="20"/>
          <w:szCs w:val="20"/>
          <w:color w:val="auto"/>
        </w:rPr>
      </w:pPr>
    </w:p>
    <w:p>
      <w:pPr>
        <w:ind w:left="520" w:hanging="260"/>
        <w:spacing w:after="0"/>
        <w:tabs>
          <w:tab w:leader="none" w:pos="520" w:val="left"/>
        </w:tabs>
        <w:numPr>
          <w:ilvl w:val="0"/>
          <w:numId w:val="8"/>
        </w:numPr>
        <w:rPr>
          <w:rFonts w:ascii="Calibri" w:cs="Calibri" w:eastAsia="Calibri" w:hAnsi="Calibri"/>
          <w:sz w:val="13"/>
          <w:szCs w:val="13"/>
          <w:color w:val="auto"/>
        </w:rPr>
      </w:pPr>
      <w:r>
        <w:rPr>
          <w:rFonts w:ascii="Calibri" w:cs="Calibri" w:eastAsia="Calibri" w:hAnsi="Calibri"/>
          <w:sz w:val="13"/>
          <w:szCs w:val="13"/>
          <w:i w:val="1"/>
          <w:iCs w:val="1"/>
          <w:color w:val="auto"/>
        </w:rPr>
        <w:t>Marketng and Distributon</w:t>
      </w:r>
      <w:r>
        <w:rPr>
          <w:rFonts w:ascii="Calibri" w:cs="Calibri" w:eastAsia="Calibri" w:hAnsi="Calibri"/>
          <w:sz w:val="13"/>
          <w:szCs w:val="13"/>
          <w:color w:val="auto"/>
        </w:rPr>
        <w:t>. Our Marketng and Distributon reportable segment sources fruit from growers and then distributes the fruit through our global distributon network.</w:t>
      </w:r>
    </w:p>
    <w:p>
      <w:pPr>
        <w:spacing w:after="0" w:line="158" w:lineRule="exact"/>
        <w:rPr>
          <w:rFonts w:ascii="Calibri" w:cs="Calibri" w:eastAsia="Calibri" w:hAnsi="Calibri"/>
          <w:sz w:val="13"/>
          <w:szCs w:val="13"/>
          <w:color w:val="auto"/>
        </w:rPr>
      </w:pPr>
    </w:p>
    <w:p>
      <w:pPr>
        <w:ind w:left="520" w:right="140" w:hanging="260"/>
        <w:spacing w:after="0" w:line="230" w:lineRule="auto"/>
        <w:tabs>
          <w:tab w:leader="none" w:pos="520" w:val="left"/>
        </w:tabs>
        <w:numPr>
          <w:ilvl w:val="0"/>
          <w:numId w:val="8"/>
        </w:numPr>
        <w:rPr>
          <w:rFonts w:ascii="Calibri" w:cs="Calibri" w:eastAsia="Calibri" w:hAnsi="Calibri"/>
          <w:sz w:val="13"/>
          <w:szCs w:val="13"/>
          <w:i w:val="1"/>
          <w:iCs w:val="1"/>
          <w:color w:val="auto"/>
        </w:rPr>
      </w:pPr>
      <w:r>
        <w:rPr>
          <w:rFonts w:ascii="Calibri" w:cs="Calibri" w:eastAsia="Calibri" w:hAnsi="Calibri"/>
          <w:sz w:val="13"/>
          <w:szCs w:val="13"/>
          <w:i w:val="1"/>
          <w:iCs w:val="1"/>
          <w:color w:val="auto"/>
        </w:rPr>
        <w:t>Internatonal Farming</w:t>
      </w:r>
      <w:r>
        <w:rPr>
          <w:rFonts w:ascii="Calibri" w:cs="Calibri" w:eastAsia="Calibri" w:hAnsi="Calibri"/>
          <w:sz w:val="13"/>
          <w:szCs w:val="13"/>
          <w:color w:val="auto"/>
        </w:rPr>
        <w:t>. Internatonal Farming owns and operates orchards from which substantally all fruit produced is sold to our Marketng and Distributon segment. Its farming actvites range from</w:t>
      </w:r>
      <w:r>
        <w:rPr>
          <w:rFonts w:ascii="Calibri" w:cs="Calibri" w:eastAsia="Calibri" w:hAnsi="Calibri"/>
          <w:sz w:val="13"/>
          <w:szCs w:val="13"/>
          <w:i w:val="1"/>
          <w:iCs w:val="1"/>
          <w:color w:val="auto"/>
        </w:rPr>
        <w:t xml:space="preserve"> </w:t>
      </w:r>
      <w:r>
        <w:rPr>
          <w:rFonts w:ascii="Calibri" w:cs="Calibri" w:eastAsia="Calibri" w:hAnsi="Calibri"/>
          <w:sz w:val="13"/>
          <w:szCs w:val="13"/>
          <w:color w:val="auto"/>
        </w:rPr>
        <w:t>cultvatng early-stage plantngs to harvestng from mature trees, and it also earns service revenues for packing and processing for our Blueberries segment, as well as for third-party producers of other crops during the avocado of-harvest season. Operatons are principally located in Peru, with smaller operatons emerging in other areas of Latn America.</w:t>
      </w:r>
    </w:p>
    <w:p>
      <w:pPr>
        <w:spacing w:after="0" w:line="159" w:lineRule="exact"/>
        <w:rPr>
          <w:rFonts w:ascii="Calibri" w:cs="Calibri" w:eastAsia="Calibri" w:hAnsi="Calibri"/>
          <w:sz w:val="13"/>
          <w:szCs w:val="13"/>
          <w:i w:val="1"/>
          <w:iCs w:val="1"/>
          <w:color w:val="auto"/>
        </w:rPr>
      </w:pPr>
    </w:p>
    <w:p>
      <w:pPr>
        <w:ind w:left="520" w:right="80" w:hanging="260"/>
        <w:spacing w:after="0" w:line="225" w:lineRule="auto"/>
        <w:tabs>
          <w:tab w:leader="none" w:pos="520" w:val="left"/>
        </w:tabs>
        <w:numPr>
          <w:ilvl w:val="0"/>
          <w:numId w:val="8"/>
        </w:numPr>
        <w:rPr>
          <w:rFonts w:ascii="Calibri" w:cs="Calibri" w:eastAsia="Calibri" w:hAnsi="Calibri"/>
          <w:sz w:val="13"/>
          <w:szCs w:val="13"/>
          <w:color w:val="auto"/>
        </w:rPr>
      </w:pPr>
      <w:r>
        <w:rPr>
          <w:rFonts w:ascii="Calibri" w:cs="Calibri" w:eastAsia="Calibri" w:hAnsi="Calibri"/>
          <w:sz w:val="13"/>
          <w:szCs w:val="13"/>
          <w:i w:val="1"/>
          <w:iCs w:val="1"/>
          <w:color w:val="auto"/>
        </w:rPr>
        <w:t xml:space="preserve">Blueberries. </w:t>
      </w:r>
      <w:r>
        <w:rPr>
          <w:rFonts w:ascii="Calibri" w:cs="Calibri" w:eastAsia="Calibri" w:hAnsi="Calibri"/>
          <w:sz w:val="13"/>
          <w:szCs w:val="13"/>
          <w:color w:val="auto"/>
        </w:rPr>
        <w:t>The new Blueberries segment represents the results of Moruga, subsequent to its consolidaton on May 1, 2022. Moruga’s farming actvites include cultvatng early-stage blueberry plantngs and</w:t>
      </w:r>
      <w:r>
        <w:rPr>
          <w:rFonts w:ascii="Calibri" w:cs="Calibri" w:eastAsia="Calibri" w:hAnsi="Calibri"/>
          <w:sz w:val="13"/>
          <w:szCs w:val="13"/>
          <w:i w:val="1"/>
          <w:iCs w:val="1"/>
          <w:color w:val="auto"/>
        </w:rPr>
        <w:t xml:space="preserve"> </w:t>
      </w:r>
      <w:r>
        <w:rPr>
          <w:rFonts w:ascii="Calibri" w:cs="Calibri" w:eastAsia="Calibri" w:hAnsi="Calibri"/>
          <w:sz w:val="13"/>
          <w:szCs w:val="13"/>
          <w:color w:val="auto"/>
        </w:rPr>
        <w:t>harvestng mature bushes. Substantally all of blueberries produced are sold to a single distributor under an exclusive marketng agreement.</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Recent developments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Marketng and Distributon</w:t>
      </w:r>
    </w:p>
    <w:p>
      <w:pPr>
        <w:spacing w:after="0" w:line="158" w:lineRule="exact"/>
        <w:rPr>
          <w:sz w:val="20"/>
          <w:szCs w:val="20"/>
          <w:color w:val="auto"/>
        </w:rPr>
      </w:pPr>
    </w:p>
    <w:p>
      <w:pPr>
        <w:ind w:firstLine="509"/>
        <w:spacing w:after="0" w:line="231" w:lineRule="auto"/>
        <w:rPr>
          <w:sz w:val="20"/>
          <w:szCs w:val="20"/>
          <w:color w:val="auto"/>
        </w:rPr>
      </w:pPr>
      <w:r>
        <w:rPr>
          <w:rFonts w:ascii="Calibri" w:cs="Calibri" w:eastAsia="Calibri" w:hAnsi="Calibri"/>
          <w:sz w:val="13"/>
          <w:szCs w:val="13"/>
          <w:color w:val="auto"/>
        </w:rPr>
        <w:t>On November 1, 2021, we implemented a new enterprise resource planning (“ERP”) system to improve operatonal visibility and fnancial reportng capabilites. During implementaton, we encountered signifcant challenges which limited our ability to efectvely manage our business operatons, thereby impactng our proftability and fnancial results for the frst quarter of 2022. Our distributon centers and packing houses experienced problems with purchasing, receiving and shipping, which resulted in a high reliance on both third-party fruit and packaged fruit that we would have otherwise sourced directly in the feld and packed in our facilites. Other issues included delays in automated customer invoicing and inventory management issues. During the second quarter of 2022, these operatonal issues we experienced during the frst quarter were largely resolved.</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Internatonal Farming</w:t>
      </w:r>
    </w:p>
    <w:p>
      <w:pPr>
        <w:spacing w:after="0" w:line="158" w:lineRule="exact"/>
        <w:rPr>
          <w:sz w:val="20"/>
          <w:szCs w:val="20"/>
          <w:color w:val="auto"/>
        </w:rPr>
      </w:pPr>
    </w:p>
    <w:p>
      <w:pPr>
        <w:ind w:right="60" w:firstLine="509"/>
        <w:spacing w:after="0" w:line="230" w:lineRule="auto"/>
        <w:rPr>
          <w:sz w:val="20"/>
          <w:szCs w:val="20"/>
          <w:color w:val="auto"/>
        </w:rPr>
      </w:pPr>
      <w:r>
        <w:rPr>
          <w:rFonts w:ascii="Calibri" w:cs="Calibri" w:eastAsia="Calibri" w:hAnsi="Calibri"/>
          <w:sz w:val="13"/>
          <w:szCs w:val="13"/>
          <w:color w:val="auto"/>
        </w:rPr>
        <w:t>As vertcal integraton is a key part of our sourcing strategy, we have contnued to make investments in orchard development and land improvements in Peru, Guatemala and Colombia. Afer plantng, our avocado trees begin to produce avocados in approximately three years and reach full producton in approximately fve to seven years, depending on locaton. As of October 31, 2022, we had approximately 12,000 acres planted across these locatons.</w:t>
      </w:r>
    </w:p>
    <w:p>
      <w:pPr>
        <w:spacing w:after="0" w:line="159" w:lineRule="exact"/>
        <w:rPr>
          <w:sz w:val="20"/>
          <w:szCs w:val="20"/>
          <w:color w:val="auto"/>
        </w:rPr>
      </w:pPr>
    </w:p>
    <w:p>
      <w:pPr>
        <w:ind w:right="300" w:firstLine="509"/>
        <w:spacing w:after="0" w:line="225" w:lineRule="auto"/>
        <w:rPr>
          <w:sz w:val="20"/>
          <w:szCs w:val="20"/>
          <w:color w:val="auto"/>
        </w:rPr>
      </w:pPr>
      <w:r>
        <w:rPr>
          <w:rFonts w:ascii="Calibri" w:cs="Calibri" w:eastAsia="Calibri" w:hAnsi="Calibri"/>
          <w:sz w:val="13"/>
          <w:szCs w:val="13"/>
          <w:color w:val="auto"/>
        </w:rPr>
        <w:t>During the fourth quarter of fscal 2022, we recorded a $49.5 million noncash impairment loss in the consolidated statements of (loss) income to reduce the carrying amount of goodwill associated to our Peruvian farming reportng unit within the Internatonal Farming reportable segment. Refer to Note 4 to the consolidated fnancial statements in this annual report for more informaton.</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Blueberries</w:t>
      </w:r>
    </w:p>
    <w:p>
      <w:pPr>
        <w:spacing w:after="0" w:line="158" w:lineRule="exact"/>
        <w:rPr>
          <w:sz w:val="20"/>
          <w:szCs w:val="20"/>
          <w:color w:val="auto"/>
        </w:rPr>
      </w:pPr>
    </w:p>
    <w:p>
      <w:pPr>
        <w:ind w:right="400" w:firstLine="509"/>
        <w:spacing w:after="0" w:line="225" w:lineRule="auto"/>
        <w:rPr>
          <w:sz w:val="20"/>
          <w:szCs w:val="20"/>
          <w:color w:val="auto"/>
        </w:rPr>
      </w:pPr>
      <w:r>
        <w:rPr>
          <w:rFonts w:ascii="Calibri" w:cs="Calibri" w:eastAsia="Calibri" w:hAnsi="Calibri"/>
          <w:sz w:val="13"/>
          <w:szCs w:val="13"/>
          <w:color w:val="auto"/>
        </w:rPr>
        <w:t>As noted above, we consolidated Moruga on May 1, 2022, and in connecton, announced plans for a new capital project to plant approximately 1,500 additonal acres of blueberry farms in Peru. We are currently in the planning phase of this project and expect plantng to commence during fscal 2023. Our operatons in Moruga enable us to utlize our existng infrastructure and workforce in Peru during the complementary periods between avocado harvest and processing seasons.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51" w:right="339" w:bottom="1440" w:gutter="0" w:footer="0" w:header="0"/>
        </w:sectPr>
      </w:pPr>
    </w:p>
    <w:bookmarkStart w:id="22" w:name="page23"/>
    <w:bookmarkEnd w:id="22"/>
    <w:p>
      <w:pPr>
        <w:spacing w:after="0"/>
        <w:rPr>
          <w:sz w:val="20"/>
          <w:szCs w:val="20"/>
          <w:color w:val="auto"/>
        </w:rPr>
      </w:pPr>
      <w:r>
        <w:rPr>
          <w:rFonts w:ascii="Calibri" w:cs="Calibri" w:eastAsia="Calibri" w:hAnsi="Calibri"/>
          <w:sz w:val="16"/>
          <w:szCs w:val="16"/>
          <w:b w:val="1"/>
          <w:bCs w:val="1"/>
          <w:color w:val="auto"/>
        </w:rPr>
        <w:t>Results of Operatons</w:t>
      </w:r>
    </w:p>
    <w:p>
      <w:pPr>
        <w:spacing w:after="0" w:line="182" w:lineRule="exact"/>
        <w:rPr>
          <w:sz w:val="20"/>
          <w:szCs w:val="20"/>
          <w:color w:val="auto"/>
        </w:rPr>
      </w:pPr>
    </w:p>
    <w:p>
      <w:pPr>
        <w:ind w:right="200" w:firstLine="509"/>
        <w:spacing w:after="0" w:line="229" w:lineRule="auto"/>
        <w:rPr>
          <w:sz w:val="20"/>
          <w:szCs w:val="20"/>
          <w:color w:val="auto"/>
        </w:rPr>
      </w:pPr>
      <w:r>
        <w:rPr>
          <w:rFonts w:ascii="Calibri" w:cs="Calibri" w:eastAsia="Calibri" w:hAnsi="Calibri"/>
          <w:sz w:val="13"/>
          <w:szCs w:val="13"/>
          <w:color w:val="auto"/>
        </w:rPr>
        <w:t>The operatng results of our businesses are signifcantly impacted by the price and volume of avocados we farm, source and distribute. In additon, our results have been, and will contnue to be, afected by quarterly and annual fuctuatons due to a number of factors, including but not limited to pests and disease, weather paterns, changes in demand by consumers, food safety advisories, the tming of the receipt, reducton, or cancellaton of signifcant customer orders, the gain or loss of signifcant customers, the availability, quality and price of raw materials, the utlizaton of capacity at our various locatons and general economic conditons.</w:t>
      </w:r>
    </w:p>
    <w:p>
      <w:pPr>
        <w:spacing w:after="0" w:line="158" w:lineRule="exact"/>
        <w:rPr>
          <w:sz w:val="20"/>
          <w:szCs w:val="20"/>
          <w:color w:val="auto"/>
        </w:rPr>
      </w:pPr>
    </w:p>
    <w:p>
      <w:pPr>
        <w:ind w:firstLine="509"/>
        <w:spacing w:after="0" w:line="228" w:lineRule="auto"/>
        <w:rPr>
          <w:sz w:val="20"/>
          <w:szCs w:val="20"/>
          <w:color w:val="auto"/>
        </w:rPr>
      </w:pPr>
      <w:r>
        <w:rPr>
          <w:rFonts w:ascii="Calibri" w:cs="Calibri" w:eastAsia="Calibri" w:hAnsi="Calibri"/>
          <w:sz w:val="13"/>
          <w:szCs w:val="13"/>
          <w:color w:val="auto"/>
        </w:rPr>
        <w:t>Our fnancial reportng currency is the U.S. dollar. The functonal currency of substantally all of our subsidiaries is the U.S. dollar and substantally all of our sales are denominated in U.S. dollars. A signifcant porton of our purchases of avocados are denominated in the Mexican Peso and a signifcant porton of our growing and harvestng costs are denominated in Peruvian Soles. Fluctuatons in the exchange rates between the U.S. dollar and these local currencies usually do not have a signifcant impact on our gross margin because the impact afects our pricing by comparable amounts. Our margin exposure to exchange rate fuctuatons is short-term in nature, as our sales price commitments are generally limited to less than one month and orders can primarily be serviced with procured inventory. Over longer periods of tme, we believe that the impact exchange rate fuctuatons will have on our cost of goods sold will largely be passed on to our customers in the form of higher or lower prices.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Calibri" w:cs="Calibri" w:eastAsia="Calibri" w:hAnsi="Calibri"/>
                <w:sz w:val="11"/>
                <w:szCs w:val="11"/>
                <w:b w:val="1"/>
                <w:bCs w:val="1"/>
                <w:color w:val="auto"/>
              </w:rPr>
              <w:t>Years ended October 31,</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46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jc w:val="right"/>
              <w:ind w:right="203"/>
              <w:spacing w:after="0" w:line="126" w:lineRule="exact"/>
              <w:rPr>
                <w:sz w:val="20"/>
                <w:szCs w:val="20"/>
                <w:color w:val="auto"/>
              </w:rPr>
            </w:pPr>
            <w:r>
              <w:rPr>
                <w:rFonts w:ascii="Calibri" w:cs="Calibri" w:eastAsia="Calibri" w:hAnsi="Calibri"/>
                <w:sz w:val="11"/>
                <w:szCs w:val="11"/>
                <w:b w:val="1"/>
                <w:bCs w:val="1"/>
                <w:color w:val="auto"/>
              </w:rPr>
              <w:t>2022</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jc w:val="right"/>
              <w:ind w:right="443"/>
              <w:spacing w:after="0" w:line="126" w:lineRule="exact"/>
              <w:rPr>
                <w:sz w:val="20"/>
                <w:szCs w:val="20"/>
                <w:color w:val="auto"/>
              </w:rPr>
            </w:pPr>
            <w:r>
              <w:rPr>
                <w:rFonts w:ascii="Calibri" w:cs="Calibri" w:eastAsia="Calibri" w:hAnsi="Calibri"/>
                <w:sz w:val="11"/>
                <w:szCs w:val="11"/>
                <w:b w:val="1"/>
                <w:bCs w:val="1"/>
                <w:color w:val="auto"/>
              </w:rPr>
              <w:t>2021</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jc w:val="right"/>
              <w:ind w:right="223"/>
              <w:spacing w:after="0" w:line="126" w:lineRule="exact"/>
              <w:rPr>
                <w:sz w:val="20"/>
                <w:szCs w:val="20"/>
                <w:color w:val="auto"/>
              </w:rPr>
            </w:pPr>
            <w:r>
              <w:rPr>
                <w:rFonts w:ascii="Calibri" w:cs="Calibri" w:eastAsia="Calibri" w:hAnsi="Calibri"/>
                <w:sz w:val="11"/>
                <w:szCs w:val="11"/>
                <w:b w:val="1"/>
                <w:bCs w:val="1"/>
                <w:color w:val="auto"/>
              </w:rPr>
              <w:t>2020</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6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 except percentages)</w:t>
            </w: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46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jc w:val="right"/>
              <w:ind w:right="263"/>
              <w:spacing w:after="0" w:line="126" w:lineRule="exact"/>
              <w:rPr>
                <w:sz w:val="20"/>
                <w:szCs w:val="20"/>
                <w:color w:val="auto"/>
              </w:rPr>
            </w:pPr>
            <w:r>
              <w:rPr>
                <w:rFonts w:ascii="Calibri" w:cs="Calibri" w:eastAsia="Calibri" w:hAnsi="Calibri"/>
                <w:sz w:val="11"/>
                <w:szCs w:val="11"/>
                <w:b w:val="1"/>
                <w:bCs w:val="1"/>
                <w:color w:val="auto"/>
              </w:rPr>
              <w:t>Dollar</w:t>
            </w:r>
          </w:p>
        </w:tc>
        <w:tc>
          <w:tcPr>
            <w:tcW w:w="66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jc w:val="right"/>
              <w:ind w:right="503"/>
              <w:spacing w:after="0" w:line="126" w:lineRule="exact"/>
              <w:rPr>
                <w:sz w:val="20"/>
                <w:szCs w:val="20"/>
                <w:color w:val="auto"/>
              </w:rPr>
            </w:pPr>
            <w:r>
              <w:rPr>
                <w:rFonts w:ascii="Calibri" w:cs="Calibri" w:eastAsia="Calibri" w:hAnsi="Calibri"/>
                <w:sz w:val="11"/>
                <w:szCs w:val="11"/>
                <w:b w:val="1"/>
                <w:bCs w:val="1"/>
                <w:color w:val="auto"/>
              </w:rPr>
              <w:t>Dollar</w:t>
            </w:r>
          </w:p>
        </w:tc>
        <w:tc>
          <w:tcPr>
            <w:tcW w:w="4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jc w:val="right"/>
              <w:ind w:right="283"/>
              <w:spacing w:after="0" w:line="126" w:lineRule="exact"/>
              <w:rPr>
                <w:sz w:val="20"/>
                <w:szCs w:val="20"/>
                <w:color w:val="auto"/>
              </w:rPr>
            </w:pPr>
            <w:r>
              <w:rPr>
                <w:rFonts w:ascii="Calibri" w:cs="Calibri" w:eastAsia="Calibri" w:hAnsi="Calibri"/>
                <w:sz w:val="11"/>
                <w:szCs w:val="11"/>
                <w:b w:val="1"/>
                <w:bCs w:val="1"/>
                <w:color w:val="auto"/>
              </w:rPr>
              <w:t>Dollar</w:t>
            </w:r>
          </w:p>
        </w:tc>
        <w:tc>
          <w:tcPr>
            <w:tcW w:w="64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w:t>
            </w:r>
          </w:p>
        </w:tc>
        <w:tc>
          <w:tcPr>
            <w:tcW w:w="0" w:type="dxa"/>
            <w:vAlign w:val="bottom"/>
          </w:tcPr>
          <w:p>
            <w:pPr>
              <w:spacing w:after="0"/>
              <w:rPr>
                <w:sz w:val="1"/>
                <w:szCs w:val="1"/>
                <w:color w:val="auto"/>
              </w:rPr>
            </w:pPr>
          </w:p>
        </w:tc>
      </w:tr>
      <w:tr>
        <w:trPr>
          <w:trHeight w:val="46"/>
        </w:trPr>
        <w:tc>
          <w:tcPr>
            <w:tcW w:w="4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4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Net sales</w:t>
            </w:r>
          </w:p>
        </w:tc>
        <w:tc>
          <w:tcPr>
            <w:tcW w:w="400" w:type="dxa"/>
            <w:vAlign w:val="bottom"/>
            <w:tcBorders>
              <w:bottom w:val="single" w:sz="8" w:color="DBDBDB"/>
            </w:tcBorders>
            <w:shd w:val="clear" w:color="auto" w:fill="DBDBDB"/>
          </w:tcPr>
          <w:p>
            <w:pPr>
              <w:jc w:val="right"/>
              <w:ind w:right="263"/>
              <w:spacing w:after="0" w:line="126" w:lineRule="exact"/>
              <w:rPr>
                <w:sz w:val="20"/>
                <w:szCs w:val="20"/>
                <w:color w:val="auto"/>
              </w:rPr>
            </w:pPr>
            <w:r>
              <w:rPr>
                <w:rFonts w:ascii="Calibri" w:cs="Calibri" w:eastAsia="Calibri" w:hAnsi="Calibri"/>
                <w:sz w:val="11"/>
                <w:szCs w:val="11"/>
                <w:color w:val="auto"/>
              </w:rPr>
              <w:t>$</w:t>
            </w:r>
          </w:p>
        </w:tc>
        <w:tc>
          <w:tcPr>
            <w:tcW w:w="1020" w:type="dxa"/>
            <w:vAlign w:val="bottom"/>
            <w:tcBorders>
              <w:bottom w:val="single" w:sz="8" w:color="DBDBDB"/>
            </w:tcBorders>
            <w:shd w:val="clear" w:color="auto" w:fill="DBDBDB"/>
          </w:tcPr>
          <w:p>
            <w:pPr>
              <w:jc w:val="right"/>
              <w:ind w:right="303"/>
              <w:spacing w:after="0" w:line="126" w:lineRule="exact"/>
              <w:rPr>
                <w:sz w:val="20"/>
                <w:szCs w:val="20"/>
                <w:color w:val="auto"/>
              </w:rPr>
            </w:pPr>
            <w:r>
              <w:rPr>
                <w:rFonts w:ascii="Calibri" w:cs="Calibri" w:eastAsia="Calibri" w:hAnsi="Calibri"/>
                <w:sz w:val="11"/>
                <w:szCs w:val="11"/>
                <w:color w:val="auto"/>
              </w:rPr>
              <w:t>1,045.9</w:t>
            </w:r>
          </w:p>
        </w:tc>
        <w:tc>
          <w:tcPr>
            <w:tcW w:w="6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100.0 %</w:t>
            </w:r>
          </w:p>
        </w:tc>
        <w:tc>
          <w:tcPr>
            <w:tcW w:w="24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w w:val="70"/>
              </w:rPr>
              <w:t>$</w:t>
            </w:r>
          </w:p>
        </w:tc>
        <w:tc>
          <w:tcPr>
            <w:tcW w:w="1380" w:type="dxa"/>
            <w:vAlign w:val="bottom"/>
            <w:tcBorders>
              <w:bottom w:val="single" w:sz="8" w:color="DBDBDB"/>
            </w:tcBorders>
            <w:shd w:val="clear" w:color="auto" w:fill="DBDBDB"/>
          </w:tcPr>
          <w:p>
            <w:pPr>
              <w:jc w:val="right"/>
              <w:ind w:right="543"/>
              <w:spacing w:after="0" w:line="126" w:lineRule="exact"/>
              <w:rPr>
                <w:sz w:val="20"/>
                <w:szCs w:val="20"/>
                <w:color w:val="auto"/>
              </w:rPr>
            </w:pPr>
            <w:r>
              <w:rPr>
                <w:rFonts w:ascii="Calibri" w:cs="Calibri" w:eastAsia="Calibri" w:hAnsi="Calibri"/>
                <w:sz w:val="11"/>
                <w:szCs w:val="11"/>
                <w:color w:val="auto"/>
              </w:rPr>
              <w:t>891.7</w:t>
            </w:r>
          </w:p>
        </w:tc>
        <w:tc>
          <w:tcPr>
            <w:tcW w:w="4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100.0 %</w:t>
            </w:r>
          </w:p>
        </w:tc>
        <w:tc>
          <w:tcPr>
            <w:tcW w:w="240" w:type="dxa"/>
            <w:vAlign w:val="bottom"/>
            <w:tcBorders>
              <w:bottom w:val="single" w:sz="8" w:color="DBDBDB"/>
            </w:tcBorders>
            <w:shd w:val="clear" w:color="auto" w:fill="DBDBDB"/>
          </w:tcPr>
          <w:p>
            <w:pPr>
              <w:spacing w:after="0"/>
              <w:rPr>
                <w:sz w:val="13"/>
                <w:szCs w:val="13"/>
                <w:color w:val="auto"/>
              </w:rPr>
            </w:pPr>
          </w:p>
        </w:tc>
        <w:tc>
          <w:tcPr>
            <w:tcW w:w="420" w:type="dxa"/>
            <w:vAlign w:val="bottom"/>
            <w:tcBorders>
              <w:bottom w:val="single" w:sz="8" w:color="DBDBDB"/>
            </w:tcBorders>
            <w:shd w:val="clear" w:color="auto" w:fill="DBDBDB"/>
          </w:tcPr>
          <w:p>
            <w:pPr>
              <w:jc w:val="right"/>
              <w:ind w:right="303"/>
              <w:spacing w:after="0" w:line="126" w:lineRule="exact"/>
              <w:rPr>
                <w:sz w:val="20"/>
                <w:szCs w:val="20"/>
                <w:color w:val="auto"/>
              </w:rPr>
            </w:pPr>
            <w:r>
              <w:rPr>
                <w:rFonts w:ascii="Calibri" w:cs="Calibri" w:eastAsia="Calibri" w:hAnsi="Calibri"/>
                <w:sz w:val="11"/>
                <w:szCs w:val="11"/>
                <w:color w:val="auto"/>
                <w:w w:val="70"/>
              </w:rPr>
              <w:t>$</w:t>
            </w:r>
          </w:p>
        </w:tc>
        <w:tc>
          <w:tcPr>
            <w:tcW w:w="1000" w:type="dxa"/>
            <w:vAlign w:val="bottom"/>
            <w:tcBorders>
              <w:bottom w:val="single" w:sz="8" w:color="DBDBDB"/>
            </w:tcBorders>
            <w:shd w:val="clear" w:color="auto" w:fill="DBDBDB"/>
          </w:tcPr>
          <w:p>
            <w:pPr>
              <w:jc w:val="right"/>
              <w:ind w:right="303"/>
              <w:spacing w:after="0" w:line="126" w:lineRule="exact"/>
              <w:rPr>
                <w:sz w:val="20"/>
                <w:szCs w:val="20"/>
                <w:color w:val="auto"/>
              </w:rPr>
            </w:pPr>
            <w:r>
              <w:rPr>
                <w:rFonts w:ascii="Calibri" w:cs="Calibri" w:eastAsia="Calibri" w:hAnsi="Calibri"/>
                <w:sz w:val="11"/>
                <w:szCs w:val="11"/>
                <w:color w:val="auto"/>
              </w:rPr>
              <w:t>862.3</w:t>
            </w:r>
          </w:p>
        </w:tc>
        <w:tc>
          <w:tcPr>
            <w:tcW w:w="6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100.0 %</w:t>
            </w:r>
          </w:p>
        </w:tc>
        <w:tc>
          <w:tcPr>
            <w:tcW w:w="0" w:type="dxa"/>
            <w:vAlign w:val="bottom"/>
          </w:tcPr>
          <w:p>
            <w:pPr>
              <w:spacing w:after="0"/>
              <w:rPr>
                <w:sz w:val="1"/>
                <w:szCs w:val="1"/>
                <w:color w:val="auto"/>
              </w:rPr>
            </w:pPr>
          </w:p>
        </w:tc>
      </w:tr>
      <w:tr>
        <w:trPr>
          <w:trHeight w:val="135"/>
        </w:trPr>
        <w:tc>
          <w:tcPr>
            <w:tcW w:w="4600" w:type="dxa"/>
            <w:vAlign w:val="bottom"/>
          </w:tcPr>
          <w:p>
            <w:pPr>
              <w:ind w:left="20"/>
              <w:spacing w:after="0"/>
              <w:rPr>
                <w:sz w:val="20"/>
                <w:szCs w:val="20"/>
                <w:color w:val="auto"/>
              </w:rPr>
            </w:pPr>
            <w:r>
              <w:rPr>
                <w:rFonts w:ascii="Calibri" w:cs="Calibri" w:eastAsia="Calibri" w:hAnsi="Calibri"/>
                <w:sz w:val="11"/>
                <w:szCs w:val="11"/>
                <w:color w:val="auto"/>
              </w:rPr>
              <w:t>Cost of sales</w:t>
            </w:r>
          </w:p>
        </w:tc>
        <w:tc>
          <w:tcPr>
            <w:tcW w:w="400" w:type="dxa"/>
            <w:vAlign w:val="bottom"/>
          </w:tcPr>
          <w:p>
            <w:pPr>
              <w:spacing w:after="0"/>
              <w:rPr>
                <w:sz w:val="11"/>
                <w:szCs w:val="11"/>
                <w:color w:val="auto"/>
              </w:rPr>
            </w:pPr>
          </w:p>
        </w:tc>
        <w:tc>
          <w:tcPr>
            <w:tcW w:w="1020" w:type="dxa"/>
            <w:vAlign w:val="bottom"/>
          </w:tcPr>
          <w:p>
            <w:pPr>
              <w:jc w:val="right"/>
              <w:ind w:right="303"/>
              <w:spacing w:after="0"/>
              <w:rPr>
                <w:sz w:val="20"/>
                <w:szCs w:val="20"/>
                <w:color w:val="auto"/>
              </w:rPr>
            </w:pPr>
            <w:r>
              <w:rPr>
                <w:rFonts w:ascii="Calibri" w:cs="Calibri" w:eastAsia="Calibri" w:hAnsi="Calibri"/>
                <w:sz w:val="11"/>
                <w:szCs w:val="11"/>
                <w:color w:val="auto"/>
              </w:rPr>
              <w:t>956.1</w:t>
            </w:r>
          </w:p>
        </w:tc>
        <w:tc>
          <w:tcPr>
            <w:tcW w:w="660" w:type="dxa"/>
            <w:vAlign w:val="bottom"/>
          </w:tcPr>
          <w:p>
            <w:pPr>
              <w:jc w:val="right"/>
              <w:spacing w:after="0"/>
              <w:rPr>
                <w:sz w:val="20"/>
                <w:szCs w:val="20"/>
                <w:color w:val="auto"/>
              </w:rPr>
            </w:pPr>
            <w:r>
              <w:rPr>
                <w:rFonts w:ascii="Calibri" w:cs="Calibri" w:eastAsia="Calibri" w:hAnsi="Calibri"/>
                <w:sz w:val="11"/>
                <w:szCs w:val="11"/>
                <w:color w:val="auto"/>
              </w:rPr>
              <w:t>91.4 %</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ind w:right="543"/>
              <w:spacing w:after="0"/>
              <w:rPr>
                <w:sz w:val="20"/>
                <w:szCs w:val="20"/>
                <w:color w:val="auto"/>
              </w:rPr>
            </w:pPr>
            <w:r>
              <w:rPr>
                <w:rFonts w:ascii="Calibri" w:cs="Calibri" w:eastAsia="Calibri" w:hAnsi="Calibri"/>
                <w:sz w:val="11"/>
                <w:szCs w:val="11"/>
                <w:color w:val="auto"/>
              </w:rPr>
              <w:t>767.2</w:t>
            </w:r>
          </w:p>
        </w:tc>
        <w:tc>
          <w:tcPr>
            <w:tcW w:w="420" w:type="dxa"/>
            <w:vAlign w:val="bottom"/>
          </w:tcPr>
          <w:p>
            <w:pPr>
              <w:jc w:val="right"/>
              <w:spacing w:after="0"/>
              <w:rPr>
                <w:sz w:val="20"/>
                <w:szCs w:val="20"/>
                <w:color w:val="auto"/>
              </w:rPr>
            </w:pPr>
            <w:r>
              <w:rPr>
                <w:rFonts w:ascii="Calibri" w:cs="Calibri" w:eastAsia="Calibri" w:hAnsi="Calibri"/>
                <w:sz w:val="11"/>
                <w:szCs w:val="11"/>
                <w:color w:val="auto"/>
              </w:rPr>
              <w:t>86.0 %</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jc w:val="right"/>
              <w:ind w:right="303"/>
              <w:spacing w:after="0"/>
              <w:rPr>
                <w:sz w:val="20"/>
                <w:szCs w:val="20"/>
                <w:color w:val="auto"/>
              </w:rPr>
            </w:pPr>
            <w:r>
              <w:rPr>
                <w:rFonts w:ascii="Calibri" w:cs="Calibri" w:eastAsia="Calibri" w:hAnsi="Calibri"/>
                <w:sz w:val="11"/>
                <w:szCs w:val="11"/>
                <w:color w:val="auto"/>
              </w:rPr>
              <w:t>737.7</w:t>
            </w:r>
          </w:p>
        </w:tc>
        <w:tc>
          <w:tcPr>
            <w:tcW w:w="640" w:type="dxa"/>
            <w:vAlign w:val="bottom"/>
          </w:tcPr>
          <w:p>
            <w:pPr>
              <w:jc w:val="right"/>
              <w:spacing w:after="0"/>
              <w:rPr>
                <w:sz w:val="20"/>
                <w:szCs w:val="20"/>
                <w:color w:val="auto"/>
              </w:rPr>
            </w:pPr>
            <w:r>
              <w:rPr>
                <w:rFonts w:ascii="Calibri" w:cs="Calibri" w:eastAsia="Calibri" w:hAnsi="Calibri"/>
                <w:sz w:val="11"/>
                <w:szCs w:val="11"/>
                <w:color w:val="auto"/>
              </w:rPr>
              <w:t>85.6 %</w:t>
            </w:r>
          </w:p>
        </w:tc>
        <w:tc>
          <w:tcPr>
            <w:tcW w:w="0" w:type="dxa"/>
            <w:vAlign w:val="bottom"/>
          </w:tcPr>
          <w:p>
            <w:pPr>
              <w:spacing w:after="0"/>
              <w:rPr>
                <w:sz w:val="1"/>
                <w:szCs w:val="1"/>
                <w:color w:val="auto"/>
              </w:rPr>
            </w:pPr>
          </w:p>
        </w:tc>
      </w:tr>
      <w:tr>
        <w:trPr>
          <w:trHeight w:val="46"/>
        </w:trPr>
        <w:tc>
          <w:tcPr>
            <w:tcW w:w="4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4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Gross proft</w:t>
            </w:r>
          </w:p>
        </w:tc>
        <w:tc>
          <w:tcPr>
            <w:tcW w:w="40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ind w:right="303"/>
              <w:spacing w:after="0" w:line="126" w:lineRule="exact"/>
              <w:rPr>
                <w:sz w:val="20"/>
                <w:szCs w:val="20"/>
                <w:color w:val="auto"/>
              </w:rPr>
            </w:pPr>
            <w:r>
              <w:rPr>
                <w:rFonts w:ascii="Calibri" w:cs="Calibri" w:eastAsia="Calibri" w:hAnsi="Calibri"/>
                <w:sz w:val="11"/>
                <w:szCs w:val="11"/>
                <w:color w:val="auto"/>
              </w:rPr>
              <w:t>89.8</w:t>
            </w:r>
          </w:p>
        </w:tc>
        <w:tc>
          <w:tcPr>
            <w:tcW w:w="6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8.6 %</w:t>
            </w:r>
          </w:p>
        </w:tc>
        <w:tc>
          <w:tcPr>
            <w:tcW w:w="24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1380" w:type="dxa"/>
            <w:vAlign w:val="bottom"/>
            <w:tcBorders>
              <w:bottom w:val="single" w:sz="8" w:color="DBDBDB"/>
            </w:tcBorders>
            <w:shd w:val="clear" w:color="auto" w:fill="DBDBDB"/>
          </w:tcPr>
          <w:p>
            <w:pPr>
              <w:jc w:val="right"/>
              <w:ind w:right="543"/>
              <w:spacing w:after="0" w:line="126" w:lineRule="exact"/>
              <w:rPr>
                <w:sz w:val="20"/>
                <w:szCs w:val="20"/>
                <w:color w:val="auto"/>
              </w:rPr>
            </w:pPr>
            <w:r>
              <w:rPr>
                <w:rFonts w:ascii="Calibri" w:cs="Calibri" w:eastAsia="Calibri" w:hAnsi="Calibri"/>
                <w:sz w:val="11"/>
                <w:szCs w:val="11"/>
                <w:color w:val="auto"/>
              </w:rPr>
              <w:t>124.5</w:t>
            </w:r>
          </w:p>
        </w:tc>
        <w:tc>
          <w:tcPr>
            <w:tcW w:w="4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14.0 %</w:t>
            </w:r>
          </w:p>
        </w:tc>
        <w:tc>
          <w:tcPr>
            <w:tcW w:w="240" w:type="dxa"/>
            <w:vAlign w:val="bottom"/>
            <w:tcBorders>
              <w:bottom w:val="single" w:sz="8" w:color="DBDBDB"/>
            </w:tcBorders>
            <w:shd w:val="clear" w:color="auto" w:fill="DBDBDB"/>
          </w:tcPr>
          <w:p>
            <w:pPr>
              <w:spacing w:after="0"/>
              <w:rPr>
                <w:sz w:val="13"/>
                <w:szCs w:val="13"/>
                <w:color w:val="auto"/>
              </w:rPr>
            </w:pPr>
          </w:p>
        </w:tc>
        <w:tc>
          <w:tcPr>
            <w:tcW w:w="4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303"/>
              <w:spacing w:after="0" w:line="126" w:lineRule="exact"/>
              <w:rPr>
                <w:sz w:val="20"/>
                <w:szCs w:val="20"/>
                <w:color w:val="auto"/>
              </w:rPr>
            </w:pPr>
            <w:r>
              <w:rPr>
                <w:rFonts w:ascii="Calibri" w:cs="Calibri" w:eastAsia="Calibri" w:hAnsi="Calibri"/>
                <w:sz w:val="11"/>
                <w:szCs w:val="11"/>
                <w:color w:val="auto"/>
              </w:rPr>
              <w:t>124.6</w:t>
            </w:r>
          </w:p>
        </w:tc>
        <w:tc>
          <w:tcPr>
            <w:tcW w:w="6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14.4 %</w:t>
            </w:r>
          </w:p>
        </w:tc>
        <w:tc>
          <w:tcPr>
            <w:tcW w:w="0" w:type="dxa"/>
            <w:vAlign w:val="bottom"/>
          </w:tcPr>
          <w:p>
            <w:pPr>
              <w:spacing w:after="0"/>
              <w:rPr>
                <w:sz w:val="1"/>
                <w:szCs w:val="1"/>
                <w:color w:val="auto"/>
              </w:rPr>
            </w:pPr>
          </w:p>
        </w:tc>
      </w:tr>
      <w:tr>
        <w:trPr>
          <w:trHeight w:val="135"/>
        </w:trPr>
        <w:tc>
          <w:tcPr>
            <w:tcW w:w="4600" w:type="dxa"/>
            <w:vAlign w:val="bottom"/>
          </w:tcPr>
          <w:p>
            <w:pPr>
              <w:ind w:left="20"/>
              <w:spacing w:after="0"/>
              <w:rPr>
                <w:sz w:val="20"/>
                <w:szCs w:val="20"/>
                <w:color w:val="auto"/>
              </w:rPr>
            </w:pPr>
            <w:r>
              <w:rPr>
                <w:rFonts w:ascii="Calibri" w:cs="Calibri" w:eastAsia="Calibri" w:hAnsi="Calibri"/>
                <w:sz w:val="11"/>
                <w:szCs w:val="11"/>
                <w:color w:val="auto"/>
              </w:rPr>
              <w:t>Selling, general and administratve expenses</w:t>
            </w:r>
          </w:p>
        </w:tc>
        <w:tc>
          <w:tcPr>
            <w:tcW w:w="400" w:type="dxa"/>
            <w:vAlign w:val="bottom"/>
          </w:tcPr>
          <w:p>
            <w:pPr>
              <w:spacing w:after="0"/>
              <w:rPr>
                <w:sz w:val="11"/>
                <w:szCs w:val="11"/>
                <w:color w:val="auto"/>
              </w:rPr>
            </w:pPr>
          </w:p>
        </w:tc>
        <w:tc>
          <w:tcPr>
            <w:tcW w:w="1020" w:type="dxa"/>
            <w:vAlign w:val="bottom"/>
          </w:tcPr>
          <w:p>
            <w:pPr>
              <w:jc w:val="right"/>
              <w:ind w:right="303"/>
              <w:spacing w:after="0"/>
              <w:rPr>
                <w:sz w:val="20"/>
                <w:szCs w:val="20"/>
                <w:color w:val="auto"/>
              </w:rPr>
            </w:pPr>
            <w:r>
              <w:rPr>
                <w:rFonts w:ascii="Calibri" w:cs="Calibri" w:eastAsia="Calibri" w:hAnsi="Calibri"/>
                <w:sz w:val="11"/>
                <w:szCs w:val="11"/>
                <w:color w:val="auto"/>
              </w:rPr>
              <w:t>77.5</w:t>
            </w:r>
          </w:p>
        </w:tc>
        <w:tc>
          <w:tcPr>
            <w:tcW w:w="660" w:type="dxa"/>
            <w:vAlign w:val="bottom"/>
          </w:tcPr>
          <w:p>
            <w:pPr>
              <w:jc w:val="right"/>
              <w:spacing w:after="0"/>
              <w:rPr>
                <w:sz w:val="20"/>
                <w:szCs w:val="20"/>
                <w:color w:val="auto"/>
              </w:rPr>
            </w:pPr>
            <w:r>
              <w:rPr>
                <w:rFonts w:ascii="Calibri" w:cs="Calibri" w:eastAsia="Calibri" w:hAnsi="Calibri"/>
                <w:sz w:val="11"/>
                <w:szCs w:val="11"/>
                <w:color w:val="auto"/>
              </w:rPr>
              <w:t>7.4 %</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ind w:right="543"/>
              <w:spacing w:after="0"/>
              <w:rPr>
                <w:sz w:val="20"/>
                <w:szCs w:val="20"/>
                <w:color w:val="auto"/>
              </w:rPr>
            </w:pPr>
            <w:r>
              <w:rPr>
                <w:rFonts w:ascii="Calibri" w:cs="Calibri" w:eastAsia="Calibri" w:hAnsi="Calibri"/>
                <w:sz w:val="11"/>
                <w:szCs w:val="11"/>
                <w:color w:val="auto"/>
              </w:rPr>
              <w:t>63.6</w:t>
            </w:r>
          </w:p>
        </w:tc>
        <w:tc>
          <w:tcPr>
            <w:tcW w:w="420" w:type="dxa"/>
            <w:vAlign w:val="bottom"/>
          </w:tcPr>
          <w:p>
            <w:pPr>
              <w:jc w:val="right"/>
              <w:spacing w:after="0"/>
              <w:rPr>
                <w:sz w:val="20"/>
                <w:szCs w:val="20"/>
                <w:color w:val="auto"/>
              </w:rPr>
            </w:pPr>
            <w:r>
              <w:rPr>
                <w:rFonts w:ascii="Calibri" w:cs="Calibri" w:eastAsia="Calibri" w:hAnsi="Calibri"/>
                <w:sz w:val="11"/>
                <w:szCs w:val="11"/>
                <w:color w:val="auto"/>
              </w:rPr>
              <w:t>7.1 %</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jc w:val="right"/>
              <w:ind w:right="303"/>
              <w:spacing w:after="0"/>
              <w:rPr>
                <w:sz w:val="20"/>
                <w:szCs w:val="20"/>
                <w:color w:val="auto"/>
              </w:rPr>
            </w:pPr>
            <w:r>
              <w:rPr>
                <w:rFonts w:ascii="Calibri" w:cs="Calibri" w:eastAsia="Calibri" w:hAnsi="Calibri"/>
                <w:sz w:val="11"/>
                <w:szCs w:val="11"/>
                <w:color w:val="auto"/>
              </w:rPr>
              <w:t>56.2</w:t>
            </w:r>
          </w:p>
        </w:tc>
        <w:tc>
          <w:tcPr>
            <w:tcW w:w="640" w:type="dxa"/>
            <w:vAlign w:val="bottom"/>
          </w:tcPr>
          <w:p>
            <w:pPr>
              <w:jc w:val="right"/>
              <w:spacing w:after="0"/>
              <w:rPr>
                <w:sz w:val="20"/>
                <w:szCs w:val="20"/>
                <w:color w:val="auto"/>
              </w:rPr>
            </w:pPr>
            <w:r>
              <w:rPr>
                <w:rFonts w:ascii="Calibri" w:cs="Calibri" w:eastAsia="Calibri" w:hAnsi="Calibri"/>
                <w:sz w:val="11"/>
                <w:szCs w:val="11"/>
                <w:color w:val="auto"/>
              </w:rPr>
              <w:t>6.5 %</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Goodwill impairment</w:t>
            </w:r>
          </w:p>
        </w:tc>
        <w:tc>
          <w:tcPr>
            <w:tcW w:w="40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49.5</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4.7 %</w:t>
            </w:r>
          </w:p>
        </w:tc>
        <w:tc>
          <w:tcPr>
            <w:tcW w:w="2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ind w:right="54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Calibri" w:cs="Calibri" w:eastAsia="Calibri" w:hAnsi="Calibri"/>
                <w:sz w:val="11"/>
                <w:szCs w:val="11"/>
                <w:color w:val="auto"/>
              </w:rPr>
              <w:t>— %</w:t>
            </w:r>
          </w:p>
        </w:tc>
        <w:tc>
          <w:tcPr>
            <w:tcW w:w="4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 %</w:t>
            </w:r>
          </w:p>
        </w:tc>
        <w:tc>
          <w:tcPr>
            <w:tcW w:w="0" w:type="dxa"/>
            <w:vAlign w:val="bottom"/>
          </w:tcPr>
          <w:p>
            <w:pPr>
              <w:spacing w:after="0"/>
              <w:rPr>
                <w:sz w:val="1"/>
                <w:szCs w:val="1"/>
                <w:color w:val="auto"/>
              </w:rPr>
            </w:pPr>
          </w:p>
        </w:tc>
      </w:tr>
      <w:tr>
        <w:trPr>
          <w:trHeight w:val="125"/>
        </w:trPr>
        <w:tc>
          <w:tcPr>
            <w:tcW w:w="46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Operatng (loss) income</w:t>
            </w:r>
          </w:p>
        </w:tc>
        <w:tc>
          <w:tcPr>
            <w:tcW w:w="4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63"/>
              <w:spacing w:after="0" w:line="126" w:lineRule="exact"/>
              <w:rPr>
                <w:sz w:val="20"/>
                <w:szCs w:val="20"/>
                <w:color w:val="auto"/>
              </w:rPr>
            </w:pPr>
            <w:r>
              <w:rPr>
                <w:rFonts w:ascii="Calibri" w:cs="Calibri" w:eastAsia="Calibri" w:hAnsi="Calibri"/>
                <w:sz w:val="11"/>
                <w:szCs w:val="11"/>
                <w:color w:val="auto"/>
              </w:rPr>
              <w:t>(37.2)</w:t>
            </w:r>
          </w:p>
        </w:tc>
        <w:tc>
          <w:tcPr>
            <w:tcW w:w="6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(3.6)%</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543"/>
              <w:spacing w:after="0" w:line="126" w:lineRule="exact"/>
              <w:rPr>
                <w:sz w:val="20"/>
                <w:szCs w:val="20"/>
                <w:color w:val="auto"/>
              </w:rPr>
            </w:pPr>
            <w:r>
              <w:rPr>
                <w:rFonts w:ascii="Calibri" w:cs="Calibri" w:eastAsia="Calibri" w:hAnsi="Calibri"/>
                <w:sz w:val="11"/>
                <w:szCs w:val="11"/>
                <w:color w:val="auto"/>
              </w:rPr>
              <w:t>60.9</w:t>
            </w:r>
          </w:p>
        </w:tc>
        <w:tc>
          <w:tcPr>
            <w:tcW w:w="4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6.8 %</w:t>
            </w: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03"/>
              <w:spacing w:after="0" w:line="126" w:lineRule="exact"/>
              <w:rPr>
                <w:sz w:val="20"/>
                <w:szCs w:val="20"/>
                <w:color w:val="auto"/>
              </w:rPr>
            </w:pPr>
            <w:r>
              <w:rPr>
                <w:rFonts w:ascii="Calibri" w:cs="Calibri" w:eastAsia="Calibri" w:hAnsi="Calibri"/>
                <w:sz w:val="11"/>
                <w:szCs w:val="11"/>
                <w:color w:val="auto"/>
              </w:rPr>
              <w:t>68.4</w:t>
            </w:r>
          </w:p>
        </w:tc>
        <w:tc>
          <w:tcPr>
            <w:tcW w:w="64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7.9 %</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Interest expense</w:t>
            </w:r>
          </w:p>
        </w:tc>
        <w:tc>
          <w:tcPr>
            <w:tcW w:w="40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ind w:right="263"/>
              <w:spacing w:after="0"/>
              <w:rPr>
                <w:sz w:val="20"/>
                <w:szCs w:val="20"/>
                <w:color w:val="auto"/>
              </w:rPr>
            </w:pPr>
            <w:r>
              <w:rPr>
                <w:rFonts w:ascii="Calibri" w:cs="Calibri" w:eastAsia="Calibri" w:hAnsi="Calibri"/>
                <w:sz w:val="11"/>
                <w:szCs w:val="11"/>
                <w:color w:val="auto"/>
              </w:rPr>
              <w:t>(5.5)</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(0.5)%</w:t>
            </w:r>
          </w:p>
        </w:tc>
        <w:tc>
          <w:tcPr>
            <w:tcW w:w="24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1380" w:type="dxa"/>
            <w:vAlign w:val="bottom"/>
            <w:tcBorders>
              <w:bottom w:val="single" w:sz="8" w:color="DBDBDB"/>
            </w:tcBorders>
            <w:shd w:val="clear" w:color="auto" w:fill="DBDBDB"/>
          </w:tcPr>
          <w:p>
            <w:pPr>
              <w:jc w:val="right"/>
              <w:ind w:right="503"/>
              <w:spacing w:after="0"/>
              <w:rPr>
                <w:sz w:val="20"/>
                <w:szCs w:val="20"/>
                <w:color w:val="auto"/>
              </w:rPr>
            </w:pPr>
            <w:r>
              <w:rPr>
                <w:rFonts w:ascii="Calibri" w:cs="Calibri" w:eastAsia="Calibri" w:hAnsi="Calibri"/>
                <w:sz w:val="11"/>
                <w:szCs w:val="11"/>
                <w:color w:val="auto"/>
              </w:rPr>
              <w:t>(3.7)</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(0.4)%</w:t>
            </w:r>
          </w:p>
        </w:tc>
        <w:tc>
          <w:tcPr>
            <w:tcW w:w="240" w:type="dxa"/>
            <w:vAlign w:val="bottom"/>
            <w:tcBorders>
              <w:bottom w:val="single" w:sz="8" w:color="DBDBDB"/>
            </w:tcBorders>
            <w:shd w:val="clear" w:color="auto" w:fill="DBDBDB"/>
          </w:tcPr>
          <w:p>
            <w:pPr>
              <w:spacing w:after="0"/>
              <w:rPr>
                <w:sz w:val="13"/>
                <w:szCs w:val="13"/>
                <w:color w:val="auto"/>
              </w:rPr>
            </w:pPr>
          </w:p>
        </w:tc>
        <w:tc>
          <w:tcPr>
            <w:tcW w:w="4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283"/>
              <w:spacing w:after="0"/>
              <w:rPr>
                <w:sz w:val="20"/>
                <w:szCs w:val="20"/>
                <w:color w:val="auto"/>
              </w:rPr>
            </w:pPr>
            <w:r>
              <w:rPr>
                <w:rFonts w:ascii="Calibri" w:cs="Calibri" w:eastAsia="Calibri" w:hAnsi="Calibri"/>
                <w:sz w:val="11"/>
                <w:szCs w:val="11"/>
                <w:color w:val="auto"/>
              </w:rPr>
              <w:t>(6.7)</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(0.8)%</w:t>
            </w:r>
          </w:p>
        </w:tc>
        <w:tc>
          <w:tcPr>
            <w:tcW w:w="0" w:type="dxa"/>
            <w:vAlign w:val="bottom"/>
          </w:tcPr>
          <w:p>
            <w:pPr>
              <w:spacing w:after="0"/>
              <w:rPr>
                <w:sz w:val="1"/>
                <w:szCs w:val="1"/>
                <w:color w:val="auto"/>
              </w:rPr>
            </w:pPr>
          </w:p>
        </w:tc>
      </w:tr>
      <w:tr>
        <w:trPr>
          <w:trHeight w:val="135"/>
        </w:trPr>
        <w:tc>
          <w:tcPr>
            <w:tcW w:w="4600" w:type="dxa"/>
            <w:vAlign w:val="bottom"/>
          </w:tcPr>
          <w:p>
            <w:pPr>
              <w:ind w:left="20"/>
              <w:spacing w:after="0"/>
              <w:rPr>
                <w:sz w:val="20"/>
                <w:szCs w:val="20"/>
                <w:color w:val="auto"/>
              </w:rPr>
            </w:pPr>
            <w:r>
              <w:rPr>
                <w:rFonts w:ascii="Calibri" w:cs="Calibri" w:eastAsia="Calibri" w:hAnsi="Calibri"/>
                <w:sz w:val="11"/>
                <w:szCs w:val="11"/>
                <w:color w:val="auto"/>
              </w:rPr>
              <w:t>Equity method income</w:t>
            </w:r>
          </w:p>
        </w:tc>
        <w:tc>
          <w:tcPr>
            <w:tcW w:w="400" w:type="dxa"/>
            <w:vAlign w:val="bottom"/>
          </w:tcPr>
          <w:p>
            <w:pPr>
              <w:spacing w:after="0"/>
              <w:rPr>
                <w:sz w:val="11"/>
                <w:szCs w:val="11"/>
                <w:color w:val="auto"/>
              </w:rPr>
            </w:pPr>
          </w:p>
        </w:tc>
        <w:tc>
          <w:tcPr>
            <w:tcW w:w="1020" w:type="dxa"/>
            <w:vAlign w:val="bottom"/>
          </w:tcPr>
          <w:p>
            <w:pPr>
              <w:jc w:val="right"/>
              <w:ind w:right="303"/>
              <w:spacing w:after="0"/>
              <w:rPr>
                <w:sz w:val="20"/>
                <w:szCs w:val="20"/>
                <w:color w:val="auto"/>
              </w:rPr>
            </w:pPr>
            <w:r>
              <w:rPr>
                <w:rFonts w:ascii="Calibri" w:cs="Calibri" w:eastAsia="Calibri" w:hAnsi="Calibri"/>
                <w:sz w:val="11"/>
                <w:szCs w:val="11"/>
                <w:color w:val="auto"/>
              </w:rPr>
              <w:t>5.1</w:t>
            </w:r>
          </w:p>
        </w:tc>
        <w:tc>
          <w:tcPr>
            <w:tcW w:w="660" w:type="dxa"/>
            <w:vAlign w:val="bottom"/>
          </w:tcPr>
          <w:p>
            <w:pPr>
              <w:jc w:val="right"/>
              <w:spacing w:after="0"/>
              <w:rPr>
                <w:sz w:val="20"/>
                <w:szCs w:val="20"/>
                <w:color w:val="auto"/>
              </w:rPr>
            </w:pPr>
            <w:r>
              <w:rPr>
                <w:rFonts w:ascii="Calibri" w:cs="Calibri" w:eastAsia="Calibri" w:hAnsi="Calibri"/>
                <w:sz w:val="11"/>
                <w:szCs w:val="11"/>
                <w:color w:val="auto"/>
              </w:rPr>
              <w:t>0.5 %</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ind w:right="543"/>
              <w:spacing w:after="0"/>
              <w:rPr>
                <w:sz w:val="20"/>
                <w:szCs w:val="20"/>
                <w:color w:val="auto"/>
              </w:rPr>
            </w:pPr>
            <w:r>
              <w:rPr>
                <w:rFonts w:ascii="Calibri" w:cs="Calibri" w:eastAsia="Calibri" w:hAnsi="Calibri"/>
                <w:sz w:val="11"/>
                <w:szCs w:val="11"/>
                <w:color w:val="auto"/>
              </w:rPr>
              <w:t>7.5</w:t>
            </w:r>
          </w:p>
        </w:tc>
        <w:tc>
          <w:tcPr>
            <w:tcW w:w="420" w:type="dxa"/>
            <w:vAlign w:val="bottom"/>
          </w:tcPr>
          <w:p>
            <w:pPr>
              <w:jc w:val="right"/>
              <w:spacing w:after="0"/>
              <w:rPr>
                <w:sz w:val="20"/>
                <w:szCs w:val="20"/>
                <w:color w:val="auto"/>
              </w:rPr>
            </w:pPr>
            <w:r>
              <w:rPr>
                <w:rFonts w:ascii="Calibri" w:cs="Calibri" w:eastAsia="Calibri" w:hAnsi="Calibri"/>
                <w:sz w:val="11"/>
                <w:szCs w:val="11"/>
                <w:color w:val="auto"/>
              </w:rPr>
              <w:t>0.8 %</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jc w:val="right"/>
              <w:ind w:right="303"/>
              <w:spacing w:after="0"/>
              <w:rPr>
                <w:sz w:val="20"/>
                <w:szCs w:val="20"/>
                <w:color w:val="auto"/>
              </w:rPr>
            </w:pPr>
            <w:r>
              <w:rPr>
                <w:rFonts w:ascii="Calibri" w:cs="Calibri" w:eastAsia="Calibri" w:hAnsi="Calibri"/>
                <w:sz w:val="11"/>
                <w:szCs w:val="11"/>
                <w:color w:val="auto"/>
              </w:rPr>
              <w:t>4.0</w:t>
            </w:r>
          </w:p>
        </w:tc>
        <w:tc>
          <w:tcPr>
            <w:tcW w:w="640" w:type="dxa"/>
            <w:vAlign w:val="bottom"/>
          </w:tcPr>
          <w:p>
            <w:pPr>
              <w:jc w:val="right"/>
              <w:spacing w:after="0"/>
              <w:rPr>
                <w:sz w:val="20"/>
                <w:szCs w:val="20"/>
                <w:color w:val="auto"/>
              </w:rPr>
            </w:pPr>
            <w:r>
              <w:rPr>
                <w:rFonts w:ascii="Calibri" w:cs="Calibri" w:eastAsia="Calibri" w:hAnsi="Calibri"/>
                <w:sz w:val="11"/>
                <w:szCs w:val="11"/>
                <w:color w:val="auto"/>
              </w:rPr>
              <w:t>0.5 %</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Remeasurement gain on acquisiton of equity method investee</w:t>
            </w:r>
          </w:p>
        </w:tc>
        <w:tc>
          <w:tcPr>
            <w:tcW w:w="40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2.0</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0.2 %</w:t>
            </w:r>
          </w:p>
        </w:tc>
        <w:tc>
          <w:tcPr>
            <w:tcW w:w="24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1380" w:type="dxa"/>
            <w:vAlign w:val="bottom"/>
            <w:tcBorders>
              <w:bottom w:val="single" w:sz="8" w:color="DBDBDB"/>
            </w:tcBorders>
            <w:shd w:val="clear" w:color="auto" w:fill="DBDBDB"/>
          </w:tcPr>
          <w:p>
            <w:pPr>
              <w:jc w:val="right"/>
              <w:ind w:right="54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Calibri" w:cs="Calibri" w:eastAsia="Calibri" w:hAnsi="Calibri"/>
                <w:sz w:val="11"/>
                <w:szCs w:val="11"/>
                <w:color w:val="auto"/>
              </w:rPr>
              <w:t>— %</w:t>
            </w:r>
          </w:p>
        </w:tc>
        <w:tc>
          <w:tcPr>
            <w:tcW w:w="4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 %</w:t>
            </w:r>
          </w:p>
        </w:tc>
        <w:tc>
          <w:tcPr>
            <w:tcW w:w="0" w:type="dxa"/>
            <w:vAlign w:val="bottom"/>
          </w:tcPr>
          <w:p>
            <w:pPr>
              <w:spacing w:after="0"/>
              <w:rPr>
                <w:sz w:val="1"/>
                <w:szCs w:val="1"/>
                <w:color w:val="auto"/>
              </w:rPr>
            </w:pPr>
          </w:p>
        </w:tc>
      </w:tr>
      <w:tr>
        <w:trPr>
          <w:trHeight w:val="135"/>
        </w:trPr>
        <w:tc>
          <w:tcPr>
            <w:tcW w:w="4600" w:type="dxa"/>
            <w:vAlign w:val="bottom"/>
          </w:tcPr>
          <w:p>
            <w:pPr>
              <w:ind w:left="20"/>
              <w:spacing w:after="0"/>
              <w:rPr>
                <w:sz w:val="20"/>
                <w:szCs w:val="20"/>
                <w:color w:val="auto"/>
              </w:rPr>
            </w:pPr>
            <w:r>
              <w:rPr>
                <w:rFonts w:ascii="Calibri" w:cs="Calibri" w:eastAsia="Calibri" w:hAnsi="Calibri"/>
                <w:sz w:val="11"/>
                <w:szCs w:val="11"/>
                <w:color w:val="auto"/>
              </w:rPr>
              <w:t>Impairment on equity method investment</w:t>
            </w:r>
          </w:p>
        </w:tc>
        <w:tc>
          <w:tcPr>
            <w:tcW w:w="400" w:type="dxa"/>
            <w:vAlign w:val="bottom"/>
          </w:tcPr>
          <w:p>
            <w:pPr>
              <w:spacing w:after="0"/>
              <w:rPr>
                <w:sz w:val="11"/>
                <w:szCs w:val="11"/>
                <w:color w:val="auto"/>
              </w:rPr>
            </w:pPr>
          </w:p>
        </w:tc>
        <w:tc>
          <w:tcPr>
            <w:tcW w:w="1020" w:type="dxa"/>
            <w:vAlign w:val="bottom"/>
          </w:tcPr>
          <w:p>
            <w:pPr>
              <w:jc w:val="right"/>
              <w:ind w:right="303"/>
              <w:spacing w:after="0"/>
              <w:rPr>
                <w:sz w:val="20"/>
                <w:szCs w:val="20"/>
                <w:color w:val="auto"/>
              </w:rPr>
            </w:pPr>
            <w:r>
              <w:rPr>
                <w:rFonts w:ascii="Calibri" w:cs="Calibri" w:eastAsia="Calibri" w:hAnsi="Calibri"/>
                <w:sz w:val="11"/>
                <w:szCs w:val="11"/>
                <w:color w:val="auto"/>
              </w:rPr>
              <w:t>—</w:t>
            </w:r>
          </w:p>
        </w:tc>
        <w:tc>
          <w:tcPr>
            <w:tcW w:w="90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 %</w:t>
            </w:r>
          </w:p>
        </w:tc>
        <w:tc>
          <w:tcPr>
            <w:tcW w:w="260" w:type="dxa"/>
            <w:vAlign w:val="bottom"/>
          </w:tcPr>
          <w:p>
            <w:pPr>
              <w:spacing w:after="0"/>
              <w:rPr>
                <w:sz w:val="11"/>
                <w:szCs w:val="11"/>
                <w:color w:val="auto"/>
              </w:rPr>
            </w:pPr>
          </w:p>
        </w:tc>
        <w:tc>
          <w:tcPr>
            <w:tcW w:w="1380" w:type="dxa"/>
            <w:vAlign w:val="bottom"/>
          </w:tcPr>
          <w:p>
            <w:pPr>
              <w:jc w:val="right"/>
              <w:ind w:right="543"/>
              <w:spacing w:after="0"/>
              <w:rPr>
                <w:sz w:val="20"/>
                <w:szCs w:val="20"/>
                <w:color w:val="auto"/>
              </w:rPr>
            </w:pPr>
            <w:r>
              <w:rPr>
                <w:rFonts w:ascii="Calibri" w:cs="Calibri" w:eastAsia="Calibri" w:hAnsi="Calibri"/>
                <w:sz w:val="11"/>
                <w:szCs w:val="11"/>
                <w:color w:val="auto"/>
              </w:rPr>
              <w:t>—</w:t>
            </w:r>
          </w:p>
        </w:tc>
        <w:tc>
          <w:tcPr>
            <w:tcW w:w="660" w:type="dxa"/>
            <w:vAlign w:val="bottom"/>
            <w:gridSpan w:val="2"/>
          </w:tcPr>
          <w:p>
            <w:pPr>
              <w:jc w:val="right"/>
              <w:ind w:right="260"/>
              <w:spacing w:after="0"/>
              <w:rPr>
                <w:sz w:val="20"/>
                <w:szCs w:val="20"/>
                <w:color w:val="auto"/>
              </w:rPr>
            </w:pPr>
            <w:r>
              <w:rPr>
                <w:rFonts w:ascii="Calibri" w:cs="Calibri" w:eastAsia="Calibri" w:hAnsi="Calibri"/>
                <w:sz w:val="11"/>
                <w:szCs w:val="11"/>
                <w:color w:val="auto"/>
              </w:rPr>
              <w:t>— %</w:t>
            </w:r>
          </w:p>
        </w:tc>
        <w:tc>
          <w:tcPr>
            <w:tcW w:w="420" w:type="dxa"/>
            <w:vAlign w:val="bottom"/>
          </w:tcPr>
          <w:p>
            <w:pPr>
              <w:spacing w:after="0"/>
              <w:rPr>
                <w:sz w:val="11"/>
                <w:szCs w:val="11"/>
                <w:color w:val="auto"/>
              </w:rPr>
            </w:pPr>
          </w:p>
        </w:tc>
        <w:tc>
          <w:tcPr>
            <w:tcW w:w="1000" w:type="dxa"/>
            <w:vAlign w:val="bottom"/>
          </w:tcPr>
          <w:p>
            <w:pPr>
              <w:jc w:val="right"/>
              <w:ind w:right="283"/>
              <w:spacing w:after="0"/>
              <w:rPr>
                <w:sz w:val="20"/>
                <w:szCs w:val="20"/>
                <w:color w:val="auto"/>
              </w:rPr>
            </w:pPr>
            <w:r>
              <w:rPr>
                <w:rFonts w:ascii="Calibri" w:cs="Calibri" w:eastAsia="Calibri" w:hAnsi="Calibri"/>
                <w:sz w:val="11"/>
                <w:szCs w:val="11"/>
                <w:color w:val="auto"/>
              </w:rPr>
              <w:t>(21.2)</w:t>
            </w:r>
          </w:p>
        </w:tc>
        <w:tc>
          <w:tcPr>
            <w:tcW w:w="640" w:type="dxa"/>
            <w:vAlign w:val="bottom"/>
          </w:tcPr>
          <w:p>
            <w:pPr>
              <w:jc w:val="right"/>
              <w:spacing w:after="0"/>
              <w:rPr>
                <w:sz w:val="20"/>
                <w:szCs w:val="20"/>
                <w:color w:val="auto"/>
              </w:rPr>
            </w:pPr>
            <w:r>
              <w:rPr>
                <w:rFonts w:ascii="Calibri" w:cs="Calibri" w:eastAsia="Calibri" w:hAnsi="Calibri"/>
                <w:sz w:val="11"/>
                <w:szCs w:val="11"/>
                <w:color w:val="auto"/>
              </w:rPr>
              <w:t>(2.5)%</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Other income (expense), net</w:t>
            </w:r>
          </w:p>
        </w:tc>
        <w:tc>
          <w:tcPr>
            <w:tcW w:w="40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4.4</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0.4 %</w:t>
            </w:r>
          </w:p>
        </w:tc>
        <w:tc>
          <w:tcPr>
            <w:tcW w:w="2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ind w:right="543"/>
              <w:spacing w:after="0"/>
              <w:rPr>
                <w:sz w:val="20"/>
                <w:szCs w:val="20"/>
                <w:color w:val="auto"/>
              </w:rPr>
            </w:pPr>
            <w:r>
              <w:rPr>
                <w:rFonts w:ascii="Calibri" w:cs="Calibri" w:eastAsia="Calibri" w:hAnsi="Calibri"/>
                <w:sz w:val="11"/>
                <w:szCs w:val="11"/>
                <w:color w:val="auto"/>
              </w:rPr>
              <w:t>1.3</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0.1 %</w:t>
            </w:r>
          </w:p>
        </w:tc>
        <w:tc>
          <w:tcPr>
            <w:tcW w:w="24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283"/>
              <w:spacing w:after="0"/>
              <w:rPr>
                <w:sz w:val="20"/>
                <w:szCs w:val="20"/>
                <w:color w:val="auto"/>
              </w:rPr>
            </w:pPr>
            <w:r>
              <w:rPr>
                <w:rFonts w:ascii="Calibri" w:cs="Calibri" w:eastAsia="Calibri" w:hAnsi="Calibri"/>
                <w:sz w:val="11"/>
                <w:szCs w:val="11"/>
                <w:color w:val="auto"/>
              </w:rPr>
              <w:t>(0.7)</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(0.1)%</w:t>
            </w:r>
          </w:p>
        </w:tc>
        <w:tc>
          <w:tcPr>
            <w:tcW w:w="0" w:type="dxa"/>
            <w:vAlign w:val="bottom"/>
          </w:tcPr>
          <w:p>
            <w:pPr>
              <w:spacing w:after="0"/>
              <w:rPr>
                <w:sz w:val="1"/>
                <w:szCs w:val="1"/>
                <w:color w:val="auto"/>
              </w:rPr>
            </w:pPr>
          </w:p>
        </w:tc>
      </w:tr>
      <w:tr>
        <w:trPr>
          <w:trHeight w:val="125"/>
        </w:trPr>
        <w:tc>
          <w:tcPr>
            <w:tcW w:w="46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(Loss) income before income taxes</w:t>
            </w:r>
          </w:p>
        </w:tc>
        <w:tc>
          <w:tcPr>
            <w:tcW w:w="4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63"/>
              <w:spacing w:after="0" w:line="126" w:lineRule="exact"/>
              <w:rPr>
                <w:sz w:val="20"/>
                <w:szCs w:val="20"/>
                <w:color w:val="auto"/>
              </w:rPr>
            </w:pPr>
            <w:r>
              <w:rPr>
                <w:rFonts w:ascii="Calibri" w:cs="Calibri" w:eastAsia="Calibri" w:hAnsi="Calibri"/>
                <w:sz w:val="11"/>
                <w:szCs w:val="11"/>
                <w:color w:val="auto"/>
              </w:rPr>
              <w:t>(31.2)</w:t>
            </w:r>
          </w:p>
        </w:tc>
        <w:tc>
          <w:tcPr>
            <w:tcW w:w="6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(3.0)%</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543"/>
              <w:spacing w:after="0" w:line="126" w:lineRule="exact"/>
              <w:rPr>
                <w:sz w:val="20"/>
                <w:szCs w:val="20"/>
                <w:color w:val="auto"/>
              </w:rPr>
            </w:pPr>
            <w:r>
              <w:rPr>
                <w:rFonts w:ascii="Calibri" w:cs="Calibri" w:eastAsia="Calibri" w:hAnsi="Calibri"/>
                <w:sz w:val="11"/>
                <w:szCs w:val="11"/>
                <w:color w:val="auto"/>
              </w:rPr>
              <w:t>66.0</w:t>
            </w:r>
          </w:p>
        </w:tc>
        <w:tc>
          <w:tcPr>
            <w:tcW w:w="4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7.4 %</w:t>
            </w: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03"/>
              <w:spacing w:after="0" w:line="126" w:lineRule="exact"/>
              <w:rPr>
                <w:sz w:val="20"/>
                <w:szCs w:val="20"/>
                <w:color w:val="auto"/>
              </w:rPr>
            </w:pPr>
            <w:r>
              <w:rPr>
                <w:rFonts w:ascii="Calibri" w:cs="Calibri" w:eastAsia="Calibri" w:hAnsi="Calibri"/>
                <w:sz w:val="11"/>
                <w:szCs w:val="11"/>
                <w:color w:val="auto"/>
              </w:rPr>
              <w:t>43.8</w:t>
            </w:r>
          </w:p>
        </w:tc>
        <w:tc>
          <w:tcPr>
            <w:tcW w:w="64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5.1 %</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Provision for income taxes</w:t>
            </w:r>
          </w:p>
        </w:tc>
        <w:tc>
          <w:tcPr>
            <w:tcW w:w="40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3.7</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0.4 %</w:t>
            </w:r>
          </w:p>
        </w:tc>
        <w:tc>
          <w:tcPr>
            <w:tcW w:w="2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ind w:right="543"/>
              <w:spacing w:after="0"/>
              <w:rPr>
                <w:sz w:val="20"/>
                <w:szCs w:val="20"/>
                <w:color w:val="auto"/>
              </w:rPr>
            </w:pPr>
            <w:r>
              <w:rPr>
                <w:rFonts w:ascii="Calibri" w:cs="Calibri" w:eastAsia="Calibri" w:hAnsi="Calibri"/>
                <w:sz w:val="11"/>
                <w:szCs w:val="11"/>
                <w:color w:val="auto"/>
              </w:rPr>
              <w:t>21.1</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2.4 %</w:t>
            </w:r>
          </w:p>
        </w:tc>
        <w:tc>
          <w:tcPr>
            <w:tcW w:w="240" w:type="dxa"/>
            <w:vAlign w:val="bottom"/>
            <w:tcBorders>
              <w:bottom w:val="single" w:sz="8" w:color="DBDBDB"/>
            </w:tcBorders>
            <w:shd w:val="clear" w:color="auto" w:fill="DBDBDB"/>
          </w:tcPr>
          <w:p>
            <w:pPr>
              <w:spacing w:after="0"/>
              <w:rPr>
                <w:sz w:val="15"/>
                <w:szCs w:val="15"/>
                <w:color w:val="auto"/>
              </w:rPr>
            </w:pPr>
          </w:p>
        </w:tc>
        <w:tc>
          <w:tcPr>
            <w:tcW w:w="4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15.0</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1.7 %</w:t>
            </w:r>
          </w:p>
        </w:tc>
        <w:tc>
          <w:tcPr>
            <w:tcW w:w="0" w:type="dxa"/>
            <w:vAlign w:val="bottom"/>
          </w:tcPr>
          <w:p>
            <w:pPr>
              <w:spacing w:after="0"/>
              <w:rPr>
                <w:sz w:val="1"/>
                <w:szCs w:val="1"/>
                <w:color w:val="auto"/>
              </w:rPr>
            </w:pPr>
          </w:p>
        </w:tc>
      </w:tr>
      <w:tr>
        <w:trPr>
          <w:trHeight w:val="125"/>
        </w:trPr>
        <w:tc>
          <w:tcPr>
            <w:tcW w:w="46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Net (loss) income</w:t>
            </w:r>
          </w:p>
        </w:tc>
        <w:tc>
          <w:tcPr>
            <w:tcW w:w="4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63"/>
              <w:spacing w:after="0" w:line="126" w:lineRule="exact"/>
              <w:rPr>
                <w:sz w:val="20"/>
                <w:szCs w:val="20"/>
                <w:color w:val="auto"/>
              </w:rPr>
            </w:pPr>
            <w:r>
              <w:rPr>
                <w:rFonts w:ascii="Calibri" w:cs="Calibri" w:eastAsia="Calibri" w:hAnsi="Calibri"/>
                <w:sz w:val="11"/>
                <w:szCs w:val="11"/>
                <w:color w:val="auto"/>
              </w:rPr>
              <w:t>(34.9)</w:t>
            </w:r>
          </w:p>
        </w:tc>
        <w:tc>
          <w:tcPr>
            <w:tcW w:w="6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(3.3)%</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543"/>
              <w:spacing w:after="0" w:line="126" w:lineRule="exact"/>
              <w:rPr>
                <w:sz w:val="20"/>
                <w:szCs w:val="20"/>
                <w:color w:val="auto"/>
              </w:rPr>
            </w:pPr>
            <w:r>
              <w:rPr>
                <w:rFonts w:ascii="Calibri" w:cs="Calibri" w:eastAsia="Calibri" w:hAnsi="Calibri"/>
                <w:sz w:val="11"/>
                <w:szCs w:val="11"/>
                <w:color w:val="auto"/>
              </w:rPr>
              <w:t>44.9</w:t>
            </w:r>
          </w:p>
        </w:tc>
        <w:tc>
          <w:tcPr>
            <w:tcW w:w="4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5.0 %</w:t>
            </w: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03"/>
              <w:spacing w:after="0" w:line="126" w:lineRule="exact"/>
              <w:rPr>
                <w:sz w:val="20"/>
                <w:szCs w:val="20"/>
                <w:color w:val="auto"/>
              </w:rPr>
            </w:pPr>
            <w:r>
              <w:rPr>
                <w:rFonts w:ascii="Calibri" w:cs="Calibri" w:eastAsia="Calibri" w:hAnsi="Calibri"/>
                <w:sz w:val="11"/>
                <w:szCs w:val="11"/>
                <w:color w:val="auto"/>
              </w:rPr>
              <w:t>28.8</w:t>
            </w:r>
          </w:p>
        </w:tc>
        <w:tc>
          <w:tcPr>
            <w:tcW w:w="64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3.3 %</w:t>
            </w:r>
          </w:p>
        </w:tc>
        <w:tc>
          <w:tcPr>
            <w:tcW w:w="0" w:type="dxa"/>
            <w:vAlign w:val="bottom"/>
          </w:tcPr>
          <w:p>
            <w:pPr>
              <w:spacing w:after="0"/>
              <w:rPr>
                <w:sz w:val="1"/>
                <w:szCs w:val="1"/>
                <w:color w:val="auto"/>
              </w:rPr>
            </w:pPr>
          </w:p>
        </w:tc>
      </w:tr>
      <w:tr>
        <w:trPr>
          <w:trHeight w:val="46"/>
        </w:trPr>
        <w:tc>
          <w:tcPr>
            <w:tcW w:w="4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Net loss atributable to noncontrolling interest</w:t>
            </w:r>
          </w:p>
        </w:tc>
        <w:tc>
          <w:tcPr>
            <w:tcW w:w="40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0.3</w:t>
            </w:r>
          </w:p>
        </w:tc>
        <w:tc>
          <w:tcPr>
            <w:tcW w:w="90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Calibri" w:cs="Calibri" w:eastAsia="Calibri" w:hAnsi="Calibri"/>
                <w:sz w:val="11"/>
                <w:szCs w:val="11"/>
                <w:color w:val="auto"/>
              </w:rPr>
              <w:t>— %</w:t>
            </w:r>
          </w:p>
        </w:tc>
        <w:tc>
          <w:tcPr>
            <w:tcW w:w="26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ind w:right="54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Calibri" w:cs="Calibri" w:eastAsia="Calibri" w:hAnsi="Calibri"/>
                <w:sz w:val="11"/>
                <w:szCs w:val="11"/>
                <w:color w:val="auto"/>
              </w:rPr>
              <w:t>— %</w:t>
            </w:r>
          </w:p>
        </w:tc>
        <w:tc>
          <w:tcPr>
            <w:tcW w:w="4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 %</w:t>
            </w:r>
          </w:p>
        </w:tc>
        <w:tc>
          <w:tcPr>
            <w:tcW w:w="0" w:type="dxa"/>
            <w:vAlign w:val="bottom"/>
          </w:tcPr>
          <w:p>
            <w:pPr>
              <w:spacing w:after="0"/>
              <w:rPr>
                <w:sz w:val="1"/>
                <w:szCs w:val="1"/>
                <w:color w:val="auto"/>
              </w:rPr>
            </w:pPr>
          </w:p>
        </w:tc>
      </w:tr>
      <w:tr>
        <w:trPr>
          <w:trHeight w:val="125"/>
        </w:trPr>
        <w:tc>
          <w:tcPr>
            <w:tcW w:w="46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Net (loss) income atributable to Mission Produce</w:t>
            </w:r>
          </w:p>
        </w:tc>
        <w:tc>
          <w:tcPr>
            <w:tcW w:w="400" w:type="dxa"/>
            <w:vAlign w:val="bottom"/>
            <w:tcBorders>
              <w:top w:val="single" w:sz="8" w:color="auto"/>
            </w:tcBorders>
          </w:tcPr>
          <w:p>
            <w:pPr>
              <w:jc w:val="right"/>
              <w:ind w:right="263"/>
              <w:spacing w:after="0" w:line="126" w:lineRule="exact"/>
              <w:rPr>
                <w:sz w:val="20"/>
                <w:szCs w:val="20"/>
                <w:color w:val="auto"/>
              </w:rPr>
            </w:pPr>
            <w:r>
              <w:rPr>
                <w:rFonts w:ascii="Calibri" w:cs="Calibri" w:eastAsia="Calibri" w:hAnsi="Calibri"/>
                <w:sz w:val="11"/>
                <w:szCs w:val="11"/>
                <w:color w:val="auto"/>
              </w:rPr>
              <w:t>$</w:t>
            </w:r>
          </w:p>
        </w:tc>
        <w:tc>
          <w:tcPr>
            <w:tcW w:w="1020" w:type="dxa"/>
            <w:vAlign w:val="bottom"/>
            <w:tcBorders>
              <w:top w:val="single" w:sz="8" w:color="auto"/>
            </w:tcBorders>
          </w:tcPr>
          <w:p>
            <w:pPr>
              <w:jc w:val="right"/>
              <w:ind w:right="263"/>
              <w:spacing w:after="0" w:line="126" w:lineRule="exact"/>
              <w:rPr>
                <w:sz w:val="20"/>
                <w:szCs w:val="20"/>
                <w:color w:val="auto"/>
              </w:rPr>
            </w:pPr>
            <w:r>
              <w:rPr>
                <w:rFonts w:ascii="Calibri" w:cs="Calibri" w:eastAsia="Calibri" w:hAnsi="Calibri"/>
                <w:sz w:val="11"/>
                <w:szCs w:val="11"/>
                <w:color w:val="auto"/>
              </w:rPr>
              <w:t>(34.6)</w:t>
            </w:r>
          </w:p>
        </w:tc>
        <w:tc>
          <w:tcPr>
            <w:tcW w:w="6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(3.3)%</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ind w:right="143"/>
              <w:spacing w:after="0" w:line="126" w:lineRule="exact"/>
              <w:rPr>
                <w:sz w:val="20"/>
                <w:szCs w:val="20"/>
                <w:color w:val="auto"/>
              </w:rPr>
            </w:pPr>
            <w:r>
              <w:rPr>
                <w:rFonts w:ascii="Calibri" w:cs="Calibri" w:eastAsia="Calibri" w:hAnsi="Calibri"/>
                <w:sz w:val="11"/>
                <w:szCs w:val="11"/>
                <w:color w:val="auto"/>
                <w:w w:val="70"/>
              </w:rPr>
              <w:t>$</w:t>
            </w:r>
          </w:p>
        </w:tc>
        <w:tc>
          <w:tcPr>
            <w:tcW w:w="1380" w:type="dxa"/>
            <w:vAlign w:val="bottom"/>
            <w:tcBorders>
              <w:top w:val="single" w:sz="8" w:color="auto"/>
            </w:tcBorders>
          </w:tcPr>
          <w:p>
            <w:pPr>
              <w:jc w:val="right"/>
              <w:ind w:right="543"/>
              <w:spacing w:after="0" w:line="126" w:lineRule="exact"/>
              <w:rPr>
                <w:sz w:val="20"/>
                <w:szCs w:val="20"/>
                <w:color w:val="auto"/>
              </w:rPr>
            </w:pPr>
            <w:r>
              <w:rPr>
                <w:rFonts w:ascii="Calibri" w:cs="Calibri" w:eastAsia="Calibri" w:hAnsi="Calibri"/>
                <w:sz w:val="11"/>
                <w:szCs w:val="11"/>
                <w:color w:val="auto"/>
              </w:rPr>
              <w:t>44.9</w:t>
            </w:r>
          </w:p>
        </w:tc>
        <w:tc>
          <w:tcPr>
            <w:tcW w:w="4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5.0 %</w:t>
            </w: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03"/>
              <w:spacing w:after="0" w:line="126" w:lineRule="exact"/>
              <w:rPr>
                <w:sz w:val="20"/>
                <w:szCs w:val="20"/>
                <w:color w:val="auto"/>
              </w:rPr>
            </w:pPr>
            <w:r>
              <w:rPr>
                <w:rFonts w:ascii="Calibri" w:cs="Calibri" w:eastAsia="Calibri" w:hAnsi="Calibri"/>
                <w:sz w:val="11"/>
                <w:szCs w:val="11"/>
                <w:color w:val="auto"/>
                <w:w w:val="70"/>
              </w:rPr>
              <w:t>$</w:t>
            </w:r>
          </w:p>
        </w:tc>
        <w:tc>
          <w:tcPr>
            <w:tcW w:w="1000" w:type="dxa"/>
            <w:vAlign w:val="bottom"/>
            <w:tcBorders>
              <w:top w:val="single" w:sz="8" w:color="auto"/>
            </w:tcBorders>
          </w:tcPr>
          <w:p>
            <w:pPr>
              <w:jc w:val="right"/>
              <w:ind w:right="303"/>
              <w:spacing w:after="0" w:line="126" w:lineRule="exact"/>
              <w:rPr>
                <w:sz w:val="20"/>
                <w:szCs w:val="20"/>
                <w:color w:val="auto"/>
              </w:rPr>
            </w:pPr>
            <w:r>
              <w:rPr>
                <w:rFonts w:ascii="Calibri" w:cs="Calibri" w:eastAsia="Calibri" w:hAnsi="Calibri"/>
                <w:sz w:val="11"/>
                <w:szCs w:val="11"/>
                <w:color w:val="auto"/>
              </w:rPr>
              <w:t>28.8</w:t>
            </w:r>
          </w:p>
        </w:tc>
        <w:tc>
          <w:tcPr>
            <w:tcW w:w="64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3.3 %</w:t>
            </w:r>
          </w:p>
        </w:tc>
        <w:tc>
          <w:tcPr>
            <w:tcW w:w="0" w:type="dxa"/>
            <w:vAlign w:val="bottom"/>
          </w:tcPr>
          <w:p>
            <w:pPr>
              <w:spacing w:after="0"/>
              <w:rPr>
                <w:sz w:val="1"/>
                <w:szCs w:val="1"/>
                <w:color w:val="auto"/>
              </w:rPr>
            </w:pPr>
          </w:p>
        </w:tc>
      </w:tr>
      <w:tr>
        <w:trPr>
          <w:trHeight w:val="46"/>
        </w:trPr>
        <w:tc>
          <w:tcPr>
            <w:tcW w:w="4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Net sales</w:t>
      </w:r>
    </w:p>
    <w:p>
      <w:pPr>
        <w:spacing w:after="0" w:line="158" w:lineRule="exact"/>
        <w:rPr>
          <w:sz w:val="20"/>
          <w:szCs w:val="20"/>
          <w:color w:val="auto"/>
        </w:rPr>
      </w:pPr>
    </w:p>
    <w:p>
      <w:pPr>
        <w:ind w:right="280" w:firstLine="509"/>
        <w:spacing w:after="0" w:line="230" w:lineRule="auto"/>
        <w:rPr>
          <w:sz w:val="20"/>
          <w:szCs w:val="20"/>
          <w:color w:val="auto"/>
        </w:rPr>
      </w:pPr>
      <w:r>
        <w:rPr>
          <w:rFonts w:ascii="Calibri" w:cs="Calibri" w:eastAsia="Calibri" w:hAnsi="Calibri"/>
          <w:sz w:val="13"/>
          <w:szCs w:val="13"/>
          <w:color w:val="auto"/>
        </w:rPr>
        <w:t>Our net sales are generated predominantly from the shipment of fresh avocados to retail, wholesale and foodservice customers worldwide. Our net sales are afected by numerous factors, including the balance between the supply of and demand for our produce and competton from other fresh produce companies. Our net sales are also dependent on our ability to supply a consistent volume and quality of fresh produce to the markets we serve.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8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8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jc w:val="right"/>
              <w:ind w:right="83"/>
              <w:spacing w:after="0" w:line="126" w:lineRule="exact"/>
              <w:rPr>
                <w:sz w:val="20"/>
                <w:szCs w:val="20"/>
                <w:color w:val="auto"/>
              </w:rPr>
            </w:pPr>
            <w:r>
              <w:rPr>
                <w:rFonts w:ascii="Calibri" w:cs="Calibri" w:eastAsia="Calibri" w:hAnsi="Calibri"/>
                <w:sz w:val="11"/>
                <w:szCs w:val="11"/>
                <w:b w:val="1"/>
                <w:bCs w:val="1"/>
                <w:color w:val="auto"/>
              </w:rPr>
              <w:t>2022</w:t>
            </w:r>
          </w:p>
        </w:tc>
        <w:tc>
          <w:tcPr>
            <w:tcW w:w="200" w:type="dxa"/>
            <w:vAlign w:val="bottom"/>
          </w:tcPr>
          <w:p>
            <w:pPr>
              <w:spacing w:after="0"/>
              <w:rPr>
                <w:sz w:val="10"/>
                <w:szCs w:val="10"/>
                <w:color w:val="auto"/>
              </w:rPr>
            </w:pPr>
          </w:p>
        </w:tc>
        <w:tc>
          <w:tcPr>
            <w:tcW w:w="1360" w:type="dxa"/>
            <w:vAlign w:val="bottom"/>
          </w:tcPr>
          <w:p>
            <w:pPr>
              <w:jc w:val="right"/>
              <w:ind w:right="63"/>
              <w:spacing w:after="0" w:line="126" w:lineRule="exact"/>
              <w:rPr>
                <w:sz w:val="20"/>
                <w:szCs w:val="20"/>
                <w:color w:val="auto"/>
              </w:rPr>
            </w:pPr>
            <w:r>
              <w:rPr>
                <w:rFonts w:ascii="Calibri" w:cs="Calibri" w:eastAsia="Calibri" w:hAnsi="Calibri"/>
                <w:sz w:val="11"/>
                <w:szCs w:val="11"/>
                <w:b w:val="1"/>
                <w:bCs w:val="1"/>
                <w:color w:val="auto"/>
              </w:rPr>
              <w:t>2021</w:t>
            </w:r>
          </w:p>
        </w:tc>
        <w:tc>
          <w:tcPr>
            <w:tcW w:w="68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8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Net sales:</w:t>
            </w:r>
          </w:p>
        </w:tc>
        <w:tc>
          <w:tcPr>
            <w:tcW w:w="5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800" w:type="dxa"/>
            <w:vAlign w:val="bottom"/>
          </w:tcPr>
          <w:p>
            <w:pPr>
              <w:ind w:left="180"/>
              <w:spacing w:after="0"/>
              <w:rPr>
                <w:sz w:val="20"/>
                <w:szCs w:val="20"/>
                <w:color w:val="auto"/>
              </w:rPr>
            </w:pPr>
            <w:r>
              <w:rPr>
                <w:rFonts w:ascii="Calibri" w:cs="Calibri" w:eastAsia="Calibri" w:hAnsi="Calibri"/>
                <w:sz w:val="11"/>
                <w:szCs w:val="11"/>
                <w:color w:val="auto"/>
              </w:rPr>
              <w:t>Marketng and Distributon</w:t>
            </w:r>
          </w:p>
        </w:tc>
        <w:tc>
          <w:tcPr>
            <w:tcW w:w="520" w:type="dxa"/>
            <w:vAlign w:val="bottom"/>
          </w:tcPr>
          <w:p>
            <w:pPr>
              <w:jc w:val="right"/>
              <w:ind w:right="383"/>
              <w:spacing w:after="0"/>
              <w:rPr>
                <w:sz w:val="20"/>
                <w:szCs w:val="20"/>
                <w:color w:val="auto"/>
              </w:rPr>
            </w:pPr>
            <w:r>
              <w:rPr>
                <w:rFonts w:ascii="Calibri" w:cs="Calibri" w:eastAsia="Calibri" w:hAnsi="Calibri"/>
                <w:sz w:val="11"/>
                <w:szCs w:val="11"/>
                <w:color w:val="auto"/>
              </w:rPr>
              <w:t>$</w:t>
            </w: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1,016.1</w:t>
            </w:r>
          </w:p>
        </w:tc>
        <w:tc>
          <w:tcPr>
            <w:tcW w:w="2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872.0</w:t>
            </w:r>
          </w:p>
        </w:tc>
        <w:tc>
          <w:tcPr>
            <w:tcW w:w="680" w:type="dxa"/>
            <w:vAlign w:val="bottom"/>
          </w:tcPr>
          <w:p>
            <w:pPr>
              <w:jc w:val="right"/>
              <w:ind w:right="423"/>
              <w:spacing w:after="0"/>
              <w:rPr>
                <w:sz w:val="20"/>
                <w:szCs w:val="20"/>
                <w:color w:val="auto"/>
              </w:rPr>
            </w:pPr>
            <w:r>
              <w:rPr>
                <w:rFonts w:ascii="Calibri" w:cs="Calibri" w:eastAsia="Calibri" w:hAnsi="Calibri"/>
                <w:sz w:val="11"/>
                <w:szCs w:val="11"/>
                <w:color w:val="auto"/>
              </w:rPr>
              <w:t>$</w:t>
            </w:r>
          </w:p>
        </w:tc>
        <w:tc>
          <w:tcPr>
            <w:tcW w:w="780" w:type="dxa"/>
            <w:vAlign w:val="bottom"/>
          </w:tcPr>
          <w:p>
            <w:pPr>
              <w:jc w:val="right"/>
              <w:spacing w:after="0"/>
              <w:rPr>
                <w:sz w:val="20"/>
                <w:szCs w:val="20"/>
                <w:color w:val="auto"/>
              </w:rPr>
            </w:pPr>
            <w:r>
              <w:rPr>
                <w:rFonts w:ascii="Calibri" w:cs="Calibri" w:eastAsia="Calibri" w:hAnsi="Calibri"/>
                <w:sz w:val="11"/>
                <w:szCs w:val="11"/>
                <w:color w:val="auto"/>
              </w:rPr>
              <w:t>846.9</w:t>
            </w:r>
          </w:p>
        </w:tc>
        <w:tc>
          <w:tcPr>
            <w:tcW w:w="0" w:type="dxa"/>
            <w:vAlign w:val="bottom"/>
          </w:tcPr>
          <w:p>
            <w:pPr>
              <w:spacing w:after="0"/>
              <w:rPr>
                <w:sz w:val="1"/>
                <w:szCs w:val="1"/>
                <w:color w:val="auto"/>
              </w:rPr>
            </w:pPr>
          </w:p>
        </w:tc>
      </w:tr>
      <w:tr>
        <w:trPr>
          <w:trHeight w:val="46"/>
        </w:trPr>
        <w:tc>
          <w:tcPr>
            <w:tcW w:w="6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800" w:type="dxa"/>
            <w:vAlign w:val="bottom"/>
            <w:tcBorders>
              <w:bottom w:val="single" w:sz="8" w:color="DBDBDB"/>
            </w:tcBorders>
            <w:shd w:val="clear" w:color="auto" w:fill="DBDBDB"/>
          </w:tcPr>
          <w:p>
            <w:pPr>
              <w:ind w:left="180"/>
              <w:spacing w:after="0"/>
              <w:rPr>
                <w:sz w:val="20"/>
                <w:szCs w:val="20"/>
                <w:color w:val="auto"/>
              </w:rPr>
            </w:pPr>
            <w:r>
              <w:rPr>
                <w:rFonts w:ascii="Calibri" w:cs="Calibri" w:eastAsia="Calibri" w:hAnsi="Calibri"/>
                <w:sz w:val="11"/>
                <w:szCs w:val="11"/>
                <w:color w:val="auto"/>
              </w:rPr>
              <w:t>Internatonal Farming</w:t>
            </w:r>
          </w:p>
        </w:tc>
        <w:tc>
          <w:tcPr>
            <w:tcW w:w="5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19.1</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19.7</w:t>
            </w:r>
          </w:p>
        </w:tc>
        <w:tc>
          <w:tcPr>
            <w:tcW w:w="6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15.4</w:t>
            </w:r>
          </w:p>
        </w:tc>
        <w:tc>
          <w:tcPr>
            <w:tcW w:w="0" w:type="dxa"/>
            <w:vAlign w:val="bottom"/>
          </w:tcPr>
          <w:p>
            <w:pPr>
              <w:spacing w:after="0"/>
              <w:rPr>
                <w:sz w:val="1"/>
                <w:szCs w:val="1"/>
                <w:color w:val="auto"/>
              </w:rPr>
            </w:pPr>
          </w:p>
        </w:tc>
      </w:tr>
      <w:tr>
        <w:trPr>
          <w:trHeight w:val="135"/>
        </w:trPr>
        <w:tc>
          <w:tcPr>
            <w:tcW w:w="6800" w:type="dxa"/>
            <w:vAlign w:val="bottom"/>
          </w:tcPr>
          <w:p>
            <w:pPr>
              <w:ind w:left="180"/>
              <w:spacing w:after="0"/>
              <w:rPr>
                <w:sz w:val="20"/>
                <w:szCs w:val="20"/>
                <w:color w:val="auto"/>
              </w:rPr>
            </w:pPr>
            <w:r>
              <w:rPr>
                <w:rFonts w:ascii="Calibri" w:cs="Calibri" w:eastAsia="Calibri" w:hAnsi="Calibri"/>
                <w:sz w:val="11"/>
                <w:szCs w:val="11"/>
                <w:color w:val="auto"/>
              </w:rPr>
              <w:t>Blueberries</w:t>
            </w:r>
          </w:p>
        </w:tc>
        <w:tc>
          <w:tcPr>
            <w:tcW w:w="52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10.8</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8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net sales</w:t>
            </w:r>
          </w:p>
        </w:tc>
        <w:tc>
          <w:tcPr>
            <w:tcW w:w="520" w:type="dxa"/>
            <w:vAlign w:val="bottom"/>
            <w:tcBorders>
              <w:bottom w:val="single" w:sz="8" w:color="DBDBDB"/>
            </w:tcBorders>
            <w:shd w:val="clear" w:color="auto" w:fill="DBDBDB"/>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1,045.9</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891.7</w:t>
            </w:r>
          </w:p>
        </w:tc>
        <w:tc>
          <w:tcPr>
            <w:tcW w:w="68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862.3</w:t>
            </w:r>
          </w:p>
        </w:tc>
        <w:tc>
          <w:tcPr>
            <w:tcW w:w="0" w:type="dxa"/>
            <w:vAlign w:val="bottom"/>
          </w:tcPr>
          <w:p>
            <w:pPr>
              <w:spacing w:after="0"/>
              <w:rPr>
                <w:sz w:val="1"/>
                <w:szCs w:val="1"/>
                <w:color w:val="auto"/>
              </w:rPr>
            </w:pPr>
          </w:p>
        </w:tc>
      </w:tr>
      <w:tr>
        <w:trPr>
          <w:trHeight w:val="20"/>
        </w:trPr>
        <w:tc>
          <w:tcPr>
            <w:tcW w:w="6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20" w:firstLine="509"/>
        <w:spacing w:after="0" w:line="230" w:lineRule="auto"/>
        <w:rPr>
          <w:sz w:val="20"/>
          <w:szCs w:val="20"/>
          <w:color w:val="auto"/>
        </w:rPr>
      </w:pPr>
      <w:r>
        <w:rPr>
          <w:rFonts w:ascii="Calibri" w:cs="Calibri" w:eastAsia="Calibri" w:hAnsi="Calibri"/>
          <w:sz w:val="13"/>
          <w:szCs w:val="13"/>
          <w:color w:val="auto"/>
        </w:rPr>
        <w:t>Net sales increased $154.2 million or 17% in fscal year 2022 compared to the previous year, primarily due to a 28% increase in average per-unit avocado sales prices, partally ofset by decreases in avocado volume sold of 11%. Price increases were due to lower industry supply out of Mexico for much of the fscal year, as well as infatonary pressures. Lower avocado volume sold was primarily driven by lower Mexican supply. Domestc volumes declined at a lower rate relatve to export markets, demonstratng the resiliency of demand for avocados amid higher price points in the U.S. market.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23" w:name="page24"/>
    <w:bookmarkEnd w:id="23"/>
    <w:p>
      <w:pPr>
        <w:ind w:right="40" w:firstLine="509"/>
        <w:spacing w:after="0" w:line="225" w:lineRule="auto"/>
        <w:rPr>
          <w:sz w:val="20"/>
          <w:szCs w:val="20"/>
          <w:color w:val="auto"/>
        </w:rPr>
      </w:pPr>
      <w:r>
        <w:rPr>
          <w:rFonts w:ascii="Calibri" w:cs="Calibri" w:eastAsia="Calibri" w:hAnsi="Calibri"/>
          <w:sz w:val="13"/>
          <w:szCs w:val="13"/>
          <w:color w:val="auto"/>
        </w:rPr>
        <w:t>Net sales increased $29.4 million or 3% in fscal year 2021 compared to fscal year 2020, primarily due to a 5% increase in avocado volume sold, partally ofset by a 2% decrease in average per-unit avocado sales prices, both of which were driven by increased supply from Mexico and Peru. Higher volumes and lower pricing were concentrated in the frst half of 2021 when Mexico was the country of origin for the majority of the fruit sold.</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Gross proft</w:t>
      </w:r>
    </w:p>
    <w:p>
      <w:pPr>
        <w:spacing w:after="0" w:line="158" w:lineRule="exact"/>
        <w:rPr>
          <w:sz w:val="20"/>
          <w:szCs w:val="20"/>
          <w:color w:val="auto"/>
        </w:rPr>
      </w:pPr>
    </w:p>
    <w:p>
      <w:pPr>
        <w:ind w:right="160" w:firstLine="509"/>
        <w:spacing w:after="0" w:line="229" w:lineRule="auto"/>
        <w:rPr>
          <w:sz w:val="20"/>
          <w:szCs w:val="20"/>
          <w:color w:val="auto"/>
        </w:rPr>
      </w:pPr>
      <w:r>
        <w:rPr>
          <w:rFonts w:ascii="Calibri" w:cs="Calibri" w:eastAsia="Calibri" w:hAnsi="Calibri"/>
          <w:sz w:val="13"/>
          <w:szCs w:val="13"/>
          <w:color w:val="auto"/>
        </w:rPr>
        <w:t>Cost of sales is composed primarily of avocado procurement costs from independent growers and packers, logistcs costs, packaging costs, labor, costs associated with cultvaton (the cost of growing crops), harvestng and depreciaton. Avocado procurement costs from third-party suppliers can vary signifcantly between and within fscal years and correlate closely with market prices for avocados. While we have long-standing relatonships with our growers and packers, we predominantly purchase fruit on a daily basis at market rates. As such, the cost to procure products from independent growers can have a signifcant impact on our costs.</w:t>
      </w:r>
    </w:p>
    <w:p>
      <w:pPr>
        <w:spacing w:after="0" w:line="158" w:lineRule="exact"/>
        <w:rPr>
          <w:sz w:val="20"/>
          <w:szCs w:val="20"/>
          <w:color w:val="auto"/>
        </w:rPr>
      </w:pPr>
    </w:p>
    <w:p>
      <w:pPr>
        <w:ind w:right="140" w:firstLine="509"/>
        <w:spacing w:after="0" w:line="229" w:lineRule="auto"/>
        <w:rPr>
          <w:sz w:val="20"/>
          <w:szCs w:val="20"/>
          <w:color w:val="auto"/>
        </w:rPr>
      </w:pPr>
      <w:r>
        <w:rPr>
          <w:rFonts w:ascii="Calibri" w:cs="Calibri" w:eastAsia="Calibri" w:hAnsi="Calibri"/>
          <w:sz w:val="13"/>
          <w:szCs w:val="13"/>
          <w:color w:val="auto"/>
        </w:rPr>
        <w:t>Logistcs costs include land and sea transportaton and expenses related to port facilites and distributon centers. Land transportaton costs consist primarily of third-party trucking services to support North American distributon, while sea transportaton cost consists primarily of third-party shipping of refrigerated containers from supply markets in South and Central America to demand markets in North America, Europe and Asia. Variatons in containerboard prices, which afect the cost of boxes and other packaging materials, and fuel prices can have an impact on our product cost and our proft margins. Variatons in the producton yields, and other input costs also afect our cost of sales.</w:t>
      </w:r>
    </w:p>
    <w:p>
      <w:pPr>
        <w:spacing w:after="0" w:line="158" w:lineRule="exact"/>
        <w:rPr>
          <w:sz w:val="20"/>
          <w:szCs w:val="20"/>
          <w:color w:val="auto"/>
        </w:rPr>
      </w:pPr>
    </w:p>
    <w:p>
      <w:pPr>
        <w:ind w:right="80" w:firstLine="509"/>
        <w:spacing w:after="0" w:line="229" w:lineRule="auto"/>
        <w:rPr>
          <w:sz w:val="20"/>
          <w:szCs w:val="20"/>
          <w:color w:val="auto"/>
        </w:rPr>
      </w:pPr>
      <w:r>
        <w:rPr>
          <w:rFonts w:ascii="Calibri" w:cs="Calibri" w:eastAsia="Calibri" w:hAnsi="Calibri"/>
          <w:sz w:val="13"/>
          <w:szCs w:val="13"/>
          <w:color w:val="auto"/>
        </w:rPr>
        <w:t>In general, changes in our volume of products sold can have a disproportonate efect on our gross proft. Within any partcular year, a signifcant porton of our cost of products are fxed.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distributon facilites directly reduce the average overhead cost per unit of fruit handled, while lower volumes directly increase the average overhead cost per unit of fruit handled.</w:t>
      </w:r>
    </w:p>
    <w:p>
      <w:pPr>
        <w:spacing w:after="0" w:line="169" w:lineRule="exact"/>
        <w:rPr>
          <w:sz w:val="20"/>
          <w:szCs w:val="20"/>
          <w:color w:val="auto"/>
        </w:rPr>
      </w:pPr>
    </w:p>
    <w:p>
      <w:pPr>
        <w:ind w:right="240" w:firstLine="509"/>
        <w:spacing w:after="0" w:line="225" w:lineRule="auto"/>
        <w:rPr>
          <w:sz w:val="20"/>
          <w:szCs w:val="20"/>
          <w:color w:val="auto"/>
        </w:rPr>
      </w:pPr>
      <w:r>
        <w:rPr>
          <w:rFonts w:ascii="Calibri" w:cs="Calibri" w:eastAsia="Calibri" w:hAnsi="Calibri"/>
          <w:sz w:val="13"/>
          <w:szCs w:val="13"/>
          <w:color w:val="auto"/>
        </w:rPr>
        <w:t>Gross proft percentage will fuctuate based upon per-unit sales price levels in relaton to per-unit costs. Margin is primarily managed on a per-unit basis in our Marketng &amp; Distributon segment, which can lead to movement in gross proft percentage when sales prices fuctuate.</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6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46"/>
        </w:trPr>
        <w:tc>
          <w:tcPr>
            <w:tcW w:w="65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125"/>
        </w:trPr>
        <w:tc>
          <w:tcPr>
            <w:tcW w:w="6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jc w:val="right"/>
              <w:ind w:right="16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400" w:type="dxa"/>
            <w:vAlign w:val="bottom"/>
          </w:tcPr>
          <w:p>
            <w:pPr>
              <w:jc w:val="right"/>
              <w:ind w:right="83"/>
              <w:spacing w:after="0" w:line="126" w:lineRule="exact"/>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2020</w:t>
            </w:r>
          </w:p>
        </w:tc>
      </w:tr>
      <w:tr>
        <w:trPr>
          <w:trHeight w:val="46"/>
        </w:trPr>
        <w:tc>
          <w:tcPr>
            <w:tcW w:w="6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51"/>
        </w:trPr>
        <w:tc>
          <w:tcPr>
            <w:tcW w:w="65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Gross proft (in millions)</w:t>
            </w:r>
          </w:p>
        </w:tc>
        <w:tc>
          <w:tcPr>
            <w:tcW w:w="56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w w:val="70"/>
              </w:rPr>
              <w:t>$</w:t>
            </w:r>
          </w:p>
        </w:tc>
        <w:tc>
          <w:tcPr>
            <w:tcW w:w="940" w:type="dxa"/>
            <w:vAlign w:val="bottom"/>
            <w:tcBorders>
              <w:bottom w:val="single" w:sz="8" w:color="DBDBDB"/>
            </w:tcBorders>
            <w:shd w:val="clear" w:color="auto" w:fill="DBDBDB"/>
          </w:tcPr>
          <w:p>
            <w:pPr>
              <w:jc w:val="right"/>
              <w:ind w:right="163"/>
              <w:spacing w:after="0" w:line="126" w:lineRule="exact"/>
              <w:rPr>
                <w:sz w:val="20"/>
                <w:szCs w:val="20"/>
                <w:color w:val="auto"/>
              </w:rPr>
            </w:pPr>
            <w:r>
              <w:rPr>
                <w:rFonts w:ascii="Calibri" w:cs="Calibri" w:eastAsia="Calibri" w:hAnsi="Calibri"/>
                <w:sz w:val="11"/>
                <w:szCs w:val="11"/>
                <w:color w:val="auto"/>
              </w:rPr>
              <w:t>89.8</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jc w:val="right"/>
              <w:ind w:right="163"/>
              <w:spacing w:after="0" w:line="126" w:lineRule="exact"/>
              <w:rPr>
                <w:sz w:val="20"/>
                <w:szCs w:val="20"/>
                <w:color w:val="auto"/>
              </w:rPr>
            </w:pPr>
            <w:r>
              <w:rPr>
                <w:rFonts w:ascii="Calibri" w:cs="Calibri" w:eastAsia="Calibri" w:hAnsi="Calibri"/>
                <w:sz w:val="11"/>
                <w:szCs w:val="11"/>
                <w:color w:val="auto"/>
              </w:rPr>
              <w:t>124.5</w:t>
            </w:r>
          </w:p>
        </w:tc>
        <w:tc>
          <w:tcPr>
            <w:tcW w:w="66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86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124.6</w:t>
            </w:r>
          </w:p>
        </w:tc>
      </w:tr>
      <w:tr>
        <w:trPr>
          <w:trHeight w:val="135"/>
        </w:trPr>
        <w:tc>
          <w:tcPr>
            <w:tcW w:w="6580" w:type="dxa"/>
            <w:vAlign w:val="bottom"/>
          </w:tcPr>
          <w:p>
            <w:pPr>
              <w:ind w:left="20"/>
              <w:spacing w:after="0"/>
              <w:rPr>
                <w:sz w:val="20"/>
                <w:szCs w:val="20"/>
                <w:color w:val="auto"/>
              </w:rPr>
            </w:pPr>
            <w:r>
              <w:rPr>
                <w:rFonts w:ascii="Calibri" w:cs="Calibri" w:eastAsia="Calibri" w:hAnsi="Calibri"/>
                <w:sz w:val="11"/>
                <w:szCs w:val="11"/>
                <w:color w:val="auto"/>
              </w:rPr>
              <w:t>Gross proft as a percentage of net sales</w:t>
            </w:r>
          </w:p>
        </w:tc>
        <w:tc>
          <w:tcPr>
            <w:tcW w:w="560" w:type="dxa"/>
            <w:vAlign w:val="bottom"/>
          </w:tcPr>
          <w:p>
            <w:pPr>
              <w:spacing w:after="0"/>
              <w:rPr>
                <w:sz w:val="11"/>
                <w:szCs w:val="11"/>
                <w:color w:val="auto"/>
              </w:rPr>
            </w:pPr>
          </w:p>
        </w:tc>
        <w:tc>
          <w:tcPr>
            <w:tcW w:w="940" w:type="dxa"/>
            <w:vAlign w:val="bottom"/>
          </w:tcPr>
          <w:p>
            <w:pPr>
              <w:jc w:val="right"/>
              <w:ind w:right="83"/>
              <w:spacing w:after="0"/>
              <w:rPr>
                <w:sz w:val="20"/>
                <w:szCs w:val="20"/>
                <w:color w:val="auto"/>
              </w:rPr>
            </w:pPr>
            <w:r>
              <w:rPr>
                <w:rFonts w:ascii="Calibri" w:cs="Calibri" w:eastAsia="Calibri" w:hAnsi="Calibri"/>
                <w:sz w:val="11"/>
                <w:szCs w:val="11"/>
                <w:color w:val="auto"/>
              </w:rPr>
              <w:t>8.6 %</w:t>
            </w:r>
          </w:p>
        </w:tc>
        <w:tc>
          <w:tcPr>
            <w:tcW w:w="220" w:type="dxa"/>
            <w:vAlign w:val="bottom"/>
          </w:tcPr>
          <w:p>
            <w:pPr>
              <w:spacing w:after="0"/>
              <w:rPr>
                <w:sz w:val="11"/>
                <w:szCs w:val="11"/>
                <w:color w:val="auto"/>
              </w:rPr>
            </w:pPr>
          </w:p>
        </w:tc>
        <w:tc>
          <w:tcPr>
            <w:tcW w:w="1400" w:type="dxa"/>
            <w:vAlign w:val="bottom"/>
          </w:tcPr>
          <w:p>
            <w:pPr>
              <w:jc w:val="right"/>
              <w:ind w:right="83"/>
              <w:spacing w:after="0"/>
              <w:rPr>
                <w:sz w:val="20"/>
                <w:szCs w:val="20"/>
                <w:color w:val="auto"/>
              </w:rPr>
            </w:pPr>
            <w:r>
              <w:rPr>
                <w:rFonts w:ascii="Calibri" w:cs="Calibri" w:eastAsia="Calibri" w:hAnsi="Calibri"/>
                <w:sz w:val="11"/>
                <w:szCs w:val="11"/>
                <w:color w:val="auto"/>
              </w:rPr>
              <w:t>14.0 %</w:t>
            </w:r>
          </w:p>
        </w:tc>
        <w:tc>
          <w:tcPr>
            <w:tcW w:w="6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alibri" w:cs="Calibri" w:eastAsia="Calibri" w:hAnsi="Calibri"/>
                <w:sz w:val="11"/>
                <w:szCs w:val="11"/>
                <w:color w:val="auto"/>
              </w:rPr>
              <w:t>14.4 %</w:t>
            </w:r>
          </w:p>
        </w:tc>
      </w:tr>
      <w:tr>
        <w:trPr>
          <w:trHeight w:val="46"/>
        </w:trPr>
        <w:tc>
          <w:tcPr>
            <w:tcW w:w="6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bl>
    <w:p>
      <w:pPr>
        <w:spacing w:after="0" w:line="220" w:lineRule="exact"/>
        <w:rPr>
          <w:sz w:val="20"/>
          <w:szCs w:val="20"/>
          <w:color w:val="auto"/>
        </w:rPr>
      </w:pPr>
    </w:p>
    <w:p>
      <w:pPr>
        <w:ind w:right="60" w:firstLine="509"/>
        <w:spacing w:after="0" w:line="229" w:lineRule="auto"/>
        <w:rPr>
          <w:sz w:val="20"/>
          <w:szCs w:val="20"/>
          <w:color w:val="auto"/>
        </w:rPr>
      </w:pPr>
      <w:r>
        <w:rPr>
          <w:rFonts w:ascii="Calibri" w:cs="Calibri" w:eastAsia="Calibri" w:hAnsi="Calibri"/>
          <w:sz w:val="13"/>
          <w:szCs w:val="13"/>
          <w:color w:val="auto"/>
        </w:rPr>
        <w:t>Gross proft decreased $34.7 million in fscal year 2022 compared to fscal year 2021 to $89.8 million, and gross proft percentage decreased by 536 basis points to 8.6% of revenue. Within our Marketng and Distributon segment, the decreases were primarily driven by the impact of lower avocado volume sold, as well as temporary and unforeseen operatonal challenges created by the ERP implementaton, which limited our ability to efectvely manage our supply chain during the frst quarter of 2022. Within our Internatonal Farming segment, we experienced gross proft decreases primarily due to infatonary cost pressures impactng ocean freight costs, packaging costs, and farming input costs, partally ofset by increased avocado producton at our farms.</w:t>
      </w:r>
    </w:p>
    <w:p>
      <w:pPr>
        <w:spacing w:after="0" w:line="158" w:lineRule="exact"/>
        <w:rPr>
          <w:sz w:val="20"/>
          <w:szCs w:val="20"/>
          <w:color w:val="auto"/>
        </w:rPr>
      </w:pPr>
    </w:p>
    <w:p>
      <w:pPr>
        <w:ind w:right="40" w:firstLine="509"/>
        <w:spacing w:after="0" w:line="230" w:lineRule="auto"/>
        <w:rPr>
          <w:sz w:val="20"/>
          <w:szCs w:val="20"/>
          <w:color w:val="auto"/>
        </w:rPr>
      </w:pPr>
      <w:r>
        <w:rPr>
          <w:rFonts w:ascii="Calibri" w:cs="Calibri" w:eastAsia="Calibri" w:hAnsi="Calibri"/>
          <w:sz w:val="13"/>
          <w:szCs w:val="13"/>
          <w:color w:val="auto"/>
        </w:rPr>
        <w:t>Gross proft was nearly fat in fscal year 2021 compared to fscal year 2020 at $124.5 million, and gross proft percentage decreased by 40 basis points to 14.0% of revenue. The declines were due to lower per-unit margins related to sourcing of Californian and Mexican fruit, which were exacerbated by lower industry volumes from the California market as well as smaller fruit sizes from the Mexican market. Additonally, gross margin was impacted by incremental infrastructure costs related to our new Laredo facility within the Marketng &amp; Distributon segment, which was stll in the process of ramping up utlizaton. Gross margin was also negatvely impacted by widespread port delays in the fourth quarter of 2021, which created quality issues related to the extended age of inventory on late-season fruit which impacted sales returns. These impacts were substantally ofset by higher volume of avocados sold from Company-owned farms within our Internatonal Farming segment compared to 2020, which had lower per-unit cost than fruit purchased from third-party growers.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Selling, general and administratve expenses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Selling, general and administratve expenses primarily include the costs associated with selling, professional fees, general corporate overhead and other related administratve functons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80" w:type="dxa"/>
            <w:vAlign w:val="bottom"/>
            <w:vMerge w:val="restart"/>
          </w:tcPr>
          <w:p>
            <w:pPr>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2022</w:t>
            </w:r>
          </w:p>
        </w:tc>
        <w:tc>
          <w:tcPr>
            <w:tcW w:w="200" w:type="dxa"/>
            <w:vAlign w:val="bottom"/>
          </w:tcPr>
          <w:p>
            <w:pPr>
              <w:spacing w:after="0"/>
              <w:rPr>
                <w:sz w:val="10"/>
                <w:szCs w:val="10"/>
                <w:color w:val="auto"/>
              </w:rPr>
            </w:pPr>
          </w:p>
        </w:tc>
        <w:tc>
          <w:tcPr>
            <w:tcW w:w="136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2021</w:t>
            </w:r>
          </w:p>
        </w:tc>
        <w:tc>
          <w:tcPr>
            <w:tcW w:w="68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80" w:type="dxa"/>
            <w:vAlign w:val="bottom"/>
            <w:tcBorders>
              <w:bottom w:val="single" w:sz="8" w:color="DBDBDB"/>
            </w:tcBorders>
            <w:shd w:val="clear" w:color="auto" w:fill="DBDBDB"/>
          </w:tcPr>
          <w:p>
            <w:pPr>
              <w:spacing w:after="0" w:line="126" w:lineRule="exact"/>
              <w:rPr>
                <w:sz w:val="20"/>
                <w:szCs w:val="20"/>
                <w:color w:val="auto"/>
              </w:rPr>
            </w:pPr>
            <w:r>
              <w:rPr>
                <w:rFonts w:ascii="Calibri" w:cs="Calibri" w:eastAsia="Calibri" w:hAnsi="Calibri"/>
                <w:sz w:val="11"/>
                <w:szCs w:val="11"/>
                <w:color w:val="auto"/>
              </w:rPr>
              <w:t>Selling, general and administratve expenses</w:t>
            </w:r>
          </w:p>
        </w:tc>
        <w:tc>
          <w:tcPr>
            <w:tcW w:w="54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w w:val="70"/>
              </w:rPr>
              <w:t>$</w:t>
            </w:r>
          </w:p>
        </w:tc>
        <w:tc>
          <w:tcPr>
            <w:tcW w:w="9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77.5</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63.6</w:t>
            </w:r>
          </w:p>
        </w:tc>
        <w:tc>
          <w:tcPr>
            <w:tcW w:w="68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ind w:right="3"/>
              <w:spacing w:after="0" w:line="126" w:lineRule="exact"/>
              <w:rPr>
                <w:sz w:val="20"/>
                <w:szCs w:val="20"/>
                <w:color w:val="auto"/>
              </w:rPr>
            </w:pPr>
            <w:r>
              <w:rPr>
                <w:rFonts w:ascii="Calibri" w:cs="Calibri" w:eastAsia="Calibri" w:hAnsi="Calibri"/>
                <w:sz w:val="11"/>
                <w:szCs w:val="11"/>
                <w:color w:val="auto"/>
              </w:rPr>
              <w:t>56.2</w:t>
            </w:r>
          </w:p>
        </w:tc>
        <w:tc>
          <w:tcPr>
            <w:tcW w:w="0" w:type="dxa"/>
            <w:vAlign w:val="bottom"/>
          </w:tcPr>
          <w:p>
            <w:pPr>
              <w:spacing w:after="0"/>
              <w:rPr>
                <w:sz w:val="1"/>
                <w:szCs w:val="1"/>
                <w:color w:val="auto"/>
              </w:rPr>
            </w:pPr>
          </w:p>
        </w:tc>
      </w:tr>
      <w:tr>
        <w:trPr>
          <w:trHeight w:val="20"/>
        </w:trPr>
        <w:tc>
          <w:tcPr>
            <w:tcW w:w="6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24" w:name="page25"/>
    <w:bookmarkEnd w:id="24"/>
    <w:p>
      <w:pPr>
        <w:ind w:right="220" w:firstLine="509"/>
        <w:spacing w:after="0" w:line="228" w:lineRule="auto"/>
        <w:rPr>
          <w:sz w:val="20"/>
          <w:szCs w:val="20"/>
          <w:color w:val="auto"/>
        </w:rPr>
      </w:pPr>
      <w:r>
        <w:rPr>
          <w:rFonts w:ascii="Calibri" w:cs="Calibri" w:eastAsia="Calibri" w:hAnsi="Calibri"/>
          <w:sz w:val="13"/>
          <w:szCs w:val="13"/>
          <w:color w:val="auto"/>
        </w:rPr>
        <w:t>Selling, general and administratve expenses increased $13.9 million or 22% in fscal year 2022 compared to fscal year 2021 due to ERP costs in our Marketng and Distributon segment, higher employee-related costs, higher professional fees, and higher travel costs. ERP costs consisted of noncapitalizable implementaton costs and nonrecurring process re-engineering costs. Employee-related costs were impacted by labor infaton and higher stock-based compensaton expense. Higher professional fees were in-part due to our change in SEC fler status from an emerging growth company to a large accelerated fler on October 31, 2021. Travel costs increased as COVID-related travel restrictons eased relatve to prior year. The consolidaton of Moruga increased selling, general and administratve expenses by $1.7 million, which included amortzaton of an intangible asset recognized at acquisiton.</w:t>
      </w:r>
    </w:p>
    <w:p>
      <w:pPr>
        <w:spacing w:after="0" w:line="159" w:lineRule="exact"/>
        <w:rPr>
          <w:sz w:val="20"/>
          <w:szCs w:val="20"/>
          <w:color w:val="auto"/>
        </w:rPr>
      </w:pPr>
    </w:p>
    <w:p>
      <w:pPr>
        <w:ind w:right="260" w:firstLine="509"/>
        <w:spacing w:after="0" w:line="230" w:lineRule="auto"/>
        <w:rPr>
          <w:sz w:val="20"/>
          <w:szCs w:val="20"/>
          <w:color w:val="auto"/>
        </w:rPr>
      </w:pPr>
      <w:r>
        <w:rPr>
          <w:rFonts w:ascii="Calibri" w:cs="Calibri" w:eastAsia="Calibri" w:hAnsi="Calibri"/>
          <w:sz w:val="13"/>
          <w:szCs w:val="13"/>
          <w:color w:val="auto"/>
        </w:rPr>
        <w:t>Selling, general and administratve expenses increased $7.4 million or 13% in fscal year 2021 compared to fscal year 2020 due primarily to higher professional fees and higher liability insurance premiums associated with being a public company and the change in SEC fler status referenced above. Other factors included an increase in rent expense in conjuncton with our move to our new corporate headquarters in February 2021, and a legal setlement contngency of $0.8 million, partally ofset by a $0.9 million gain from an insurance setlement, net of asset impairment and disposals.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Goodwill impairment</w:t>
      </w:r>
    </w:p>
    <w:p>
      <w:pPr>
        <w:spacing w:after="0" w:line="158" w:lineRule="exact"/>
        <w:rPr>
          <w:sz w:val="20"/>
          <w:szCs w:val="20"/>
          <w:color w:val="auto"/>
        </w:rPr>
      </w:pPr>
    </w:p>
    <w:p>
      <w:pPr>
        <w:ind w:right="220" w:firstLine="509"/>
        <w:spacing w:after="0" w:line="233" w:lineRule="auto"/>
        <w:rPr>
          <w:sz w:val="20"/>
          <w:szCs w:val="20"/>
          <w:color w:val="auto"/>
        </w:rPr>
      </w:pPr>
      <w:r>
        <w:rPr>
          <w:rFonts w:ascii="Calibri" w:cs="Calibri" w:eastAsia="Calibri" w:hAnsi="Calibri"/>
          <w:sz w:val="13"/>
          <w:szCs w:val="13"/>
          <w:color w:val="auto"/>
        </w:rPr>
        <w:t>A noncash impairment loss of $49.5 million was recognized in the consolidated statements of income during the fourth quarter of fscal 2022. No goodwill impairment was recognized in fscal years 2021 or 2020. For more informaton, refer to Note 4 to the consolidated fnancial statements.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Interest expense</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Interest expense consists primarily of interest on borrowings under working capital facilites that we maintain and interest on other long-term debt used to make capital and equity investments.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36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Interest expense</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5.5</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3.7</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6.7</w:t>
            </w:r>
          </w:p>
        </w:tc>
        <w:tc>
          <w:tcPr>
            <w:tcW w:w="0" w:type="dxa"/>
            <w:vAlign w:val="bottom"/>
          </w:tcPr>
          <w:p>
            <w:pPr>
              <w:spacing w:after="0"/>
              <w:rPr>
                <w:sz w:val="1"/>
                <w:szCs w:val="1"/>
                <w:color w:val="auto"/>
              </w:rPr>
            </w:pPr>
          </w:p>
        </w:tc>
      </w:tr>
      <w:tr>
        <w:trPr>
          <w:trHeight w:val="20"/>
        </w:trPr>
        <w:tc>
          <w:tcPr>
            <w:tcW w:w="6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Interest expense increased $1.8 million or 49% in fscal year 2022 compared to fscal year 2021 primarily due to higher interest rates, as the majority of our outstanding debt is subject to variable rates.</w:t>
      </w:r>
    </w:p>
    <w:p>
      <w:pPr>
        <w:spacing w:after="0" w:line="158" w:lineRule="exact"/>
        <w:rPr>
          <w:sz w:val="20"/>
          <w:szCs w:val="20"/>
          <w:color w:val="auto"/>
        </w:rPr>
      </w:pPr>
    </w:p>
    <w:p>
      <w:pPr>
        <w:ind w:right="120" w:firstLine="509"/>
        <w:spacing w:after="0" w:line="225" w:lineRule="auto"/>
        <w:rPr>
          <w:sz w:val="20"/>
          <w:szCs w:val="20"/>
          <w:color w:val="auto"/>
        </w:rPr>
      </w:pPr>
      <w:r>
        <w:rPr>
          <w:rFonts w:ascii="Calibri" w:cs="Calibri" w:eastAsia="Calibri" w:hAnsi="Calibri"/>
          <w:sz w:val="13"/>
          <w:szCs w:val="13"/>
          <w:color w:val="auto"/>
        </w:rPr>
        <w:t>Interest expense decreased $3.0 million or 45% in fscal year 2021 compared to fscal year 2020 due to a combinaton of lower interest rates and lower average principal balances. A substantal porton of our debt had variable interest rates that were based on LIBOR, which declined signifcantly from 2020 to 2021.</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Equity method income</w:t>
      </w:r>
    </w:p>
    <w:p>
      <w:pPr>
        <w:spacing w:after="0" w:line="158" w:lineRule="exact"/>
        <w:rPr>
          <w:sz w:val="20"/>
          <w:szCs w:val="20"/>
          <w:color w:val="auto"/>
        </w:rPr>
      </w:pPr>
    </w:p>
    <w:p>
      <w:pPr>
        <w:ind w:right="120" w:firstLine="509"/>
        <w:spacing w:after="0" w:line="225" w:lineRule="auto"/>
        <w:rPr>
          <w:sz w:val="20"/>
          <w:szCs w:val="20"/>
          <w:color w:val="auto"/>
        </w:rPr>
      </w:pPr>
      <w:r>
        <w:rPr>
          <w:rFonts w:ascii="Calibri" w:cs="Calibri" w:eastAsia="Calibri" w:hAnsi="Calibri"/>
          <w:sz w:val="13"/>
          <w:szCs w:val="13"/>
          <w:color w:val="auto"/>
        </w:rPr>
        <w:t>Our material equity method investees include Henry Avocado (“HAC”), Mr. Avocado, Copaltas, and up untl May 1, 2022, Moruga. On May 1, 2022, Moruga became a variable interest entty and prospectvely consolidated into our fnancial statements.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36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Equity method income</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5.1</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7.5</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4.0</w:t>
            </w:r>
          </w:p>
        </w:tc>
        <w:tc>
          <w:tcPr>
            <w:tcW w:w="0" w:type="dxa"/>
            <w:vAlign w:val="bottom"/>
          </w:tcPr>
          <w:p>
            <w:pPr>
              <w:spacing w:after="0"/>
              <w:rPr>
                <w:sz w:val="1"/>
                <w:szCs w:val="1"/>
                <w:color w:val="auto"/>
              </w:rPr>
            </w:pPr>
          </w:p>
        </w:tc>
      </w:tr>
      <w:tr>
        <w:trPr>
          <w:trHeight w:val="135"/>
        </w:trPr>
        <w:tc>
          <w:tcPr>
            <w:tcW w:w="6760" w:type="dxa"/>
            <w:vAlign w:val="bottom"/>
          </w:tcPr>
          <w:p>
            <w:pPr>
              <w:ind w:left="20"/>
              <w:spacing w:after="0"/>
              <w:rPr>
                <w:sz w:val="20"/>
                <w:szCs w:val="20"/>
                <w:color w:val="auto"/>
              </w:rPr>
            </w:pPr>
            <w:r>
              <w:rPr>
                <w:rFonts w:ascii="Calibri" w:cs="Calibri" w:eastAsia="Calibri" w:hAnsi="Calibri"/>
                <w:sz w:val="11"/>
                <w:szCs w:val="11"/>
                <w:color w:val="auto"/>
              </w:rPr>
              <w:t>Remeasurement gain on acquisiton of equity method investee</w:t>
            </w:r>
          </w:p>
        </w:tc>
        <w:tc>
          <w:tcPr>
            <w:tcW w:w="540" w:type="dxa"/>
            <w:vAlign w:val="bottom"/>
          </w:tcPr>
          <w:p>
            <w:pPr>
              <w:spacing w:after="0"/>
              <w:rPr>
                <w:sz w:val="11"/>
                <w:szCs w:val="11"/>
                <w:color w:val="auto"/>
              </w:rPr>
            </w:pPr>
          </w:p>
        </w:tc>
        <w:tc>
          <w:tcPr>
            <w:tcW w:w="900" w:type="dxa"/>
            <w:vAlign w:val="bottom"/>
          </w:tcPr>
          <w:p>
            <w:pPr>
              <w:jc w:val="right"/>
              <w:ind w:right="83"/>
              <w:spacing w:after="0"/>
              <w:rPr>
                <w:sz w:val="20"/>
                <w:szCs w:val="20"/>
                <w:color w:val="auto"/>
              </w:rPr>
            </w:pPr>
            <w:r>
              <w:rPr>
                <w:rFonts w:ascii="Calibri" w:cs="Calibri" w:eastAsia="Calibri" w:hAnsi="Calibri"/>
                <w:sz w:val="11"/>
                <w:szCs w:val="11"/>
                <w:color w:val="auto"/>
              </w:rPr>
              <w:t>2.0</w:t>
            </w:r>
          </w:p>
        </w:tc>
        <w:tc>
          <w:tcPr>
            <w:tcW w:w="22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Impairment on equity method investment</w:t>
            </w:r>
          </w:p>
        </w:tc>
        <w:tc>
          <w:tcPr>
            <w:tcW w:w="54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(21.2)</w:t>
            </w:r>
          </w:p>
        </w:tc>
        <w:tc>
          <w:tcPr>
            <w:tcW w:w="0" w:type="dxa"/>
            <w:vAlign w:val="bottom"/>
          </w:tcPr>
          <w:p>
            <w:pPr>
              <w:spacing w:after="0"/>
              <w:rPr>
                <w:sz w:val="1"/>
                <w:szCs w:val="1"/>
                <w:color w:val="auto"/>
              </w:rPr>
            </w:pPr>
          </w:p>
        </w:tc>
      </w:tr>
      <w:tr>
        <w:trPr>
          <w:trHeight w:val="20"/>
        </w:trPr>
        <w:tc>
          <w:tcPr>
            <w:tcW w:w="6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40" w:firstLine="509"/>
        <w:spacing w:after="0" w:line="225" w:lineRule="auto"/>
        <w:rPr>
          <w:sz w:val="20"/>
          <w:szCs w:val="20"/>
          <w:color w:val="auto"/>
        </w:rPr>
      </w:pPr>
      <w:r>
        <w:rPr>
          <w:rFonts w:ascii="Calibri" w:cs="Calibri" w:eastAsia="Calibri" w:hAnsi="Calibri"/>
          <w:sz w:val="13"/>
          <w:szCs w:val="13"/>
          <w:color w:val="auto"/>
        </w:rPr>
        <w:t>Equity method income decreased $2.4 million or 32% in fscal year 2022 compared to fscal year 2021, primarily due to the efect of consolidaton of Moruga, partally ofset by stronger operatng performance from HAC.</w:t>
      </w:r>
    </w:p>
    <w:p>
      <w:pPr>
        <w:spacing w:after="0" w:line="159" w:lineRule="exact"/>
        <w:rPr>
          <w:sz w:val="20"/>
          <w:szCs w:val="20"/>
          <w:color w:val="auto"/>
        </w:rPr>
      </w:pPr>
    </w:p>
    <w:p>
      <w:pPr>
        <w:ind w:right="160" w:firstLine="509"/>
        <w:spacing w:after="0" w:line="230" w:lineRule="auto"/>
        <w:rPr>
          <w:sz w:val="20"/>
          <w:szCs w:val="20"/>
          <w:color w:val="auto"/>
        </w:rPr>
      </w:pPr>
      <w:r>
        <w:rPr>
          <w:rFonts w:ascii="Calibri" w:cs="Calibri" w:eastAsia="Calibri" w:hAnsi="Calibri"/>
          <w:sz w:val="13"/>
          <w:szCs w:val="13"/>
          <w:color w:val="auto"/>
        </w:rPr>
        <w:t>Equity method income increased $3.5 million or 88% in fscal year 2021 compared to fscal year 2020, driven by higher earnings from investments in Moruga and HAC. Moruga’s earnings increased due to higher blueberry volume atributed to improved yields and beter pricing returns. HAC’s earnings increased due to higher per-unit margins. The impact of COVID-19 related stay at-home orders that went into efect in March 2020 were more profound to HAC due to their heavier concentraton of foodservice customers.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Other income (expense), net</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Other income (expense), net consists of interest income, currency exchange gains or losses, interest rate derivatve gains or losses and other miscellaneous income and expense items.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9" w:right="33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135"/>
        </w:trPr>
        <w:tc>
          <w:tcPr>
            <w:tcW w:w="6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36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Other income (expense), net</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4.4</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1.3</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(0.7)</w:t>
            </w:r>
          </w:p>
        </w:tc>
        <w:tc>
          <w:tcPr>
            <w:tcW w:w="0" w:type="dxa"/>
            <w:vAlign w:val="bottom"/>
          </w:tcPr>
          <w:p>
            <w:pPr>
              <w:spacing w:after="0"/>
              <w:rPr>
                <w:sz w:val="1"/>
                <w:szCs w:val="1"/>
                <w:color w:val="auto"/>
              </w:rPr>
            </w:pPr>
          </w:p>
        </w:tc>
      </w:tr>
      <w:tr>
        <w:trPr>
          <w:trHeight w:val="20"/>
        </w:trPr>
        <w:tc>
          <w:tcPr>
            <w:tcW w:w="6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00" w:firstLine="509"/>
        <w:spacing w:after="0" w:line="225" w:lineRule="auto"/>
        <w:rPr>
          <w:sz w:val="20"/>
          <w:szCs w:val="20"/>
          <w:color w:val="auto"/>
        </w:rPr>
      </w:pPr>
      <w:r>
        <w:rPr>
          <w:rFonts w:ascii="Calibri" w:cs="Calibri" w:eastAsia="Calibri" w:hAnsi="Calibri"/>
          <w:sz w:val="13"/>
          <w:szCs w:val="13"/>
          <w:color w:val="auto"/>
        </w:rPr>
        <w:t>Other income increased $3.1 million or 238% in fscal year 2022 compared to the previous year, primarily due to gains on our interest rate swaps driven by market movements in short-term interest rates. The interest rate swaps are intended to hedge against variable interest rate exposure associated with our term debt facility.</w:t>
      </w:r>
    </w:p>
    <w:p>
      <w:pPr>
        <w:spacing w:after="0" w:line="159" w:lineRule="exact"/>
        <w:rPr>
          <w:sz w:val="20"/>
          <w:szCs w:val="20"/>
          <w:color w:val="auto"/>
        </w:rPr>
      </w:pPr>
    </w:p>
    <w:p>
      <w:pPr>
        <w:jc w:val="both"/>
        <w:ind w:right="120" w:firstLine="509"/>
        <w:spacing w:after="0" w:line="230" w:lineRule="auto"/>
        <w:rPr>
          <w:sz w:val="20"/>
          <w:szCs w:val="20"/>
          <w:color w:val="auto"/>
        </w:rPr>
      </w:pPr>
      <w:r>
        <w:rPr>
          <w:rFonts w:ascii="Calibri" w:cs="Calibri" w:eastAsia="Calibri" w:hAnsi="Calibri"/>
          <w:sz w:val="13"/>
          <w:szCs w:val="13"/>
          <w:color w:val="auto"/>
        </w:rPr>
        <w:t>Other income in fscal year 2021 was $1.3 million, compared to other expense of $0.7 million in fscal year 2020. The $2.0 million change was primarily due to losses on interest rate swaps in 2020, driven by market movements in short-term interest rates, partally ofset by the efect of foreign currency loss in 2021 compared to gains in 2020. The signifcant weakening of the Mexican peso relatve to the U.S. dollar and the substantal reducton in LIBOR in fscal 2020 were correlated with the COVID-19 pandemic.</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Provision for income taxes</w:t>
      </w:r>
    </w:p>
    <w:p>
      <w:pPr>
        <w:spacing w:after="0" w:line="158" w:lineRule="exact"/>
        <w:rPr>
          <w:sz w:val="20"/>
          <w:szCs w:val="20"/>
          <w:color w:val="auto"/>
        </w:rPr>
      </w:pPr>
    </w:p>
    <w:p>
      <w:pPr>
        <w:jc w:val="both"/>
        <w:ind w:firstLine="509"/>
        <w:spacing w:after="0" w:line="225" w:lineRule="auto"/>
        <w:rPr>
          <w:sz w:val="20"/>
          <w:szCs w:val="20"/>
          <w:color w:val="auto"/>
        </w:rPr>
      </w:pPr>
      <w:r>
        <w:rPr>
          <w:rFonts w:ascii="Calibri" w:cs="Calibri" w:eastAsia="Calibri" w:hAnsi="Calibri"/>
          <w:sz w:val="13"/>
          <w:szCs w:val="13"/>
          <w:color w:val="auto"/>
        </w:rPr>
        <w:t>The provision for income taxes consists of the consolidaton of tax provisions, computed on a separate entty basis, in each country in which we have operatons. We recognize the efects of tax legislaton in the period in which the law is enacted. Our deferred tax assets and liabilites are measured using enacted tax rates expected to apply to taxable income in the years we estmate the related temporary diferences to reverse. Realizaton of deferred tax assets is dependent upon future earnings, the tming and amount of which are uncertain.</w:t>
      </w:r>
    </w:p>
    <w:p>
      <w:pPr>
        <w:spacing w:after="0" w:line="158" w:lineRule="exact"/>
        <w:rPr>
          <w:sz w:val="20"/>
          <w:szCs w:val="20"/>
          <w:color w:val="auto"/>
        </w:rPr>
      </w:pPr>
    </w:p>
    <w:p>
      <w:pPr>
        <w:jc w:val="both"/>
        <w:ind w:right="380" w:firstLine="509"/>
        <w:spacing w:after="0" w:line="230" w:lineRule="auto"/>
        <w:rPr>
          <w:sz w:val="20"/>
          <w:szCs w:val="20"/>
          <w:color w:val="auto"/>
        </w:rPr>
      </w:pPr>
      <w:r>
        <w:rPr>
          <w:rFonts w:ascii="Calibri" w:cs="Calibri" w:eastAsia="Calibri" w:hAnsi="Calibri"/>
          <w:sz w:val="13"/>
          <w:szCs w:val="13"/>
          <w:color w:val="auto"/>
        </w:rPr>
        <w:t>We recognize a tax beneft from an uncertain tax positon only if it is more likely than not the tax positon will be sustained on examinaton by the taxing authorites, based on the technical merits of the positon. The tax benefts recognized from such positons are then measured based on the largest beneft that has a greater than 50% likelihood of being realized upon setlement. Interest and penaltes related to unrecognized tax benefts are recognized within provision for income taxes.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ind w:left="40"/>
              <w:spacing w:after="0"/>
              <w:rPr>
                <w:sz w:val="20"/>
                <w:szCs w:val="20"/>
                <w:color w:val="auto"/>
              </w:rPr>
            </w:pPr>
            <w:r>
              <w:rPr>
                <w:rFonts w:ascii="Calibri" w:cs="Calibri" w:eastAsia="Calibri" w:hAnsi="Calibri"/>
                <w:sz w:val="11"/>
                <w:szCs w:val="11"/>
                <w:b w:val="1"/>
                <w:bCs w:val="1"/>
                <w:color w:val="auto"/>
              </w:rPr>
              <w:t>Years ended October 31,</w:t>
            </w: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46"/>
        </w:trPr>
        <w:tc>
          <w:tcPr>
            <w:tcW w:w="66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25"/>
        </w:trPr>
        <w:tc>
          <w:tcPr>
            <w:tcW w:w="6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jc w:val="right"/>
              <w:ind w:right="163"/>
              <w:spacing w:after="0" w:line="126" w:lineRule="exact"/>
              <w:rPr>
                <w:sz w:val="20"/>
                <w:szCs w:val="20"/>
                <w:color w:val="auto"/>
              </w:rPr>
            </w:pPr>
            <w:r>
              <w:rPr>
                <w:rFonts w:ascii="Calibri" w:cs="Calibri" w:eastAsia="Calibri" w:hAnsi="Calibri"/>
                <w:sz w:val="11"/>
                <w:szCs w:val="11"/>
                <w:b w:val="1"/>
                <w:bCs w:val="1"/>
                <w:color w:val="auto"/>
              </w:rPr>
              <w:t>2022</w:t>
            </w:r>
          </w:p>
        </w:tc>
        <w:tc>
          <w:tcPr>
            <w:tcW w:w="200" w:type="dxa"/>
            <w:vAlign w:val="bottom"/>
          </w:tcPr>
          <w:p>
            <w:pPr>
              <w:spacing w:after="0"/>
              <w:rPr>
                <w:sz w:val="10"/>
                <w:szCs w:val="10"/>
                <w:color w:val="auto"/>
              </w:rPr>
            </w:pPr>
          </w:p>
        </w:tc>
        <w:tc>
          <w:tcPr>
            <w:tcW w:w="1420" w:type="dxa"/>
            <w:vAlign w:val="bottom"/>
          </w:tcPr>
          <w:p>
            <w:pPr>
              <w:jc w:val="right"/>
              <w:ind w:right="163"/>
              <w:spacing w:after="0" w:line="126" w:lineRule="exact"/>
              <w:rPr>
                <w:sz w:val="20"/>
                <w:szCs w:val="20"/>
                <w:color w:val="auto"/>
              </w:rPr>
            </w:pPr>
            <w:r>
              <w:rPr>
                <w:rFonts w:ascii="Calibri" w:cs="Calibri" w:eastAsia="Calibri" w:hAnsi="Calibri"/>
                <w:sz w:val="11"/>
                <w:szCs w:val="11"/>
                <w:b w:val="1"/>
                <w:bCs w:val="1"/>
                <w:color w:val="auto"/>
              </w:rPr>
              <w:t>2021</w:t>
            </w:r>
          </w:p>
        </w:tc>
        <w:tc>
          <w:tcPr>
            <w:tcW w:w="680" w:type="dxa"/>
            <w:vAlign w:val="bottom"/>
          </w:tcPr>
          <w:p>
            <w:pPr>
              <w:spacing w:after="0"/>
              <w:rPr>
                <w:sz w:val="10"/>
                <w:szCs w:val="10"/>
                <w:color w:val="auto"/>
              </w:rPr>
            </w:pPr>
          </w:p>
        </w:tc>
        <w:tc>
          <w:tcPr>
            <w:tcW w:w="82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r>
      <w:tr>
        <w:trPr>
          <w:trHeight w:val="46"/>
        </w:trPr>
        <w:tc>
          <w:tcPr>
            <w:tcW w:w="6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51"/>
        </w:trPr>
        <w:tc>
          <w:tcPr>
            <w:tcW w:w="6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Provision for income taxes (in millions)</w:t>
            </w:r>
          </w:p>
        </w:tc>
        <w:tc>
          <w:tcPr>
            <w:tcW w:w="56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960" w:type="dxa"/>
            <w:vAlign w:val="bottom"/>
            <w:tcBorders>
              <w:bottom w:val="single" w:sz="8" w:color="DBDBDB"/>
            </w:tcBorders>
            <w:shd w:val="clear" w:color="auto" w:fill="DBDBDB"/>
          </w:tcPr>
          <w:p>
            <w:pPr>
              <w:jc w:val="right"/>
              <w:ind w:right="183"/>
              <w:spacing w:after="0" w:line="126" w:lineRule="exact"/>
              <w:rPr>
                <w:sz w:val="20"/>
                <w:szCs w:val="20"/>
                <w:color w:val="auto"/>
              </w:rPr>
            </w:pPr>
            <w:r>
              <w:rPr>
                <w:rFonts w:ascii="Calibri" w:cs="Calibri" w:eastAsia="Calibri" w:hAnsi="Calibri"/>
                <w:sz w:val="11"/>
                <w:szCs w:val="11"/>
                <w:color w:val="auto"/>
              </w:rPr>
              <w:t>3.7</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20" w:type="dxa"/>
            <w:vAlign w:val="bottom"/>
            <w:tcBorders>
              <w:bottom w:val="single" w:sz="8" w:color="DBDBDB"/>
            </w:tcBorders>
            <w:shd w:val="clear" w:color="auto" w:fill="DBDBDB"/>
          </w:tcPr>
          <w:p>
            <w:pPr>
              <w:ind w:left="980"/>
              <w:spacing w:after="0" w:line="126" w:lineRule="exact"/>
              <w:rPr>
                <w:sz w:val="20"/>
                <w:szCs w:val="20"/>
                <w:color w:val="auto"/>
              </w:rPr>
            </w:pPr>
            <w:r>
              <w:rPr>
                <w:rFonts w:ascii="Calibri" w:cs="Calibri" w:eastAsia="Calibri" w:hAnsi="Calibri"/>
                <w:sz w:val="11"/>
                <w:szCs w:val="11"/>
                <w:color w:val="auto"/>
              </w:rPr>
              <w:t>21.1</w:t>
            </w:r>
          </w:p>
        </w:tc>
        <w:tc>
          <w:tcPr>
            <w:tcW w:w="6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820" w:type="dxa"/>
            <w:vAlign w:val="bottom"/>
            <w:tcBorders>
              <w:bottom w:val="single" w:sz="8" w:color="DBDBDB"/>
            </w:tcBorders>
            <w:shd w:val="clear" w:color="auto" w:fill="DBDBDB"/>
          </w:tcPr>
          <w:p>
            <w:pPr>
              <w:ind w:left="500"/>
              <w:spacing w:after="0" w:line="126" w:lineRule="exact"/>
              <w:rPr>
                <w:sz w:val="20"/>
                <w:szCs w:val="20"/>
                <w:color w:val="auto"/>
              </w:rPr>
            </w:pPr>
            <w:r>
              <w:rPr>
                <w:rFonts w:ascii="Calibri" w:cs="Calibri" w:eastAsia="Calibri" w:hAnsi="Calibri"/>
                <w:sz w:val="11"/>
                <w:szCs w:val="11"/>
                <w:color w:val="auto"/>
              </w:rPr>
              <w:t>15.0</w:t>
            </w:r>
          </w:p>
        </w:tc>
      </w:tr>
      <w:tr>
        <w:trPr>
          <w:trHeight w:val="170"/>
        </w:trPr>
        <w:tc>
          <w:tcPr>
            <w:tcW w:w="6600" w:type="dxa"/>
            <w:vAlign w:val="bottom"/>
          </w:tcPr>
          <w:p>
            <w:pPr>
              <w:ind w:left="20"/>
              <w:spacing w:after="0" w:line="170" w:lineRule="exact"/>
              <w:rPr>
                <w:sz w:val="20"/>
                <w:szCs w:val="20"/>
                <w:color w:val="auto"/>
              </w:rPr>
            </w:pPr>
            <w:r>
              <w:rPr>
                <w:rFonts w:ascii="Calibri" w:cs="Calibri" w:eastAsia="Calibri" w:hAnsi="Calibri"/>
                <w:sz w:val="11"/>
                <w:szCs w:val="11"/>
                <w:color w:val="auto"/>
              </w:rPr>
              <w:t>Efectve tax rate</w:t>
            </w:r>
            <w:r>
              <w:rPr>
                <w:rFonts w:ascii="Calibri" w:cs="Calibri" w:eastAsia="Calibri" w:hAnsi="Calibri"/>
                <w:sz w:val="14"/>
                <w:szCs w:val="14"/>
                <w:color w:val="auto"/>
                <w:vertAlign w:val="superscript"/>
              </w:rPr>
              <w:t>(1)</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Calibri" w:cs="Calibri" w:eastAsia="Calibri" w:hAnsi="Calibri"/>
                <w:sz w:val="11"/>
                <w:szCs w:val="11"/>
                <w:color w:val="auto"/>
              </w:rPr>
              <w:t>(12.0)%</w:t>
            </w:r>
          </w:p>
        </w:tc>
        <w:tc>
          <w:tcPr>
            <w:tcW w:w="200" w:type="dxa"/>
            <w:vAlign w:val="bottom"/>
          </w:tcPr>
          <w:p>
            <w:pPr>
              <w:spacing w:after="0"/>
              <w:rPr>
                <w:sz w:val="14"/>
                <w:szCs w:val="14"/>
                <w:color w:val="auto"/>
              </w:rPr>
            </w:pPr>
          </w:p>
        </w:tc>
        <w:tc>
          <w:tcPr>
            <w:tcW w:w="1420" w:type="dxa"/>
            <w:vAlign w:val="bottom"/>
          </w:tcPr>
          <w:p>
            <w:pPr>
              <w:ind w:left="980"/>
              <w:spacing w:after="0"/>
              <w:rPr>
                <w:sz w:val="20"/>
                <w:szCs w:val="20"/>
                <w:color w:val="auto"/>
              </w:rPr>
            </w:pPr>
            <w:r>
              <w:rPr>
                <w:rFonts w:ascii="Calibri" w:cs="Calibri" w:eastAsia="Calibri" w:hAnsi="Calibri"/>
                <w:sz w:val="11"/>
                <w:szCs w:val="11"/>
                <w:color w:val="auto"/>
              </w:rPr>
              <w:t>32.0 %</w:t>
            </w:r>
          </w:p>
        </w:tc>
        <w:tc>
          <w:tcPr>
            <w:tcW w:w="680" w:type="dxa"/>
            <w:vAlign w:val="bottom"/>
          </w:tcPr>
          <w:p>
            <w:pPr>
              <w:spacing w:after="0"/>
              <w:rPr>
                <w:sz w:val="14"/>
                <w:szCs w:val="14"/>
                <w:color w:val="auto"/>
              </w:rPr>
            </w:pPr>
          </w:p>
        </w:tc>
        <w:tc>
          <w:tcPr>
            <w:tcW w:w="820" w:type="dxa"/>
            <w:vAlign w:val="bottom"/>
          </w:tcPr>
          <w:p>
            <w:pPr>
              <w:ind w:left="500"/>
              <w:spacing w:after="0"/>
              <w:rPr>
                <w:sz w:val="20"/>
                <w:szCs w:val="20"/>
                <w:color w:val="auto"/>
              </w:rPr>
            </w:pPr>
            <w:r>
              <w:rPr>
                <w:rFonts w:ascii="Calibri" w:cs="Calibri" w:eastAsia="Calibri" w:hAnsi="Calibri"/>
                <w:sz w:val="11"/>
                <w:szCs w:val="11"/>
                <w:color w:val="auto"/>
              </w:rPr>
              <w:t>34.2 %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6985</wp:posOffset>
            </wp:positionV>
            <wp:extent cx="713486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4" w:lineRule="exact"/>
        <w:rPr>
          <w:sz w:val="20"/>
          <w:szCs w:val="20"/>
          <w:color w:val="auto"/>
        </w:rPr>
      </w:pPr>
    </w:p>
    <w:p>
      <w:pPr>
        <w:ind w:left="120" w:hanging="115"/>
        <w:spacing w:after="0"/>
        <w:tabs>
          <w:tab w:leader="none" w:pos="120" w:val="left"/>
        </w:tabs>
        <w:numPr>
          <w:ilvl w:val="0"/>
          <w:numId w:val="9"/>
        </w:numPr>
        <w:rPr>
          <w:rFonts w:ascii="Calibri" w:cs="Calibri" w:eastAsia="Calibri" w:hAnsi="Calibri"/>
          <w:sz w:val="13"/>
          <w:szCs w:val="13"/>
          <w:color w:val="auto"/>
          <w:vertAlign w:val="superscript"/>
        </w:rPr>
      </w:pPr>
      <w:r>
        <w:rPr>
          <w:rFonts w:ascii="Calibri" w:cs="Calibri" w:eastAsia="Calibri" w:hAnsi="Calibri"/>
          <w:sz w:val="10"/>
          <w:szCs w:val="10"/>
          <w:color w:val="auto"/>
        </w:rPr>
        <w:t>May not sum due to rounding.</w:t>
      </w:r>
    </w:p>
    <w:p>
      <w:pPr>
        <w:spacing w:after="0" w:line="154" w:lineRule="exact"/>
        <w:rPr>
          <w:sz w:val="20"/>
          <w:szCs w:val="20"/>
          <w:color w:val="auto"/>
        </w:rPr>
      </w:pPr>
    </w:p>
    <w:p>
      <w:pPr>
        <w:ind w:right="60" w:firstLine="509"/>
        <w:spacing w:after="0" w:line="233" w:lineRule="auto"/>
        <w:rPr>
          <w:sz w:val="20"/>
          <w:szCs w:val="20"/>
          <w:color w:val="auto"/>
        </w:rPr>
      </w:pPr>
      <w:r>
        <w:rPr>
          <w:rFonts w:ascii="Calibri" w:cs="Calibri" w:eastAsia="Calibri" w:hAnsi="Calibri"/>
          <w:sz w:val="13"/>
          <w:szCs w:val="13"/>
          <w:color w:val="auto"/>
        </w:rPr>
        <w:t>The provision for income taxes decreased $17.4 million or 82% in fscal year 2022 compared to fscal year 2021. In 2022, our provision for income taxes was impacted by the $49.5 million non-deductble goodwill impairment charge, which generated a pre-tax loss. In 2021, the provision for income taxes included a $5.4 million charge from the remeasurement of our deferred tax balances in Peru due to the enactment of tax law repealing tax benefts to agribusiness enttes. The new law was enacted on December 30, 2020, and will subject us to higher Peruvian corporate income tax rates than our current rate of 15% as follows: 20% for calendar years 2023 to 2024, 25% for calendar years 2025 to 2027, and 29.5% thereafer.</w:t>
      </w:r>
    </w:p>
    <w:p>
      <w:pPr>
        <w:spacing w:after="0" w:line="158" w:lineRule="exact"/>
        <w:rPr>
          <w:sz w:val="20"/>
          <w:szCs w:val="20"/>
          <w:color w:val="auto"/>
        </w:rPr>
      </w:pPr>
    </w:p>
    <w:p>
      <w:pPr>
        <w:ind w:right="40" w:firstLine="509"/>
        <w:spacing w:after="0" w:line="229" w:lineRule="auto"/>
        <w:rPr>
          <w:sz w:val="20"/>
          <w:szCs w:val="20"/>
          <w:color w:val="auto"/>
        </w:rPr>
      </w:pPr>
      <w:r>
        <w:rPr>
          <w:rFonts w:ascii="Calibri" w:cs="Calibri" w:eastAsia="Calibri" w:hAnsi="Calibri"/>
          <w:sz w:val="13"/>
          <w:szCs w:val="13"/>
          <w:color w:val="auto"/>
        </w:rPr>
        <w:t>The provision for income taxes increased $6.1 million or 41% in fscal year 2021 compared to fscal year 2020, primarily due to remeasurement of our deferred tax balances in Peru due to the enactment of tax rate changes as described above. The deferred tax balances were remeasured based on the applicable tax rate in the year the deferred balances are expected to reverse, resultng in a net deferred tax liability increase of $5.4 million, which also increased income tax expense by the same amount. The efectve tax rate decreased by 2.2% in fscal year 2021 over fscal year 2020. The decrease was primarily due to the nondeductble impairment of Moruga in fscal year 2020, partally ofset by increases in the Peruvian tax rates.</w:t>
      </w:r>
    </w:p>
    <w:p>
      <w:pPr>
        <w:spacing w:after="0" w:line="15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Segment Results of Operatons</w:t>
      </w:r>
    </w:p>
    <w:p>
      <w:pPr>
        <w:spacing w:after="0" w:line="182" w:lineRule="exact"/>
        <w:rPr>
          <w:sz w:val="20"/>
          <w:szCs w:val="20"/>
          <w:color w:val="auto"/>
        </w:rPr>
      </w:pPr>
    </w:p>
    <w:p>
      <w:pPr>
        <w:ind w:right="100" w:firstLine="509"/>
        <w:spacing w:after="0" w:line="230" w:lineRule="auto"/>
        <w:rPr>
          <w:sz w:val="20"/>
          <w:szCs w:val="20"/>
          <w:color w:val="auto"/>
        </w:rPr>
      </w:pPr>
      <w:r>
        <w:rPr>
          <w:rFonts w:ascii="Calibri" w:cs="Calibri" w:eastAsia="Calibri" w:hAnsi="Calibri"/>
          <w:sz w:val="13"/>
          <w:szCs w:val="13"/>
          <w:color w:val="auto"/>
        </w:rPr>
        <w:t>Our CEO evaluates and monitors segment performance primarily through segment sales and segment adjusted earnings before interest expense, income taxes and depreciaton and amortzaton (“adjusted EBITDA”). We believe that adjusted EBITDA by segment provides useful informaton for analyzing the underlying business results as well as allowing investors a means to evaluate the fnancial results of each reportable segment in relaton to the Company as a whole. These measures are not in accordance with, nor are they a substtute for or superior to, the comparable GAAP fnancial measures.</w:t>
      </w:r>
    </w:p>
    <w:p>
      <w:pPr>
        <w:spacing w:after="0" w:line="159" w:lineRule="exact"/>
        <w:rPr>
          <w:sz w:val="20"/>
          <w:szCs w:val="20"/>
          <w:color w:val="auto"/>
        </w:rPr>
      </w:pPr>
    </w:p>
    <w:p>
      <w:pPr>
        <w:ind w:right="20" w:firstLine="509"/>
        <w:spacing w:after="0" w:line="229" w:lineRule="auto"/>
        <w:rPr>
          <w:sz w:val="20"/>
          <w:szCs w:val="20"/>
          <w:color w:val="auto"/>
        </w:rPr>
      </w:pPr>
      <w:r>
        <w:rPr>
          <w:rFonts w:ascii="Calibri" w:cs="Calibri" w:eastAsia="Calibri" w:hAnsi="Calibri"/>
          <w:sz w:val="13"/>
          <w:szCs w:val="13"/>
          <w:color w:val="auto"/>
        </w:rPr>
        <w:t>Adjusted EBITDA refers to net income (loss), before interest expense, income taxes, depreciaton and amortzaton expense, stock-based compensaton expense, other income (expense), and income (loss) from equity method investees, further adjusted by asset impairment and disposals, net of insurance recoveries, farming costs for nonproductve orchards (which represents land lease costs), certain noncash and nonrecurring ERP costs, transacton costs, material legal setlements, amortzaton of inventory adjustments recognized from business combinatons, and any special, non-recurring, or one-tme items such as remeasurements or impairments,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3" w:right="319" w:bottom="1440" w:gutter="0" w:footer="0" w:header="0"/>
        </w:sectPr>
      </w:pPr>
    </w:p>
    <w:bookmarkStart w:id="26" w:name="page27"/>
    <w:bookmarkEnd w:id="26"/>
    <w:p>
      <w:pPr>
        <w:spacing w:after="0"/>
        <w:rPr>
          <w:sz w:val="20"/>
          <w:szCs w:val="20"/>
          <w:color w:val="auto"/>
        </w:rPr>
      </w:pPr>
      <w:r>
        <w:rPr>
          <w:rFonts w:ascii="Calibri" w:cs="Calibri" w:eastAsia="Calibri" w:hAnsi="Calibri"/>
          <w:sz w:val="13"/>
          <w:szCs w:val="13"/>
          <w:color w:val="auto"/>
        </w:rPr>
        <w:t>any porton of these items atributable to the noncontrolling interest, all of which are excluded from the results the CEO reviews uses to assess segment performance and results.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Net sales</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22"/>
        </w:trPr>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1"/>
              <w:spacing w:after="0"/>
              <w:rPr>
                <w:sz w:val="20"/>
                <w:szCs w:val="20"/>
                <w:color w:val="auto"/>
              </w:rPr>
            </w:pPr>
            <w:r>
              <w:rPr>
                <w:rFonts w:ascii="Calibri" w:cs="Calibri" w:eastAsia="Calibri" w:hAnsi="Calibri"/>
                <w:sz w:val="10"/>
                <w:szCs w:val="10"/>
                <w:b w:val="1"/>
                <w:bCs w:val="1"/>
                <w:color w:val="auto"/>
              </w:rPr>
              <w:t>Marketng and</w:t>
            </w: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right"/>
              <w:ind w:right="11"/>
              <w:spacing w:after="0"/>
              <w:rPr>
                <w:sz w:val="20"/>
                <w:szCs w:val="20"/>
                <w:color w:val="auto"/>
              </w:rPr>
            </w:pPr>
            <w:r>
              <w:rPr>
                <w:rFonts w:ascii="Calibri" w:cs="Calibri" w:eastAsia="Calibri" w:hAnsi="Calibri"/>
                <w:sz w:val="10"/>
                <w:szCs w:val="10"/>
                <w:b w:val="1"/>
                <w:bCs w:val="1"/>
                <w:color w:val="auto"/>
              </w:rPr>
              <w:t>Marketng and</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1"/>
              <w:spacing w:after="0"/>
              <w:rPr>
                <w:sz w:val="20"/>
                <w:szCs w:val="20"/>
                <w:color w:val="auto"/>
              </w:rPr>
            </w:pPr>
            <w:r>
              <w:rPr>
                <w:rFonts w:ascii="Calibri" w:cs="Calibri" w:eastAsia="Calibri" w:hAnsi="Calibri"/>
                <w:sz w:val="10"/>
                <w:szCs w:val="10"/>
                <w:b w:val="1"/>
                <w:bCs w:val="1"/>
                <w:color w:val="auto"/>
              </w:rPr>
              <w:t>Marketng and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Calibri" w:cs="Calibri" w:eastAsia="Calibri" w:hAnsi="Calibri"/>
                <w:sz w:val="10"/>
                <w:szCs w:val="10"/>
                <w:b w:val="1"/>
                <w:bCs w:val="1"/>
                <w:color w:val="auto"/>
              </w:rPr>
              <w:t>Distributon</w:t>
            </w:r>
          </w:p>
        </w:tc>
        <w:tc>
          <w:tcPr>
            <w:tcW w:w="1080" w:type="dxa"/>
            <w:vAlign w:val="bottom"/>
            <w:tcBorders>
              <w:bottom w:val="single" w:sz="8" w:color="auto"/>
            </w:tcBorders>
            <w:gridSpan w:val="2"/>
          </w:tcPr>
          <w:p>
            <w:pPr>
              <w:ind w:left="100"/>
              <w:spacing w:after="0" w:line="117" w:lineRule="exact"/>
              <w:rPr>
                <w:sz w:val="20"/>
                <w:szCs w:val="20"/>
                <w:color w:val="auto"/>
              </w:rPr>
            </w:pPr>
            <w:r>
              <w:rPr>
                <w:rFonts w:ascii="Calibri" w:cs="Calibri" w:eastAsia="Calibri" w:hAnsi="Calibri"/>
                <w:sz w:val="10"/>
                <w:szCs w:val="10"/>
                <w:b w:val="1"/>
                <w:bCs w:val="1"/>
                <w:color w:val="auto"/>
              </w:rPr>
              <w:t>Internatonal Farming</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1"/>
              <w:spacing w:after="0" w:line="117" w:lineRule="exact"/>
              <w:rPr>
                <w:sz w:val="20"/>
                <w:szCs w:val="20"/>
                <w:color w:val="auto"/>
              </w:rPr>
            </w:pPr>
            <w:r>
              <w:rPr>
                <w:rFonts w:ascii="Calibri" w:cs="Calibri" w:eastAsia="Calibri" w:hAnsi="Calibri"/>
                <w:sz w:val="10"/>
                <w:szCs w:val="10"/>
                <w:b w:val="1"/>
                <w:bCs w:val="1"/>
                <w:color w:val="auto"/>
              </w:rPr>
              <w:t>Blueberries</w:t>
            </w: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71"/>
              <w:spacing w:after="0" w:line="117" w:lineRule="exact"/>
              <w:rPr>
                <w:sz w:val="20"/>
                <w:szCs w:val="20"/>
                <w:color w:val="auto"/>
              </w:rPr>
            </w:pPr>
            <w:r>
              <w:rPr>
                <w:rFonts w:ascii="Calibri" w:cs="Calibri" w:eastAsia="Calibri" w:hAnsi="Calibri"/>
                <w:sz w:val="10"/>
                <w:szCs w:val="10"/>
                <w:b w:val="1"/>
                <w:bCs w:val="1"/>
                <w:color w:val="auto"/>
              </w:rPr>
              <w:t>Total</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ind w:left="200"/>
              <w:spacing w:after="0"/>
              <w:rPr>
                <w:sz w:val="20"/>
                <w:szCs w:val="20"/>
                <w:color w:val="auto"/>
              </w:rPr>
            </w:pPr>
            <w:r>
              <w:rPr>
                <w:rFonts w:ascii="Calibri" w:cs="Calibri" w:eastAsia="Calibri" w:hAnsi="Calibri"/>
                <w:sz w:val="10"/>
                <w:szCs w:val="10"/>
                <w:b w:val="1"/>
                <w:bCs w:val="1"/>
                <w:color w:val="auto"/>
              </w:rPr>
              <w:t>Distributon</w:t>
            </w:r>
          </w:p>
        </w:tc>
        <w:tc>
          <w:tcPr>
            <w:tcW w:w="1080" w:type="dxa"/>
            <w:vAlign w:val="bottom"/>
            <w:tcBorders>
              <w:bottom w:val="single" w:sz="8" w:color="auto"/>
            </w:tcBorders>
            <w:gridSpan w:val="2"/>
          </w:tcPr>
          <w:p>
            <w:pPr>
              <w:jc w:val="right"/>
              <w:ind w:right="31"/>
              <w:spacing w:after="0" w:line="117" w:lineRule="exact"/>
              <w:rPr>
                <w:sz w:val="20"/>
                <w:szCs w:val="20"/>
                <w:color w:val="auto"/>
              </w:rPr>
            </w:pPr>
            <w:r>
              <w:rPr>
                <w:rFonts w:ascii="Calibri" w:cs="Calibri" w:eastAsia="Calibri" w:hAnsi="Calibri"/>
                <w:sz w:val="10"/>
                <w:szCs w:val="10"/>
                <w:b w:val="1"/>
                <w:bCs w:val="1"/>
                <w:color w:val="auto"/>
              </w:rPr>
              <w:t>Internatonal Farming</w:t>
            </w: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71"/>
              <w:spacing w:after="0" w:line="117" w:lineRule="exact"/>
              <w:rPr>
                <w:sz w:val="20"/>
                <w:szCs w:val="20"/>
                <w:color w:val="auto"/>
              </w:rPr>
            </w:pPr>
            <w:r>
              <w:rPr>
                <w:rFonts w:ascii="Calibri" w:cs="Calibri" w:eastAsia="Calibri" w:hAnsi="Calibri"/>
                <w:sz w:val="10"/>
                <w:szCs w:val="10"/>
                <w:b w:val="1"/>
                <w:bCs w:val="1"/>
                <w:color w:val="auto"/>
              </w:rPr>
              <w:t>Total</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1"/>
              <w:spacing w:after="0"/>
              <w:rPr>
                <w:sz w:val="20"/>
                <w:szCs w:val="20"/>
                <w:color w:val="auto"/>
              </w:rPr>
            </w:pPr>
            <w:r>
              <w:rPr>
                <w:rFonts w:ascii="Calibri" w:cs="Calibri" w:eastAsia="Calibri" w:hAnsi="Calibri"/>
                <w:sz w:val="10"/>
                <w:szCs w:val="10"/>
                <w:b w:val="1"/>
                <w:bCs w:val="1"/>
                <w:color w:val="auto"/>
              </w:rPr>
              <w:t>Distributon</w:t>
            </w:r>
          </w:p>
        </w:tc>
        <w:tc>
          <w:tcPr>
            <w:tcW w:w="1080" w:type="dxa"/>
            <w:vAlign w:val="bottom"/>
            <w:tcBorders>
              <w:bottom w:val="single" w:sz="8" w:color="auto"/>
            </w:tcBorders>
            <w:gridSpan w:val="2"/>
          </w:tcPr>
          <w:p>
            <w:pPr>
              <w:jc w:val="right"/>
              <w:ind w:right="31"/>
              <w:spacing w:after="0" w:line="117" w:lineRule="exact"/>
              <w:rPr>
                <w:sz w:val="20"/>
                <w:szCs w:val="20"/>
                <w:color w:val="auto"/>
              </w:rPr>
            </w:pPr>
            <w:r>
              <w:rPr>
                <w:rFonts w:ascii="Calibri" w:cs="Calibri" w:eastAsia="Calibri" w:hAnsi="Calibri"/>
                <w:sz w:val="10"/>
                <w:szCs w:val="10"/>
                <w:b w:val="1"/>
                <w:bCs w:val="1"/>
                <w:color w:val="auto"/>
              </w:rPr>
              <w:t>Internatonal Farming</w:t>
            </w: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17" w:lineRule="exact"/>
              <w:rPr>
                <w:sz w:val="20"/>
                <w:szCs w:val="20"/>
                <w:color w:val="auto"/>
              </w:rPr>
            </w:pPr>
            <w:r>
              <w:rPr>
                <w:rFonts w:ascii="Calibri" w:cs="Calibri" w:eastAsia="Calibri" w:hAnsi="Calibri"/>
                <w:sz w:val="10"/>
                <w:szCs w:val="10"/>
                <w:b w:val="1"/>
                <w:bCs w:val="1"/>
                <w:color w:val="auto"/>
              </w:rPr>
              <w:t>Total</w:t>
            </w: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Calibri" w:cs="Calibri" w:eastAsia="Calibri" w:hAnsi="Calibri"/>
                <w:sz w:val="10"/>
                <w:szCs w:val="10"/>
                <w:b w:val="1"/>
                <w:bCs w:val="1"/>
                <w:color w:val="auto"/>
              </w:rPr>
              <w:t>Years ended October 31,</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800" w:type="dxa"/>
            <w:vAlign w:val="bottom"/>
            <w:vMerge w:val="restart"/>
          </w:tcPr>
          <w:p>
            <w:pPr>
              <w:spacing w:after="0"/>
              <w:rPr>
                <w:sz w:val="20"/>
                <w:szCs w:val="20"/>
                <w:color w:val="auto"/>
              </w:rPr>
            </w:pPr>
            <w:r>
              <w:rPr>
                <w:rFonts w:ascii="Calibri" w:cs="Calibri" w:eastAsia="Calibri" w:hAnsi="Calibri"/>
                <w:sz w:val="10"/>
                <w:szCs w:val="10"/>
                <w:b w:val="1"/>
                <w:bCs w:val="1"/>
                <w:color w:val="auto"/>
              </w:rPr>
              <w:t>(In millions)</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jc w:val="right"/>
              <w:ind w:right="31"/>
              <w:spacing w:after="0" w:line="121" w:lineRule="exact"/>
              <w:rPr>
                <w:sz w:val="20"/>
                <w:szCs w:val="20"/>
                <w:color w:val="auto"/>
              </w:rPr>
            </w:pPr>
            <w:r>
              <w:rPr>
                <w:rFonts w:ascii="Calibri" w:cs="Calibri" w:eastAsia="Calibri" w:hAnsi="Calibri"/>
                <w:sz w:val="10"/>
                <w:szCs w:val="10"/>
                <w:b w:val="1"/>
                <w:bCs w:val="1"/>
                <w:color w:val="auto"/>
              </w:rPr>
              <w:t>2022</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51"/>
              <w:spacing w:after="0" w:line="121" w:lineRule="exact"/>
              <w:rPr>
                <w:sz w:val="20"/>
                <w:szCs w:val="20"/>
                <w:color w:val="auto"/>
              </w:rPr>
            </w:pPr>
            <w:r>
              <w:rPr>
                <w:rFonts w:ascii="Calibri" w:cs="Calibri" w:eastAsia="Calibri" w:hAnsi="Calibri"/>
                <w:sz w:val="10"/>
                <w:szCs w:val="10"/>
                <w:b w:val="1"/>
                <w:bCs w:val="1"/>
                <w:color w:val="auto"/>
              </w:rPr>
              <w:t>2021</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511"/>
              <w:spacing w:after="0" w:line="121" w:lineRule="exact"/>
              <w:rPr>
                <w:sz w:val="20"/>
                <w:szCs w:val="20"/>
                <w:color w:val="auto"/>
              </w:rPr>
            </w:pPr>
            <w:r>
              <w:rPr>
                <w:rFonts w:ascii="Calibri" w:cs="Calibri" w:eastAsia="Calibri" w:hAnsi="Calibri"/>
                <w:sz w:val="10"/>
                <w:szCs w:val="10"/>
                <w:b w:val="1"/>
                <w:bCs w:val="1"/>
                <w:color w:val="auto"/>
              </w:rPr>
              <w:t>2020</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800" w:type="dxa"/>
            <w:vAlign w:val="bottom"/>
            <w:tcBorders>
              <w:bottom w:val="single" w:sz="8" w:color="DBDBDB"/>
            </w:tcBorders>
            <w:shd w:val="clear" w:color="auto" w:fill="DBDBDB"/>
          </w:tcPr>
          <w:p>
            <w:pPr>
              <w:spacing w:after="0" w:line="121" w:lineRule="exact"/>
              <w:rPr>
                <w:sz w:val="20"/>
                <w:szCs w:val="20"/>
                <w:color w:val="auto"/>
              </w:rPr>
            </w:pPr>
            <w:r>
              <w:rPr>
                <w:rFonts w:ascii="Calibri" w:cs="Calibri" w:eastAsia="Calibri" w:hAnsi="Calibri"/>
                <w:sz w:val="10"/>
                <w:szCs w:val="10"/>
                <w:color w:val="auto"/>
              </w:rPr>
              <w:t>Third party sales</w:t>
            </w:r>
          </w:p>
        </w:tc>
        <w:tc>
          <w:tcPr>
            <w:tcW w:w="1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1,016.1</w:t>
            </w:r>
          </w:p>
        </w:tc>
        <w:tc>
          <w:tcPr>
            <w:tcW w:w="440" w:type="dxa"/>
            <w:vAlign w:val="bottom"/>
            <w:tcBorders>
              <w:bottom w:val="single" w:sz="8" w:color="DBDBDB"/>
            </w:tcBorders>
            <w:shd w:val="clear" w:color="auto" w:fill="DBDBDB"/>
          </w:tcPr>
          <w:p>
            <w:pPr>
              <w:ind w:left="80"/>
              <w:spacing w:after="0" w:line="121" w:lineRule="exact"/>
              <w:rPr>
                <w:sz w:val="20"/>
                <w:szCs w:val="20"/>
                <w:color w:val="auto"/>
              </w:rPr>
            </w:pPr>
            <w:r>
              <w:rPr>
                <w:rFonts w:ascii="Calibri" w:cs="Calibri" w:eastAsia="Calibri" w:hAnsi="Calibri"/>
                <w:sz w:val="10"/>
                <w:szCs w:val="10"/>
                <w:color w:val="auto"/>
              </w:rPr>
              <w:t>$</w:t>
            </w:r>
          </w:p>
        </w:tc>
        <w:tc>
          <w:tcPr>
            <w:tcW w:w="64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19.1</w:t>
            </w:r>
          </w:p>
        </w:tc>
        <w:tc>
          <w:tcPr>
            <w:tcW w:w="2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w:t>
            </w:r>
          </w:p>
        </w:tc>
        <w:tc>
          <w:tcPr>
            <w:tcW w:w="70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10.8</w:t>
            </w:r>
          </w:p>
        </w:tc>
        <w:tc>
          <w:tcPr>
            <w:tcW w:w="22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5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1,045.9</w:t>
            </w:r>
          </w:p>
        </w:tc>
        <w:tc>
          <w:tcPr>
            <w:tcW w:w="28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872.0</w:t>
            </w:r>
          </w:p>
        </w:tc>
        <w:tc>
          <w:tcPr>
            <w:tcW w:w="620" w:type="dxa"/>
            <w:vAlign w:val="bottom"/>
            <w:tcBorders>
              <w:bottom w:val="single" w:sz="8" w:color="DBDBDB"/>
            </w:tcBorders>
            <w:shd w:val="clear" w:color="auto" w:fill="DBDBDB"/>
          </w:tcPr>
          <w:p>
            <w:pPr>
              <w:jc w:val="right"/>
              <w:ind w:right="431"/>
              <w:spacing w:after="0" w:line="121" w:lineRule="exact"/>
              <w:rPr>
                <w:sz w:val="20"/>
                <w:szCs w:val="20"/>
                <w:color w:val="auto"/>
              </w:rPr>
            </w:pPr>
            <w:r>
              <w:rPr>
                <w:rFonts w:ascii="Calibri" w:cs="Calibri" w:eastAsia="Calibri" w:hAnsi="Calibri"/>
                <w:sz w:val="10"/>
                <w:szCs w:val="10"/>
                <w:color w:val="auto"/>
              </w:rPr>
              <w:t>$</w:t>
            </w:r>
          </w:p>
        </w:tc>
        <w:tc>
          <w:tcPr>
            <w:tcW w:w="46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19.7</w:t>
            </w:r>
          </w:p>
        </w:tc>
        <w:tc>
          <w:tcPr>
            <w:tcW w:w="26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52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891.7</w:t>
            </w:r>
          </w:p>
        </w:tc>
        <w:tc>
          <w:tcPr>
            <w:tcW w:w="2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846.9</w:t>
            </w:r>
          </w:p>
        </w:tc>
        <w:tc>
          <w:tcPr>
            <w:tcW w:w="24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840" w:type="dxa"/>
            <w:vAlign w:val="bottom"/>
            <w:tcBorders>
              <w:bottom w:val="single" w:sz="8" w:color="DBDBDB"/>
            </w:tcBorders>
            <w:shd w:val="clear" w:color="auto" w:fill="DBDBDB"/>
          </w:tcPr>
          <w:p>
            <w:pPr>
              <w:jc w:val="center"/>
              <w:ind w:left="391"/>
              <w:spacing w:after="0" w:line="121" w:lineRule="exact"/>
              <w:rPr>
                <w:sz w:val="20"/>
                <w:szCs w:val="20"/>
                <w:color w:val="auto"/>
              </w:rPr>
            </w:pPr>
            <w:r>
              <w:rPr>
                <w:rFonts w:ascii="Calibri" w:cs="Calibri" w:eastAsia="Calibri" w:hAnsi="Calibri"/>
                <w:sz w:val="10"/>
                <w:szCs w:val="10"/>
                <w:color w:val="auto"/>
                <w:w w:val="89"/>
              </w:rPr>
              <w:t>15.4</w:t>
            </w:r>
          </w:p>
        </w:tc>
        <w:tc>
          <w:tcPr>
            <w:tcW w:w="28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4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862.3</w:t>
            </w:r>
          </w:p>
        </w:tc>
        <w:tc>
          <w:tcPr>
            <w:tcW w:w="0" w:type="dxa"/>
            <w:vAlign w:val="bottom"/>
          </w:tcPr>
          <w:p>
            <w:pPr>
              <w:spacing w:after="0"/>
              <w:rPr>
                <w:sz w:val="1"/>
                <w:szCs w:val="1"/>
                <w:color w:val="auto"/>
              </w:rPr>
            </w:pPr>
          </w:p>
        </w:tc>
      </w:tr>
      <w:tr>
        <w:trPr>
          <w:trHeight w:val="130"/>
        </w:trPr>
        <w:tc>
          <w:tcPr>
            <w:tcW w:w="1800" w:type="dxa"/>
            <w:vAlign w:val="bottom"/>
          </w:tcPr>
          <w:p>
            <w:pPr>
              <w:spacing w:after="0"/>
              <w:rPr>
                <w:sz w:val="20"/>
                <w:szCs w:val="20"/>
                <w:color w:val="auto"/>
              </w:rPr>
            </w:pPr>
            <w:r>
              <w:rPr>
                <w:rFonts w:ascii="Calibri" w:cs="Calibri" w:eastAsia="Calibri" w:hAnsi="Calibri"/>
                <w:sz w:val="10"/>
                <w:szCs w:val="10"/>
                <w:color w:val="auto"/>
              </w:rPr>
              <w:t>Afliated sales</w:t>
            </w:r>
          </w:p>
        </w:tc>
        <w:tc>
          <w:tcPr>
            <w:tcW w:w="140" w:type="dxa"/>
            <w:vAlign w:val="bottom"/>
          </w:tcPr>
          <w:p>
            <w:pPr>
              <w:spacing w:after="0"/>
              <w:rPr>
                <w:sz w:val="11"/>
                <w:szCs w:val="11"/>
                <w:color w:val="auto"/>
              </w:rPr>
            </w:pPr>
          </w:p>
        </w:tc>
        <w:tc>
          <w:tcPr>
            <w:tcW w:w="760" w:type="dxa"/>
            <w:vAlign w:val="bottom"/>
          </w:tcPr>
          <w:p>
            <w:pPr>
              <w:jc w:val="right"/>
              <w:ind w:right="51"/>
              <w:spacing w:after="0"/>
              <w:rPr>
                <w:sz w:val="20"/>
                <w:szCs w:val="20"/>
                <w:color w:val="auto"/>
              </w:rPr>
            </w:pPr>
            <w:r>
              <w:rPr>
                <w:rFonts w:ascii="Calibri" w:cs="Calibri" w:eastAsia="Calibri" w:hAnsi="Calibri"/>
                <w:sz w:val="10"/>
                <w:szCs w:val="10"/>
                <w:color w:val="auto"/>
              </w:rPr>
              <w:t>—</w:t>
            </w:r>
          </w:p>
        </w:tc>
        <w:tc>
          <w:tcPr>
            <w:tcW w:w="440" w:type="dxa"/>
            <w:vAlign w:val="bottom"/>
          </w:tcPr>
          <w:p>
            <w:pPr>
              <w:spacing w:after="0"/>
              <w:rPr>
                <w:sz w:val="11"/>
                <w:szCs w:val="11"/>
                <w:color w:val="auto"/>
              </w:rPr>
            </w:pPr>
          </w:p>
        </w:tc>
        <w:tc>
          <w:tcPr>
            <w:tcW w:w="640" w:type="dxa"/>
            <w:vAlign w:val="bottom"/>
          </w:tcPr>
          <w:p>
            <w:pPr>
              <w:jc w:val="right"/>
              <w:ind w:right="71"/>
              <w:spacing w:after="0"/>
              <w:rPr>
                <w:sz w:val="20"/>
                <w:szCs w:val="20"/>
                <w:color w:val="auto"/>
              </w:rPr>
            </w:pPr>
            <w:r>
              <w:rPr>
                <w:rFonts w:ascii="Calibri" w:cs="Calibri" w:eastAsia="Calibri" w:hAnsi="Calibri"/>
                <w:sz w:val="10"/>
                <w:szCs w:val="10"/>
                <w:color w:val="auto"/>
              </w:rPr>
              <w:t>95.6</w:t>
            </w:r>
          </w:p>
        </w:tc>
        <w:tc>
          <w:tcPr>
            <w:tcW w:w="26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ind w:right="111"/>
              <w:spacing w:after="0"/>
              <w:rPr>
                <w:sz w:val="20"/>
                <w:szCs w:val="20"/>
                <w:color w:val="auto"/>
              </w:rPr>
            </w:pPr>
            <w:r>
              <w:rPr>
                <w:rFonts w:ascii="Calibri" w:cs="Calibri" w:eastAsia="Calibri" w:hAnsi="Calibri"/>
                <w:sz w:val="10"/>
                <w:szCs w:val="10"/>
                <w:color w:val="auto"/>
              </w:rPr>
              <w:t>95.6</w:t>
            </w:r>
          </w:p>
        </w:tc>
        <w:tc>
          <w:tcPr>
            <w:tcW w:w="280" w:type="dxa"/>
            <w:vAlign w:val="bottom"/>
          </w:tcPr>
          <w:p>
            <w:pPr>
              <w:spacing w:after="0"/>
              <w:rPr>
                <w:sz w:val="11"/>
                <w:szCs w:val="11"/>
                <w:color w:val="auto"/>
              </w:rPr>
            </w:pPr>
          </w:p>
        </w:tc>
        <w:tc>
          <w:tcPr>
            <w:tcW w:w="760" w:type="dxa"/>
            <w:vAlign w:val="bottom"/>
          </w:tcPr>
          <w:p>
            <w:pPr>
              <w:jc w:val="right"/>
              <w:ind w:right="51"/>
              <w:spacing w:after="0"/>
              <w:rPr>
                <w:sz w:val="20"/>
                <w:szCs w:val="20"/>
                <w:color w:val="auto"/>
              </w:rPr>
            </w:pPr>
            <w:r>
              <w:rPr>
                <w:rFonts w:ascii="Calibri" w:cs="Calibri" w:eastAsia="Calibri" w:hAnsi="Calibri"/>
                <w:sz w:val="10"/>
                <w:szCs w:val="10"/>
                <w:color w:val="auto"/>
              </w:rPr>
              <w:t>—</w:t>
            </w:r>
          </w:p>
        </w:tc>
        <w:tc>
          <w:tcPr>
            <w:tcW w:w="620" w:type="dxa"/>
            <w:vAlign w:val="bottom"/>
          </w:tcPr>
          <w:p>
            <w:pPr>
              <w:spacing w:after="0"/>
              <w:rPr>
                <w:sz w:val="11"/>
                <w:szCs w:val="11"/>
                <w:color w:val="auto"/>
              </w:rPr>
            </w:pPr>
          </w:p>
        </w:tc>
        <w:tc>
          <w:tcPr>
            <w:tcW w:w="460" w:type="dxa"/>
            <w:vAlign w:val="bottom"/>
          </w:tcPr>
          <w:p>
            <w:pPr>
              <w:jc w:val="right"/>
              <w:ind w:right="71"/>
              <w:spacing w:after="0"/>
              <w:rPr>
                <w:sz w:val="20"/>
                <w:szCs w:val="20"/>
                <w:color w:val="auto"/>
              </w:rPr>
            </w:pPr>
            <w:r>
              <w:rPr>
                <w:rFonts w:ascii="Calibri" w:cs="Calibri" w:eastAsia="Calibri" w:hAnsi="Calibri"/>
                <w:sz w:val="10"/>
                <w:szCs w:val="10"/>
                <w:color w:val="auto"/>
              </w:rPr>
              <w:t>84.9</w:t>
            </w:r>
          </w:p>
        </w:tc>
        <w:tc>
          <w:tcPr>
            <w:tcW w:w="260" w:type="dxa"/>
            <w:vAlign w:val="bottom"/>
          </w:tcPr>
          <w:p>
            <w:pPr>
              <w:spacing w:after="0"/>
              <w:rPr>
                <w:sz w:val="11"/>
                <w:szCs w:val="11"/>
                <w:color w:val="auto"/>
              </w:rPr>
            </w:pPr>
          </w:p>
        </w:tc>
        <w:tc>
          <w:tcPr>
            <w:tcW w:w="520" w:type="dxa"/>
            <w:vAlign w:val="bottom"/>
          </w:tcPr>
          <w:p>
            <w:pPr>
              <w:jc w:val="right"/>
              <w:ind w:right="111"/>
              <w:spacing w:after="0"/>
              <w:rPr>
                <w:sz w:val="20"/>
                <w:szCs w:val="20"/>
                <w:color w:val="auto"/>
              </w:rPr>
            </w:pPr>
            <w:r>
              <w:rPr>
                <w:rFonts w:ascii="Calibri" w:cs="Calibri" w:eastAsia="Calibri" w:hAnsi="Calibri"/>
                <w:sz w:val="10"/>
                <w:szCs w:val="10"/>
                <w:color w:val="auto"/>
              </w:rPr>
              <w:t>84.9</w:t>
            </w:r>
          </w:p>
        </w:tc>
        <w:tc>
          <w:tcPr>
            <w:tcW w:w="240" w:type="dxa"/>
            <w:vAlign w:val="bottom"/>
          </w:tcPr>
          <w:p>
            <w:pPr>
              <w:spacing w:after="0"/>
              <w:rPr>
                <w:sz w:val="11"/>
                <w:szCs w:val="11"/>
                <w:color w:val="auto"/>
              </w:rPr>
            </w:pPr>
          </w:p>
        </w:tc>
        <w:tc>
          <w:tcPr>
            <w:tcW w:w="78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840" w:type="dxa"/>
            <w:vAlign w:val="bottom"/>
          </w:tcPr>
          <w:p>
            <w:pPr>
              <w:jc w:val="center"/>
              <w:ind w:left="391"/>
              <w:spacing w:after="0"/>
              <w:rPr>
                <w:sz w:val="20"/>
                <w:szCs w:val="20"/>
                <w:color w:val="auto"/>
              </w:rPr>
            </w:pPr>
            <w:r>
              <w:rPr>
                <w:rFonts w:ascii="Calibri" w:cs="Calibri" w:eastAsia="Calibri" w:hAnsi="Calibri"/>
                <w:sz w:val="10"/>
                <w:szCs w:val="10"/>
                <w:color w:val="auto"/>
                <w:w w:val="89"/>
              </w:rPr>
              <w:t>66.4</w:t>
            </w:r>
          </w:p>
        </w:tc>
        <w:tc>
          <w:tcPr>
            <w:tcW w:w="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alibri" w:cs="Calibri" w:eastAsia="Calibri" w:hAnsi="Calibri"/>
                <w:sz w:val="10"/>
                <w:szCs w:val="10"/>
                <w:color w:val="auto"/>
              </w:rPr>
              <w:t>66.4</w:t>
            </w:r>
          </w:p>
        </w:tc>
        <w:tc>
          <w:tcPr>
            <w:tcW w:w="0" w:type="dxa"/>
            <w:vAlign w:val="bottom"/>
          </w:tcPr>
          <w:p>
            <w:pPr>
              <w:spacing w:after="0"/>
              <w:rPr>
                <w:sz w:val="1"/>
                <w:szCs w:val="1"/>
                <w:color w:val="auto"/>
              </w:rPr>
            </w:pPr>
          </w:p>
        </w:tc>
      </w:tr>
      <w:tr>
        <w:trPr>
          <w:trHeight w:val="29"/>
        </w:trPr>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800" w:type="dxa"/>
            <w:vAlign w:val="bottom"/>
            <w:tcBorders>
              <w:bottom w:val="single" w:sz="8" w:color="DBDBDB"/>
            </w:tcBorders>
            <w:shd w:val="clear" w:color="auto" w:fill="DBDBDB"/>
          </w:tcPr>
          <w:p>
            <w:pPr>
              <w:spacing w:after="0" w:line="121" w:lineRule="exact"/>
              <w:rPr>
                <w:sz w:val="20"/>
                <w:szCs w:val="20"/>
                <w:color w:val="auto"/>
              </w:rPr>
            </w:pPr>
            <w:r>
              <w:rPr>
                <w:rFonts w:ascii="Calibri" w:cs="Calibri" w:eastAsia="Calibri" w:hAnsi="Calibri"/>
                <w:sz w:val="10"/>
                <w:szCs w:val="10"/>
                <w:color w:val="auto"/>
              </w:rPr>
              <w:t>Total segment sales</w:t>
            </w:r>
          </w:p>
        </w:tc>
        <w:tc>
          <w:tcPr>
            <w:tcW w:w="1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1,016.1</w:t>
            </w:r>
          </w:p>
        </w:tc>
        <w:tc>
          <w:tcPr>
            <w:tcW w:w="440" w:type="dxa"/>
            <w:vAlign w:val="bottom"/>
            <w:tcBorders>
              <w:bottom w:val="single" w:sz="8" w:color="DBDBDB"/>
            </w:tcBorders>
            <w:shd w:val="clear" w:color="auto" w:fill="DBDBDB"/>
          </w:tcPr>
          <w:p>
            <w:pPr>
              <w:ind w:left="80"/>
              <w:spacing w:after="0" w:line="121" w:lineRule="exact"/>
              <w:rPr>
                <w:sz w:val="20"/>
                <w:szCs w:val="20"/>
                <w:color w:val="auto"/>
              </w:rPr>
            </w:pPr>
            <w:r>
              <w:rPr>
                <w:rFonts w:ascii="Calibri" w:cs="Calibri" w:eastAsia="Calibri" w:hAnsi="Calibri"/>
                <w:sz w:val="10"/>
                <w:szCs w:val="10"/>
                <w:color w:val="auto"/>
              </w:rPr>
              <w:t>$</w:t>
            </w:r>
          </w:p>
        </w:tc>
        <w:tc>
          <w:tcPr>
            <w:tcW w:w="64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114.7</w:t>
            </w:r>
          </w:p>
        </w:tc>
        <w:tc>
          <w:tcPr>
            <w:tcW w:w="2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w:t>
            </w:r>
          </w:p>
        </w:tc>
        <w:tc>
          <w:tcPr>
            <w:tcW w:w="70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10.8</w:t>
            </w:r>
          </w:p>
        </w:tc>
        <w:tc>
          <w:tcPr>
            <w:tcW w:w="22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5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1,141.5</w:t>
            </w:r>
          </w:p>
        </w:tc>
        <w:tc>
          <w:tcPr>
            <w:tcW w:w="28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872.0</w:t>
            </w:r>
          </w:p>
        </w:tc>
        <w:tc>
          <w:tcPr>
            <w:tcW w:w="620" w:type="dxa"/>
            <w:vAlign w:val="bottom"/>
            <w:tcBorders>
              <w:bottom w:val="single" w:sz="8" w:color="DBDBDB"/>
            </w:tcBorders>
            <w:shd w:val="clear" w:color="auto" w:fill="DBDBDB"/>
          </w:tcPr>
          <w:p>
            <w:pPr>
              <w:jc w:val="right"/>
              <w:ind w:right="431"/>
              <w:spacing w:after="0" w:line="121" w:lineRule="exact"/>
              <w:rPr>
                <w:sz w:val="20"/>
                <w:szCs w:val="20"/>
                <w:color w:val="auto"/>
              </w:rPr>
            </w:pPr>
            <w:r>
              <w:rPr>
                <w:rFonts w:ascii="Calibri" w:cs="Calibri" w:eastAsia="Calibri" w:hAnsi="Calibri"/>
                <w:sz w:val="10"/>
                <w:szCs w:val="10"/>
                <w:color w:val="auto"/>
              </w:rPr>
              <w:t>$</w:t>
            </w:r>
          </w:p>
        </w:tc>
        <w:tc>
          <w:tcPr>
            <w:tcW w:w="46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104.6</w:t>
            </w:r>
          </w:p>
        </w:tc>
        <w:tc>
          <w:tcPr>
            <w:tcW w:w="26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52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976.6</w:t>
            </w:r>
          </w:p>
        </w:tc>
        <w:tc>
          <w:tcPr>
            <w:tcW w:w="2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846.9</w:t>
            </w:r>
          </w:p>
        </w:tc>
        <w:tc>
          <w:tcPr>
            <w:tcW w:w="24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840" w:type="dxa"/>
            <w:vAlign w:val="bottom"/>
            <w:tcBorders>
              <w:bottom w:val="single" w:sz="8" w:color="DBDBDB"/>
            </w:tcBorders>
            <w:shd w:val="clear" w:color="auto" w:fill="DBDBDB"/>
          </w:tcPr>
          <w:p>
            <w:pPr>
              <w:jc w:val="center"/>
              <w:ind w:left="391"/>
              <w:spacing w:after="0" w:line="121" w:lineRule="exact"/>
              <w:rPr>
                <w:sz w:val="20"/>
                <w:szCs w:val="20"/>
                <w:color w:val="auto"/>
              </w:rPr>
            </w:pPr>
            <w:r>
              <w:rPr>
                <w:rFonts w:ascii="Calibri" w:cs="Calibri" w:eastAsia="Calibri" w:hAnsi="Calibri"/>
                <w:sz w:val="10"/>
                <w:szCs w:val="10"/>
                <w:color w:val="auto"/>
                <w:w w:val="89"/>
              </w:rPr>
              <w:t>81.8</w:t>
            </w:r>
          </w:p>
        </w:tc>
        <w:tc>
          <w:tcPr>
            <w:tcW w:w="28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4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928.7</w:t>
            </w:r>
          </w:p>
        </w:tc>
        <w:tc>
          <w:tcPr>
            <w:tcW w:w="0" w:type="dxa"/>
            <w:vAlign w:val="bottom"/>
          </w:tcPr>
          <w:p>
            <w:pPr>
              <w:spacing w:after="0"/>
              <w:rPr>
                <w:sz w:val="1"/>
                <w:szCs w:val="1"/>
                <w:color w:val="auto"/>
              </w:rPr>
            </w:pPr>
          </w:p>
        </w:tc>
      </w:tr>
      <w:tr>
        <w:trPr>
          <w:trHeight w:val="130"/>
        </w:trPr>
        <w:tc>
          <w:tcPr>
            <w:tcW w:w="1800" w:type="dxa"/>
            <w:vAlign w:val="bottom"/>
          </w:tcPr>
          <w:p>
            <w:pPr>
              <w:spacing w:after="0"/>
              <w:rPr>
                <w:sz w:val="20"/>
                <w:szCs w:val="20"/>
                <w:color w:val="auto"/>
              </w:rPr>
            </w:pPr>
            <w:r>
              <w:rPr>
                <w:rFonts w:ascii="Calibri" w:cs="Calibri" w:eastAsia="Calibri" w:hAnsi="Calibri"/>
                <w:sz w:val="10"/>
                <w:szCs w:val="10"/>
                <w:color w:val="auto"/>
              </w:rPr>
              <w:t>Intercompany eliminatons</w:t>
            </w:r>
          </w:p>
        </w:tc>
        <w:tc>
          <w:tcPr>
            <w:tcW w:w="140" w:type="dxa"/>
            <w:vAlign w:val="bottom"/>
          </w:tcPr>
          <w:p>
            <w:pPr>
              <w:spacing w:after="0"/>
              <w:rPr>
                <w:sz w:val="11"/>
                <w:szCs w:val="11"/>
                <w:color w:val="auto"/>
              </w:rPr>
            </w:pPr>
          </w:p>
        </w:tc>
        <w:tc>
          <w:tcPr>
            <w:tcW w:w="760" w:type="dxa"/>
            <w:vAlign w:val="bottom"/>
          </w:tcPr>
          <w:p>
            <w:pPr>
              <w:jc w:val="right"/>
              <w:ind w:right="51"/>
              <w:spacing w:after="0"/>
              <w:rPr>
                <w:sz w:val="20"/>
                <w:szCs w:val="20"/>
                <w:color w:val="auto"/>
              </w:rPr>
            </w:pPr>
            <w:r>
              <w:rPr>
                <w:rFonts w:ascii="Calibri" w:cs="Calibri" w:eastAsia="Calibri" w:hAnsi="Calibri"/>
                <w:sz w:val="10"/>
                <w:szCs w:val="10"/>
                <w:color w:val="auto"/>
              </w:rPr>
              <w:t>—</w:t>
            </w:r>
          </w:p>
        </w:tc>
        <w:tc>
          <w:tcPr>
            <w:tcW w:w="440" w:type="dxa"/>
            <w:vAlign w:val="bottom"/>
          </w:tcPr>
          <w:p>
            <w:pPr>
              <w:spacing w:after="0"/>
              <w:rPr>
                <w:sz w:val="11"/>
                <w:szCs w:val="11"/>
                <w:color w:val="auto"/>
              </w:rPr>
            </w:pPr>
          </w:p>
        </w:tc>
        <w:tc>
          <w:tcPr>
            <w:tcW w:w="640" w:type="dxa"/>
            <w:vAlign w:val="bottom"/>
          </w:tcPr>
          <w:p>
            <w:pPr>
              <w:jc w:val="right"/>
              <w:ind w:right="51"/>
              <w:spacing w:after="0"/>
              <w:rPr>
                <w:sz w:val="20"/>
                <w:szCs w:val="20"/>
                <w:color w:val="auto"/>
              </w:rPr>
            </w:pPr>
            <w:r>
              <w:rPr>
                <w:rFonts w:ascii="Calibri" w:cs="Calibri" w:eastAsia="Calibri" w:hAnsi="Calibri"/>
                <w:sz w:val="10"/>
                <w:szCs w:val="10"/>
                <w:color w:val="auto"/>
              </w:rPr>
              <w:t>(95.6)</w:t>
            </w:r>
          </w:p>
        </w:tc>
        <w:tc>
          <w:tcPr>
            <w:tcW w:w="26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ind w:right="71"/>
              <w:spacing w:after="0"/>
              <w:rPr>
                <w:sz w:val="20"/>
                <w:szCs w:val="20"/>
                <w:color w:val="auto"/>
              </w:rPr>
            </w:pPr>
            <w:r>
              <w:rPr>
                <w:rFonts w:ascii="Calibri" w:cs="Calibri" w:eastAsia="Calibri" w:hAnsi="Calibri"/>
                <w:sz w:val="10"/>
                <w:szCs w:val="10"/>
                <w:color w:val="auto"/>
              </w:rPr>
              <w:t>(95.6)</w:t>
            </w:r>
          </w:p>
        </w:tc>
        <w:tc>
          <w:tcPr>
            <w:tcW w:w="280" w:type="dxa"/>
            <w:vAlign w:val="bottom"/>
          </w:tcPr>
          <w:p>
            <w:pPr>
              <w:spacing w:after="0"/>
              <w:rPr>
                <w:sz w:val="11"/>
                <w:szCs w:val="11"/>
                <w:color w:val="auto"/>
              </w:rPr>
            </w:pPr>
          </w:p>
        </w:tc>
        <w:tc>
          <w:tcPr>
            <w:tcW w:w="760" w:type="dxa"/>
            <w:vAlign w:val="bottom"/>
          </w:tcPr>
          <w:p>
            <w:pPr>
              <w:jc w:val="right"/>
              <w:ind w:right="51"/>
              <w:spacing w:after="0"/>
              <w:rPr>
                <w:sz w:val="20"/>
                <w:szCs w:val="20"/>
                <w:color w:val="auto"/>
              </w:rPr>
            </w:pPr>
            <w:r>
              <w:rPr>
                <w:rFonts w:ascii="Calibri" w:cs="Calibri" w:eastAsia="Calibri" w:hAnsi="Calibri"/>
                <w:sz w:val="10"/>
                <w:szCs w:val="10"/>
                <w:color w:val="auto"/>
              </w:rPr>
              <w:t>—</w:t>
            </w:r>
          </w:p>
        </w:tc>
        <w:tc>
          <w:tcPr>
            <w:tcW w:w="620" w:type="dxa"/>
            <w:vAlign w:val="bottom"/>
          </w:tcPr>
          <w:p>
            <w:pPr>
              <w:spacing w:after="0"/>
              <w:rPr>
                <w:sz w:val="11"/>
                <w:szCs w:val="11"/>
                <w:color w:val="auto"/>
              </w:rPr>
            </w:pPr>
          </w:p>
        </w:tc>
        <w:tc>
          <w:tcPr>
            <w:tcW w:w="460" w:type="dxa"/>
            <w:vAlign w:val="bottom"/>
          </w:tcPr>
          <w:p>
            <w:pPr>
              <w:jc w:val="right"/>
              <w:ind w:right="51"/>
              <w:spacing w:after="0"/>
              <w:rPr>
                <w:sz w:val="20"/>
                <w:szCs w:val="20"/>
                <w:color w:val="auto"/>
              </w:rPr>
            </w:pPr>
            <w:r>
              <w:rPr>
                <w:rFonts w:ascii="Calibri" w:cs="Calibri" w:eastAsia="Calibri" w:hAnsi="Calibri"/>
                <w:sz w:val="10"/>
                <w:szCs w:val="10"/>
                <w:color w:val="auto"/>
              </w:rPr>
              <w:t>(84.9)</w:t>
            </w:r>
          </w:p>
        </w:tc>
        <w:tc>
          <w:tcPr>
            <w:tcW w:w="260" w:type="dxa"/>
            <w:vAlign w:val="bottom"/>
          </w:tcPr>
          <w:p>
            <w:pPr>
              <w:spacing w:after="0"/>
              <w:rPr>
                <w:sz w:val="11"/>
                <w:szCs w:val="11"/>
                <w:color w:val="auto"/>
              </w:rPr>
            </w:pPr>
          </w:p>
        </w:tc>
        <w:tc>
          <w:tcPr>
            <w:tcW w:w="520" w:type="dxa"/>
            <w:vAlign w:val="bottom"/>
          </w:tcPr>
          <w:p>
            <w:pPr>
              <w:jc w:val="right"/>
              <w:ind w:right="91"/>
              <w:spacing w:after="0"/>
              <w:rPr>
                <w:sz w:val="20"/>
                <w:szCs w:val="20"/>
                <w:color w:val="auto"/>
              </w:rPr>
            </w:pPr>
            <w:r>
              <w:rPr>
                <w:rFonts w:ascii="Calibri" w:cs="Calibri" w:eastAsia="Calibri" w:hAnsi="Calibri"/>
                <w:sz w:val="10"/>
                <w:szCs w:val="10"/>
                <w:color w:val="auto"/>
              </w:rPr>
              <w:t>(84.9)</w:t>
            </w:r>
          </w:p>
        </w:tc>
        <w:tc>
          <w:tcPr>
            <w:tcW w:w="240" w:type="dxa"/>
            <w:vAlign w:val="bottom"/>
          </w:tcPr>
          <w:p>
            <w:pPr>
              <w:spacing w:after="0"/>
              <w:rPr>
                <w:sz w:val="11"/>
                <w:szCs w:val="11"/>
                <w:color w:val="auto"/>
              </w:rPr>
            </w:pPr>
          </w:p>
        </w:tc>
        <w:tc>
          <w:tcPr>
            <w:tcW w:w="78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840" w:type="dxa"/>
            <w:vAlign w:val="bottom"/>
          </w:tcPr>
          <w:p>
            <w:pPr>
              <w:jc w:val="center"/>
              <w:ind w:left="391"/>
              <w:spacing w:after="0"/>
              <w:rPr>
                <w:sz w:val="20"/>
                <w:szCs w:val="20"/>
                <w:color w:val="auto"/>
              </w:rPr>
            </w:pPr>
            <w:r>
              <w:rPr>
                <w:rFonts w:ascii="Calibri" w:cs="Calibri" w:eastAsia="Calibri" w:hAnsi="Calibri"/>
                <w:sz w:val="10"/>
                <w:szCs w:val="10"/>
                <w:color w:val="auto"/>
              </w:rPr>
              <w:t>(66.4)</w:t>
            </w:r>
          </w:p>
        </w:tc>
        <w:tc>
          <w:tcPr>
            <w:tcW w:w="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alibri" w:cs="Calibri" w:eastAsia="Calibri" w:hAnsi="Calibri"/>
                <w:sz w:val="10"/>
                <w:szCs w:val="10"/>
                <w:color w:val="auto"/>
              </w:rPr>
              <w:t>(66.4)</w:t>
            </w:r>
          </w:p>
        </w:tc>
        <w:tc>
          <w:tcPr>
            <w:tcW w:w="0" w:type="dxa"/>
            <w:vAlign w:val="bottom"/>
          </w:tcPr>
          <w:p>
            <w:pPr>
              <w:spacing w:after="0"/>
              <w:rPr>
                <w:sz w:val="1"/>
                <w:szCs w:val="1"/>
                <w:color w:val="auto"/>
              </w:rPr>
            </w:pPr>
          </w:p>
        </w:tc>
      </w:tr>
      <w:tr>
        <w:trPr>
          <w:trHeight w:val="29"/>
        </w:trPr>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800" w:type="dxa"/>
            <w:vAlign w:val="bottom"/>
            <w:tcBorders>
              <w:bottom w:val="single" w:sz="8" w:color="DBDBDB"/>
            </w:tcBorders>
            <w:shd w:val="clear" w:color="auto" w:fill="DBDBDB"/>
          </w:tcPr>
          <w:p>
            <w:pPr>
              <w:spacing w:after="0" w:line="121" w:lineRule="exact"/>
              <w:rPr>
                <w:sz w:val="20"/>
                <w:szCs w:val="20"/>
                <w:color w:val="auto"/>
              </w:rPr>
            </w:pPr>
            <w:r>
              <w:rPr>
                <w:rFonts w:ascii="Calibri" w:cs="Calibri" w:eastAsia="Calibri" w:hAnsi="Calibri"/>
                <w:sz w:val="10"/>
                <w:szCs w:val="10"/>
                <w:color w:val="auto"/>
              </w:rPr>
              <w:t>Total net sales</w:t>
            </w:r>
          </w:p>
        </w:tc>
        <w:tc>
          <w:tcPr>
            <w:tcW w:w="1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1,016.1</w:t>
            </w:r>
          </w:p>
        </w:tc>
        <w:tc>
          <w:tcPr>
            <w:tcW w:w="440" w:type="dxa"/>
            <w:vAlign w:val="bottom"/>
            <w:tcBorders>
              <w:bottom w:val="single" w:sz="8" w:color="DBDBDB"/>
            </w:tcBorders>
            <w:shd w:val="clear" w:color="auto" w:fill="DBDBDB"/>
          </w:tcPr>
          <w:p>
            <w:pPr>
              <w:ind w:left="80"/>
              <w:spacing w:after="0" w:line="121" w:lineRule="exact"/>
              <w:rPr>
                <w:sz w:val="20"/>
                <w:szCs w:val="20"/>
                <w:color w:val="auto"/>
              </w:rPr>
            </w:pPr>
            <w:r>
              <w:rPr>
                <w:rFonts w:ascii="Calibri" w:cs="Calibri" w:eastAsia="Calibri" w:hAnsi="Calibri"/>
                <w:sz w:val="10"/>
                <w:szCs w:val="10"/>
                <w:color w:val="auto"/>
              </w:rPr>
              <w:t>$</w:t>
            </w:r>
          </w:p>
        </w:tc>
        <w:tc>
          <w:tcPr>
            <w:tcW w:w="64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19.1</w:t>
            </w:r>
          </w:p>
        </w:tc>
        <w:tc>
          <w:tcPr>
            <w:tcW w:w="2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w:t>
            </w:r>
          </w:p>
        </w:tc>
        <w:tc>
          <w:tcPr>
            <w:tcW w:w="70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10.8</w:t>
            </w:r>
          </w:p>
        </w:tc>
        <w:tc>
          <w:tcPr>
            <w:tcW w:w="22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5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1,045.9</w:t>
            </w:r>
          </w:p>
        </w:tc>
        <w:tc>
          <w:tcPr>
            <w:tcW w:w="28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872.0</w:t>
            </w:r>
          </w:p>
        </w:tc>
        <w:tc>
          <w:tcPr>
            <w:tcW w:w="620" w:type="dxa"/>
            <w:vAlign w:val="bottom"/>
            <w:tcBorders>
              <w:bottom w:val="single" w:sz="8" w:color="DBDBDB"/>
            </w:tcBorders>
            <w:shd w:val="clear" w:color="auto" w:fill="DBDBDB"/>
          </w:tcPr>
          <w:p>
            <w:pPr>
              <w:jc w:val="right"/>
              <w:ind w:right="431"/>
              <w:spacing w:after="0" w:line="121" w:lineRule="exact"/>
              <w:rPr>
                <w:sz w:val="20"/>
                <w:szCs w:val="20"/>
                <w:color w:val="auto"/>
              </w:rPr>
            </w:pPr>
            <w:r>
              <w:rPr>
                <w:rFonts w:ascii="Calibri" w:cs="Calibri" w:eastAsia="Calibri" w:hAnsi="Calibri"/>
                <w:sz w:val="10"/>
                <w:szCs w:val="10"/>
                <w:color w:val="auto"/>
              </w:rPr>
              <w:t>$</w:t>
            </w:r>
          </w:p>
        </w:tc>
        <w:tc>
          <w:tcPr>
            <w:tcW w:w="46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19.7</w:t>
            </w:r>
          </w:p>
        </w:tc>
        <w:tc>
          <w:tcPr>
            <w:tcW w:w="26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52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891.7</w:t>
            </w:r>
          </w:p>
        </w:tc>
        <w:tc>
          <w:tcPr>
            <w:tcW w:w="2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846.9</w:t>
            </w:r>
          </w:p>
        </w:tc>
        <w:tc>
          <w:tcPr>
            <w:tcW w:w="24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840" w:type="dxa"/>
            <w:vAlign w:val="bottom"/>
            <w:tcBorders>
              <w:bottom w:val="single" w:sz="8" w:color="DBDBDB"/>
            </w:tcBorders>
            <w:shd w:val="clear" w:color="auto" w:fill="DBDBDB"/>
          </w:tcPr>
          <w:p>
            <w:pPr>
              <w:jc w:val="center"/>
              <w:ind w:left="391"/>
              <w:spacing w:after="0" w:line="121" w:lineRule="exact"/>
              <w:rPr>
                <w:sz w:val="20"/>
                <w:szCs w:val="20"/>
                <w:color w:val="auto"/>
              </w:rPr>
            </w:pPr>
            <w:r>
              <w:rPr>
                <w:rFonts w:ascii="Calibri" w:cs="Calibri" w:eastAsia="Calibri" w:hAnsi="Calibri"/>
                <w:sz w:val="10"/>
                <w:szCs w:val="10"/>
                <w:color w:val="auto"/>
                <w:w w:val="89"/>
              </w:rPr>
              <w:t>15.4</w:t>
            </w:r>
          </w:p>
        </w:tc>
        <w:tc>
          <w:tcPr>
            <w:tcW w:w="28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4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862.3</w:t>
            </w: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Adjusted EBITDA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Years ended October 31,</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jc w:val="right"/>
              <w:ind w:right="18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400" w:type="dxa"/>
            <w:vAlign w:val="bottom"/>
          </w:tcPr>
          <w:p>
            <w:pPr>
              <w:jc w:val="right"/>
              <w:ind w:right="183"/>
              <w:spacing w:after="0" w:line="126" w:lineRule="exact"/>
              <w:rPr>
                <w:sz w:val="20"/>
                <w:szCs w:val="20"/>
                <w:color w:val="auto"/>
              </w:rPr>
            </w:pPr>
            <w:r>
              <w:rPr>
                <w:rFonts w:ascii="Calibri" w:cs="Calibri" w:eastAsia="Calibri" w:hAnsi="Calibri"/>
                <w:sz w:val="11"/>
                <w:szCs w:val="11"/>
                <w:b w:val="1"/>
                <w:bCs w:val="1"/>
                <w:color w:val="auto"/>
              </w:rPr>
              <w:t>2021</w:t>
            </w:r>
          </w:p>
        </w:tc>
        <w:tc>
          <w:tcPr>
            <w:tcW w:w="68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Marketng &amp; Distributon adjusted EBITDA</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23.5</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51.4</w:t>
            </w:r>
          </w:p>
        </w:tc>
        <w:tc>
          <w:tcPr>
            <w:tcW w:w="68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68.2</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Internatonal Farming adjusted EBITDA</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23.3</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33.9</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23.3</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Blueberries adjusted EBITDA</w:t>
            </w:r>
          </w:p>
        </w:tc>
        <w:tc>
          <w:tcPr>
            <w:tcW w:w="54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0.8</w:t>
            </w:r>
          </w:p>
        </w:tc>
        <w:tc>
          <w:tcPr>
            <w:tcW w:w="22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25"/>
        </w:trPr>
        <w:tc>
          <w:tcPr>
            <w:tcW w:w="67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reportable segment adjusted EBITDA</w:t>
            </w:r>
          </w:p>
        </w:tc>
        <w:tc>
          <w:tcPr>
            <w:tcW w:w="54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143"/>
              <w:spacing w:after="0" w:line="126" w:lineRule="exact"/>
              <w:rPr>
                <w:sz w:val="20"/>
                <w:szCs w:val="20"/>
                <w:color w:val="auto"/>
              </w:rPr>
            </w:pPr>
            <w:r>
              <w:rPr>
                <w:rFonts w:ascii="Calibri" w:cs="Calibri" w:eastAsia="Calibri" w:hAnsi="Calibri"/>
                <w:sz w:val="11"/>
                <w:szCs w:val="11"/>
                <w:color w:val="auto"/>
              </w:rPr>
              <w:t>47.6</w:t>
            </w:r>
          </w:p>
        </w:tc>
        <w:tc>
          <w:tcPr>
            <w:tcW w:w="2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85.3</w:t>
            </w:r>
          </w:p>
        </w:tc>
        <w:tc>
          <w:tcPr>
            <w:tcW w:w="68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91.5</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Net (loss) income</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(34.9)</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44.9</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28.8</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Interest expense</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5.5</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3.7</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6.7</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Provision for income taxes</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3.7</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21.1</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15.0</w:t>
            </w: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line="170" w:lineRule="exact"/>
              <w:rPr>
                <w:sz w:val="20"/>
                <w:szCs w:val="20"/>
                <w:color w:val="auto"/>
              </w:rPr>
            </w:pPr>
            <w:r>
              <w:rPr>
                <w:rFonts w:ascii="Calibri" w:cs="Calibri" w:eastAsia="Calibri" w:hAnsi="Calibri"/>
                <w:sz w:val="11"/>
                <w:szCs w:val="11"/>
                <w:color w:val="auto"/>
              </w:rPr>
              <w:t>Depreciaton and amortzaton</w:t>
            </w:r>
            <w:r>
              <w:rPr>
                <w:rFonts w:ascii="Calibri" w:cs="Calibri" w:eastAsia="Calibri" w:hAnsi="Calibri"/>
                <w:sz w:val="14"/>
                <w:szCs w:val="14"/>
                <w:color w:val="auto"/>
                <w:vertAlign w:val="superscript"/>
              </w:rPr>
              <w:t>(1)</w:t>
            </w:r>
          </w:p>
        </w:tc>
        <w:tc>
          <w:tcPr>
            <w:tcW w:w="540" w:type="dxa"/>
            <w:vAlign w:val="bottom"/>
          </w:tcPr>
          <w:p>
            <w:pPr>
              <w:spacing w:after="0"/>
              <w:rPr>
                <w:sz w:val="15"/>
                <w:szCs w:val="15"/>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24.8</w:t>
            </w:r>
          </w:p>
        </w:tc>
        <w:tc>
          <w:tcPr>
            <w:tcW w:w="220" w:type="dxa"/>
            <w:vAlign w:val="bottom"/>
          </w:tcPr>
          <w:p>
            <w:pPr>
              <w:spacing w:after="0"/>
              <w:rPr>
                <w:sz w:val="15"/>
                <w:szCs w:val="15"/>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20.4</w:t>
            </w:r>
          </w:p>
        </w:tc>
        <w:tc>
          <w:tcPr>
            <w:tcW w:w="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18.1</w:t>
            </w:r>
          </w:p>
        </w:tc>
        <w:tc>
          <w:tcPr>
            <w:tcW w:w="0" w:type="dxa"/>
            <w:vAlign w:val="bottom"/>
          </w:tcPr>
          <w:p>
            <w:pPr>
              <w:spacing w:after="0"/>
              <w:rPr>
                <w:sz w:val="1"/>
                <w:szCs w:val="1"/>
                <w:color w:val="auto"/>
              </w:rPr>
            </w:pPr>
          </w:p>
        </w:tc>
      </w:tr>
      <w:tr>
        <w:trPr>
          <w:trHeight w:val="166"/>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Equity method income</w:t>
            </w:r>
          </w:p>
        </w:tc>
        <w:tc>
          <w:tcPr>
            <w:tcW w:w="54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(5.1)</w:t>
            </w:r>
          </w:p>
        </w:tc>
        <w:tc>
          <w:tcPr>
            <w:tcW w:w="220" w:type="dxa"/>
            <w:vAlign w:val="bottom"/>
            <w:tcBorders>
              <w:bottom w:val="single" w:sz="8" w:color="DBDBDB"/>
            </w:tcBorders>
            <w:shd w:val="clear" w:color="auto" w:fill="DBDBDB"/>
          </w:tcPr>
          <w:p>
            <w:pPr>
              <w:spacing w:after="0"/>
              <w:rPr>
                <w:sz w:val="14"/>
                <w:szCs w:val="14"/>
                <w:color w:val="auto"/>
              </w:rPr>
            </w:pPr>
          </w:p>
        </w:tc>
        <w:tc>
          <w:tcPr>
            <w:tcW w:w="14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(7.5)</w:t>
            </w:r>
          </w:p>
        </w:tc>
        <w:tc>
          <w:tcPr>
            <w:tcW w:w="680" w:type="dxa"/>
            <w:vAlign w:val="bottom"/>
            <w:tcBorders>
              <w:bottom w:val="single" w:sz="8" w:color="DBDBDB"/>
            </w:tcBorders>
            <w:shd w:val="clear" w:color="auto" w:fill="DBDBDB"/>
          </w:tcPr>
          <w:p>
            <w:pPr>
              <w:spacing w:after="0"/>
              <w:rPr>
                <w:sz w:val="14"/>
                <w:szCs w:val="14"/>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(4.0)</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Stock-based compensaton</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3.6</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2.6</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5.0</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Other (income) expense, net</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(4.4)</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(1.3)</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0.7</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Legal setlement</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0.8</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Asset impairment and disposals, net of insurance recoveries</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0.4</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(0.2)</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Farming costs for nonproductve orchards</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1.5</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0.8</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700" w:type="dxa"/>
            <w:vAlign w:val="bottom"/>
            <w:shd w:val="clear" w:color="auto" w:fill="DBDBDB"/>
          </w:tcPr>
          <w:p>
            <w:pPr>
              <w:ind w:left="20"/>
              <w:spacing w:after="0" w:line="170" w:lineRule="exact"/>
              <w:rPr>
                <w:sz w:val="20"/>
                <w:szCs w:val="20"/>
                <w:color w:val="auto"/>
              </w:rPr>
            </w:pPr>
            <w:r>
              <w:rPr>
                <w:rFonts w:ascii="Calibri" w:cs="Calibri" w:eastAsia="Calibri" w:hAnsi="Calibri"/>
                <w:sz w:val="11"/>
                <w:szCs w:val="11"/>
                <w:color w:val="auto"/>
              </w:rPr>
              <w:t>ERP costs</w:t>
            </w:r>
            <w:r>
              <w:rPr>
                <w:rFonts w:ascii="Calibri" w:cs="Calibri" w:eastAsia="Calibri" w:hAnsi="Calibri"/>
                <w:sz w:val="14"/>
                <w:szCs w:val="14"/>
                <w:color w:val="auto"/>
                <w:vertAlign w:val="superscript"/>
              </w:rPr>
              <w:t>(2)</w:t>
            </w:r>
          </w:p>
        </w:tc>
        <w:tc>
          <w:tcPr>
            <w:tcW w:w="540" w:type="dxa"/>
            <w:vAlign w:val="bottom"/>
            <w:shd w:val="clear" w:color="auto" w:fill="DBDBDB"/>
          </w:tcPr>
          <w:p>
            <w:pPr>
              <w:spacing w:after="0"/>
              <w:rPr>
                <w:sz w:val="15"/>
                <w:szCs w:val="15"/>
                <w:color w:val="auto"/>
              </w:rPr>
            </w:pPr>
          </w:p>
        </w:tc>
        <w:tc>
          <w:tcPr>
            <w:tcW w:w="940" w:type="dxa"/>
            <w:vAlign w:val="bottom"/>
            <w:shd w:val="clear" w:color="auto" w:fill="DBDBDB"/>
          </w:tcPr>
          <w:p>
            <w:pPr>
              <w:jc w:val="right"/>
              <w:ind w:right="143"/>
              <w:spacing w:after="0"/>
              <w:rPr>
                <w:sz w:val="20"/>
                <w:szCs w:val="20"/>
                <w:color w:val="auto"/>
              </w:rPr>
            </w:pPr>
            <w:r>
              <w:rPr>
                <w:rFonts w:ascii="Calibri" w:cs="Calibri" w:eastAsia="Calibri" w:hAnsi="Calibri"/>
                <w:sz w:val="11"/>
                <w:szCs w:val="11"/>
                <w:color w:val="auto"/>
              </w:rPr>
              <w:t>4.6</w:t>
            </w:r>
          </w:p>
        </w:tc>
        <w:tc>
          <w:tcPr>
            <w:tcW w:w="22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Amortzaton of inventory adjustment recognized from business combinaton</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0.4</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Goodwill impairment</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49.5</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Remeasurement gain on business combinaton with Moruga</w:t>
            </w:r>
          </w:p>
        </w:tc>
        <w:tc>
          <w:tcPr>
            <w:tcW w:w="54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(2.0)</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Impairment on equity method investment</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21.2</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Transacton costs</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0.6</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700" w:type="dxa"/>
            <w:vAlign w:val="bottom"/>
            <w:tcBorders>
              <w:bottom w:val="single" w:sz="8" w:color="auto"/>
            </w:tcBorders>
            <w:shd w:val="clear" w:color="auto" w:fill="DBDBDB"/>
          </w:tcPr>
          <w:p>
            <w:pPr>
              <w:ind w:left="20"/>
              <w:spacing w:after="0" w:line="170" w:lineRule="exact"/>
              <w:rPr>
                <w:sz w:val="20"/>
                <w:szCs w:val="20"/>
                <w:color w:val="auto"/>
              </w:rPr>
            </w:pPr>
            <w:r>
              <w:rPr>
                <w:rFonts w:ascii="Calibri" w:cs="Calibri" w:eastAsia="Calibri" w:hAnsi="Calibri"/>
                <w:sz w:val="11"/>
                <w:szCs w:val="11"/>
                <w:color w:val="auto"/>
              </w:rPr>
              <w:t>Noncontrolling interest</w:t>
            </w:r>
            <w:r>
              <w:rPr>
                <w:rFonts w:ascii="Calibri" w:cs="Calibri" w:eastAsia="Calibri" w:hAnsi="Calibri"/>
                <w:sz w:val="14"/>
                <w:szCs w:val="14"/>
                <w:color w:val="auto"/>
                <w:vertAlign w:val="superscript"/>
              </w:rPr>
              <w:t>(3)</w:t>
            </w:r>
          </w:p>
        </w:tc>
        <w:tc>
          <w:tcPr>
            <w:tcW w:w="54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(0.6)</w:t>
            </w:r>
          </w:p>
        </w:tc>
        <w:tc>
          <w:tcPr>
            <w:tcW w:w="220" w:type="dxa"/>
            <w:vAlign w:val="bottom"/>
            <w:tcBorders>
              <w:bottom w:val="single" w:sz="8" w:color="auto"/>
            </w:tcBorders>
            <w:shd w:val="clear" w:color="auto" w:fill="DBDBDB"/>
          </w:tcPr>
          <w:p>
            <w:pPr>
              <w:spacing w:after="0"/>
              <w:rPr>
                <w:sz w:val="15"/>
                <w:szCs w:val="15"/>
                <w:color w:val="auto"/>
              </w:rPr>
            </w:pPr>
          </w:p>
        </w:tc>
        <w:tc>
          <w:tcPr>
            <w:tcW w:w="1400" w:type="dxa"/>
            <w:vAlign w:val="bottom"/>
            <w:tcBorders>
              <w:bottom w:val="single" w:sz="8" w:color="auto"/>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1"/>
        </w:trPr>
        <w:tc>
          <w:tcPr>
            <w:tcW w:w="6700" w:type="dxa"/>
            <w:vAlign w:val="bottom"/>
          </w:tcPr>
          <w:p>
            <w:pPr>
              <w:ind w:left="20"/>
              <w:spacing w:after="0" w:line="131" w:lineRule="exact"/>
              <w:rPr>
                <w:sz w:val="20"/>
                <w:szCs w:val="20"/>
                <w:color w:val="auto"/>
              </w:rPr>
            </w:pPr>
            <w:r>
              <w:rPr>
                <w:rFonts w:ascii="Calibri" w:cs="Calibri" w:eastAsia="Calibri" w:hAnsi="Calibri"/>
                <w:sz w:val="11"/>
                <w:szCs w:val="11"/>
                <w:color w:val="auto"/>
              </w:rPr>
              <w:t>Total adjusted EBITDA</w:t>
            </w:r>
          </w:p>
        </w:tc>
        <w:tc>
          <w:tcPr>
            <w:tcW w:w="540" w:type="dxa"/>
            <w:vAlign w:val="bottom"/>
          </w:tcPr>
          <w:p>
            <w:pPr>
              <w:jc w:val="right"/>
              <w:ind w:right="403"/>
              <w:spacing w:after="0" w:line="131" w:lineRule="exact"/>
              <w:rPr>
                <w:sz w:val="20"/>
                <w:szCs w:val="20"/>
                <w:color w:val="auto"/>
              </w:rPr>
            </w:pPr>
            <w:r>
              <w:rPr>
                <w:rFonts w:ascii="Calibri" w:cs="Calibri" w:eastAsia="Calibri" w:hAnsi="Calibri"/>
                <w:sz w:val="11"/>
                <w:szCs w:val="11"/>
                <w:color w:val="auto"/>
              </w:rPr>
              <w:t>$</w:t>
            </w:r>
          </w:p>
        </w:tc>
        <w:tc>
          <w:tcPr>
            <w:tcW w:w="940" w:type="dxa"/>
            <w:vAlign w:val="bottom"/>
          </w:tcPr>
          <w:p>
            <w:pPr>
              <w:jc w:val="right"/>
              <w:ind w:right="143"/>
              <w:spacing w:after="0" w:line="131" w:lineRule="exact"/>
              <w:rPr>
                <w:sz w:val="20"/>
                <w:szCs w:val="20"/>
                <w:color w:val="auto"/>
              </w:rPr>
            </w:pPr>
            <w:r>
              <w:rPr>
                <w:rFonts w:ascii="Calibri" w:cs="Calibri" w:eastAsia="Calibri" w:hAnsi="Calibri"/>
                <w:sz w:val="11"/>
                <w:szCs w:val="11"/>
                <w:color w:val="auto"/>
              </w:rPr>
              <w:t>47.6</w:t>
            </w:r>
          </w:p>
        </w:tc>
        <w:tc>
          <w:tcPr>
            <w:tcW w:w="220" w:type="dxa"/>
            <w:vAlign w:val="bottom"/>
          </w:tcPr>
          <w:p>
            <w:pPr>
              <w:jc w:val="right"/>
              <w:spacing w:after="0" w:line="131" w:lineRule="exact"/>
              <w:rPr>
                <w:sz w:val="20"/>
                <w:szCs w:val="20"/>
                <w:color w:val="auto"/>
              </w:rPr>
            </w:pPr>
            <w:r>
              <w:rPr>
                <w:rFonts w:ascii="Calibri" w:cs="Calibri" w:eastAsia="Calibri" w:hAnsi="Calibri"/>
                <w:sz w:val="11"/>
                <w:szCs w:val="11"/>
                <w:color w:val="auto"/>
              </w:rPr>
              <w:t>$</w:t>
            </w:r>
          </w:p>
        </w:tc>
        <w:tc>
          <w:tcPr>
            <w:tcW w:w="1400" w:type="dxa"/>
            <w:vAlign w:val="bottom"/>
          </w:tcPr>
          <w:p>
            <w:pPr>
              <w:jc w:val="right"/>
              <w:ind w:right="123"/>
              <w:spacing w:after="0" w:line="131" w:lineRule="exact"/>
              <w:rPr>
                <w:sz w:val="20"/>
                <w:szCs w:val="20"/>
                <w:color w:val="auto"/>
              </w:rPr>
            </w:pPr>
            <w:r>
              <w:rPr>
                <w:rFonts w:ascii="Calibri" w:cs="Calibri" w:eastAsia="Calibri" w:hAnsi="Calibri"/>
                <w:sz w:val="11"/>
                <w:szCs w:val="11"/>
                <w:color w:val="auto"/>
              </w:rPr>
              <w:t>85.3</w:t>
            </w:r>
          </w:p>
        </w:tc>
        <w:tc>
          <w:tcPr>
            <w:tcW w:w="680" w:type="dxa"/>
            <w:vAlign w:val="bottom"/>
          </w:tcPr>
          <w:p>
            <w:pPr>
              <w:jc w:val="right"/>
              <w:ind w:right="403"/>
              <w:spacing w:after="0" w:line="131" w:lineRule="exact"/>
              <w:rPr>
                <w:sz w:val="20"/>
                <w:szCs w:val="20"/>
                <w:color w:val="auto"/>
              </w:rPr>
            </w:pPr>
            <w:r>
              <w:rPr>
                <w:rFonts w:ascii="Calibri" w:cs="Calibri" w:eastAsia="Calibri" w:hAnsi="Calibri"/>
                <w:sz w:val="11"/>
                <w:szCs w:val="11"/>
                <w:color w:val="auto"/>
              </w:rPr>
              <w:t>$</w:t>
            </w:r>
          </w:p>
        </w:tc>
        <w:tc>
          <w:tcPr>
            <w:tcW w:w="800" w:type="dxa"/>
            <w:vAlign w:val="bottom"/>
          </w:tcPr>
          <w:p>
            <w:pPr>
              <w:jc w:val="right"/>
              <w:spacing w:after="0" w:line="131" w:lineRule="exact"/>
              <w:rPr>
                <w:sz w:val="20"/>
                <w:szCs w:val="20"/>
                <w:color w:val="auto"/>
              </w:rPr>
            </w:pPr>
            <w:r>
              <w:rPr>
                <w:rFonts w:ascii="Calibri" w:cs="Calibri" w:eastAsia="Calibri" w:hAnsi="Calibri"/>
                <w:sz w:val="11"/>
                <w:szCs w:val="11"/>
                <w:color w:val="auto"/>
              </w:rPr>
              <w:t>91.5</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20" w:hanging="115"/>
        <w:spacing w:after="0"/>
        <w:tabs>
          <w:tab w:leader="none" w:pos="120" w:val="left"/>
        </w:tabs>
        <w:numPr>
          <w:ilvl w:val="0"/>
          <w:numId w:val="10"/>
        </w:numPr>
        <w:rPr>
          <w:rFonts w:ascii="Calibri" w:cs="Calibri" w:eastAsia="Calibri" w:hAnsi="Calibri"/>
          <w:sz w:val="13"/>
          <w:szCs w:val="13"/>
          <w:color w:val="auto"/>
          <w:vertAlign w:val="superscript"/>
        </w:rPr>
      </w:pPr>
      <w:r>
        <w:rPr>
          <w:rFonts w:ascii="Calibri" w:cs="Calibri" w:eastAsia="Calibri" w:hAnsi="Calibri"/>
          <w:sz w:val="10"/>
          <w:szCs w:val="10"/>
          <w:color w:val="auto"/>
        </w:rPr>
        <w:t>Includes $1.4 million of depreciaton and amortzaton on purchase accountng assets including property, plant and equipment step-up and an intangible asset for the year ended October 31, 2022.</w:t>
      </w:r>
    </w:p>
    <w:p>
      <w:pPr>
        <w:spacing w:after="0" w:line="32" w:lineRule="exact"/>
        <w:rPr>
          <w:rFonts w:ascii="Calibri" w:cs="Calibri" w:eastAsia="Calibri" w:hAnsi="Calibri"/>
          <w:sz w:val="13"/>
          <w:szCs w:val="13"/>
          <w:color w:val="auto"/>
          <w:vertAlign w:val="superscript"/>
        </w:rPr>
      </w:pPr>
    </w:p>
    <w:p>
      <w:pPr>
        <w:ind w:left="120" w:hanging="115"/>
        <w:spacing w:after="0" w:line="191" w:lineRule="auto"/>
        <w:tabs>
          <w:tab w:leader="none" w:pos="120" w:val="left"/>
        </w:tabs>
        <w:numPr>
          <w:ilvl w:val="0"/>
          <w:numId w:val="10"/>
        </w:numPr>
        <w:rPr>
          <w:rFonts w:ascii="Calibri" w:cs="Calibri" w:eastAsia="Calibri" w:hAnsi="Calibri"/>
          <w:sz w:val="13"/>
          <w:szCs w:val="13"/>
          <w:color w:val="auto"/>
          <w:vertAlign w:val="superscript"/>
        </w:rPr>
      </w:pPr>
      <w:r>
        <w:rPr>
          <w:rFonts w:ascii="Calibri" w:cs="Calibri" w:eastAsia="Calibri" w:hAnsi="Calibri"/>
          <w:sz w:val="10"/>
          <w:szCs w:val="10"/>
          <w:color w:val="auto"/>
        </w:rPr>
        <w:t>Includes recogniton of deferred implementaton costs and non-recurring post-implementaton process reengineering costs.</w:t>
      </w:r>
    </w:p>
    <w:p>
      <w:pPr>
        <w:spacing w:after="0" w:line="32" w:lineRule="exact"/>
        <w:rPr>
          <w:rFonts w:ascii="Calibri" w:cs="Calibri" w:eastAsia="Calibri" w:hAnsi="Calibri"/>
          <w:sz w:val="13"/>
          <w:szCs w:val="13"/>
          <w:color w:val="auto"/>
          <w:vertAlign w:val="superscript"/>
        </w:rPr>
      </w:pPr>
    </w:p>
    <w:p>
      <w:pPr>
        <w:ind w:left="120" w:hanging="115"/>
        <w:spacing w:after="0" w:line="191" w:lineRule="auto"/>
        <w:tabs>
          <w:tab w:leader="none" w:pos="120" w:val="left"/>
        </w:tabs>
        <w:numPr>
          <w:ilvl w:val="0"/>
          <w:numId w:val="10"/>
        </w:numPr>
        <w:rPr>
          <w:rFonts w:ascii="Calibri" w:cs="Calibri" w:eastAsia="Calibri" w:hAnsi="Calibri"/>
          <w:sz w:val="13"/>
          <w:szCs w:val="13"/>
          <w:color w:val="auto"/>
          <w:vertAlign w:val="superscript"/>
        </w:rPr>
      </w:pPr>
      <w:r>
        <w:rPr>
          <w:rFonts w:ascii="Calibri" w:cs="Calibri" w:eastAsia="Calibri" w:hAnsi="Calibri"/>
          <w:sz w:val="10"/>
          <w:szCs w:val="10"/>
          <w:color w:val="auto"/>
        </w:rPr>
        <w:t>Represents net loss atributable to noncontrolling interest plus the impact of non-GAAP adjustments, allocable to the noncontrolling owner based on their percentage of ownership interest.</w:t>
      </w:r>
    </w:p>
    <w:p>
      <w:pPr>
        <w:spacing w:after="0" w:line="166"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Marketng and Distributon</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Net sales in our Marketng and Distributon segment increased $144.1 million or 17% in fscal year 2022 compared to fscal year 2021, due to the same drivers impactng consolidated revenue.</w:t>
      </w:r>
    </w:p>
    <w:p>
      <w:pPr>
        <w:spacing w:after="0" w:line="158" w:lineRule="exact"/>
        <w:rPr>
          <w:sz w:val="20"/>
          <w:szCs w:val="20"/>
          <w:color w:val="auto"/>
        </w:rPr>
      </w:pPr>
    </w:p>
    <w:p>
      <w:pPr>
        <w:ind w:right="300" w:firstLine="509"/>
        <w:spacing w:after="0" w:line="225" w:lineRule="auto"/>
        <w:rPr>
          <w:sz w:val="20"/>
          <w:szCs w:val="20"/>
          <w:color w:val="auto"/>
        </w:rPr>
      </w:pPr>
      <w:r>
        <w:rPr>
          <w:rFonts w:ascii="Calibri" w:cs="Calibri" w:eastAsia="Calibri" w:hAnsi="Calibri"/>
          <w:sz w:val="13"/>
          <w:szCs w:val="13"/>
          <w:color w:val="auto"/>
        </w:rPr>
        <w:t>Segment adjusted EBITDA decreased $27.9 million or 54% in fscal year 2022 compared to fscal year 2021 due to the impact of lower avocado volume sold, lower gross margin primarily atributed to ERP-related issues during the frst quarter of 2022, and higher selling, general and administratve expense as described above.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0" w:right="319" w:bottom="1440" w:gutter="0" w:footer="0" w:header="0"/>
        </w:sectPr>
      </w:pPr>
    </w:p>
    <w:bookmarkStart w:id="27" w:name="page28"/>
    <w:bookmarkEnd w:id="27"/>
    <w:p>
      <w:pPr>
        <w:ind w:left="520"/>
        <w:spacing w:after="0"/>
        <w:rPr>
          <w:sz w:val="20"/>
          <w:szCs w:val="20"/>
          <w:color w:val="auto"/>
        </w:rPr>
      </w:pPr>
      <w:r>
        <w:rPr>
          <w:rFonts w:ascii="Calibri" w:cs="Calibri" w:eastAsia="Calibri" w:hAnsi="Calibri"/>
          <w:sz w:val="13"/>
          <w:szCs w:val="13"/>
          <w:color w:val="auto"/>
        </w:rPr>
        <w:t>Net sales in our Marketng and Distributon segment increased $25.1 million or 3% in fscal year 2021 compared to fscal year 2020, due to the same drivers impactng consolidated revenue.</w:t>
      </w:r>
    </w:p>
    <w:p>
      <w:pPr>
        <w:spacing w:after="0" w:line="158" w:lineRule="exact"/>
        <w:rPr>
          <w:sz w:val="20"/>
          <w:szCs w:val="20"/>
          <w:color w:val="auto"/>
        </w:rPr>
      </w:pPr>
    </w:p>
    <w:p>
      <w:pPr>
        <w:ind w:right="20" w:firstLine="509"/>
        <w:spacing w:after="0" w:line="229" w:lineRule="auto"/>
        <w:rPr>
          <w:sz w:val="20"/>
          <w:szCs w:val="20"/>
          <w:color w:val="auto"/>
        </w:rPr>
      </w:pPr>
      <w:r>
        <w:rPr>
          <w:rFonts w:ascii="Calibri" w:cs="Calibri" w:eastAsia="Calibri" w:hAnsi="Calibri"/>
          <w:sz w:val="13"/>
          <w:szCs w:val="13"/>
          <w:color w:val="auto"/>
        </w:rPr>
        <w:t>Segment adjusted EBITDA decreased $16.8 million or 25% in fscal year 2021 compared to fscal year 2020 due to lower gross margins and higher selling, general and administratve expenses. Gross margin was impacted by tghter per-unit margins related to the sourcing of Californian and Mexican fruit, which were exacerbated by smaller industry volumes within the California market as well as smaller fruit sizes within the Mexican market. Additonally, gross margin was pressured by incremental infrastructure costs related to our new Laredo facility, which was stll in the process of ramping up utlizaton. Selling, general and administratve expenses increased due to the same factors as described above.</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Internatonal Farming</w:t>
      </w:r>
    </w:p>
    <w:p>
      <w:pPr>
        <w:spacing w:after="0" w:line="158" w:lineRule="exact"/>
        <w:rPr>
          <w:sz w:val="20"/>
          <w:szCs w:val="20"/>
          <w:color w:val="auto"/>
        </w:rPr>
      </w:pPr>
    </w:p>
    <w:p>
      <w:pPr>
        <w:ind w:firstLine="509"/>
        <w:spacing w:after="0" w:line="231" w:lineRule="auto"/>
        <w:rPr>
          <w:sz w:val="20"/>
          <w:szCs w:val="20"/>
          <w:color w:val="auto"/>
        </w:rPr>
      </w:pPr>
      <w:r>
        <w:rPr>
          <w:rFonts w:ascii="Calibri" w:cs="Calibri" w:eastAsia="Calibri" w:hAnsi="Calibri"/>
          <w:sz w:val="13"/>
          <w:szCs w:val="13"/>
          <w:color w:val="auto"/>
        </w:rPr>
        <w:t>Substantally all sales of fruit from our Internatonal Farming segment are to the Marketng and Distributon segment, with the remainder of revenue largely derived from services provided to third partes and our Blueberries segment. Afliated sales are concentrated in the second half of the fscal year in alignment with the Peruvian avocado harvest season, which typically runs from April through August of each year. As a result, adjusted EBITDA for the Internatonal Farming segment is generally concentrated in the third and fourth quarters of the fscal year in alignment with the tming of sales. The Company operates approximately 700 acres of mangos in Peru that are largely in an early stage of producton. The tming of the mango harvest is concentrated in the fscal second quarter and, as a result, mangos have a more pronounced impact on segment fnancial performance during this tmeframe.</w:t>
      </w:r>
    </w:p>
    <w:p>
      <w:pPr>
        <w:spacing w:after="0" w:line="159" w:lineRule="exact"/>
        <w:rPr>
          <w:sz w:val="20"/>
          <w:szCs w:val="20"/>
          <w:color w:val="auto"/>
        </w:rPr>
      </w:pPr>
    </w:p>
    <w:p>
      <w:pPr>
        <w:ind w:right="300" w:firstLine="509"/>
        <w:spacing w:after="0" w:line="225" w:lineRule="auto"/>
        <w:rPr>
          <w:sz w:val="20"/>
          <w:szCs w:val="20"/>
          <w:color w:val="auto"/>
        </w:rPr>
      </w:pPr>
      <w:r>
        <w:rPr>
          <w:rFonts w:ascii="Calibri" w:cs="Calibri" w:eastAsia="Calibri" w:hAnsi="Calibri"/>
          <w:sz w:val="13"/>
          <w:szCs w:val="13"/>
          <w:color w:val="auto"/>
        </w:rPr>
        <w:t>Total segment sales in our Internatonal Farming segment increased $10.1 million or 10% in fscal year 2022 compared to fscal year 2021, driven by increased avocado producton of 15%, which increased afliated sales.</w:t>
      </w:r>
    </w:p>
    <w:p>
      <w:pPr>
        <w:spacing w:after="0" w:line="159" w:lineRule="exact"/>
        <w:rPr>
          <w:sz w:val="20"/>
          <w:szCs w:val="20"/>
          <w:color w:val="auto"/>
        </w:rPr>
      </w:pPr>
    </w:p>
    <w:p>
      <w:pPr>
        <w:ind w:right="360" w:firstLine="509"/>
        <w:spacing w:after="0" w:line="233" w:lineRule="auto"/>
        <w:rPr>
          <w:sz w:val="20"/>
          <w:szCs w:val="20"/>
          <w:color w:val="auto"/>
        </w:rPr>
      </w:pPr>
      <w:r>
        <w:rPr>
          <w:rFonts w:ascii="Calibri" w:cs="Calibri" w:eastAsia="Calibri" w:hAnsi="Calibri"/>
          <w:sz w:val="13"/>
          <w:szCs w:val="13"/>
          <w:color w:val="auto"/>
        </w:rPr>
        <w:t>Segment adjusted EBITDA decreased $10.6 million or 31% in fscal year 2022 compared to fscal year 2021, primarily due to infatonary cost pressures impactng ocean freight costs, packaging costs, and farming input costs, partally ofset by increased avocado producton at our farms, as well as losses at early-stage mango farms that were mainly driven by lower sales prices and producton yields.</w:t>
      </w:r>
    </w:p>
    <w:p>
      <w:pPr>
        <w:spacing w:after="0" w:line="159" w:lineRule="exact"/>
        <w:rPr>
          <w:sz w:val="20"/>
          <w:szCs w:val="20"/>
          <w:color w:val="auto"/>
        </w:rPr>
      </w:pPr>
    </w:p>
    <w:p>
      <w:pPr>
        <w:ind w:right="100" w:firstLine="509"/>
        <w:spacing w:after="0" w:line="230" w:lineRule="auto"/>
        <w:rPr>
          <w:sz w:val="20"/>
          <w:szCs w:val="20"/>
          <w:color w:val="auto"/>
        </w:rPr>
      </w:pPr>
      <w:r>
        <w:rPr>
          <w:rFonts w:ascii="Calibri" w:cs="Calibri" w:eastAsia="Calibri" w:hAnsi="Calibri"/>
          <w:sz w:val="13"/>
          <w:szCs w:val="13"/>
          <w:color w:val="auto"/>
        </w:rPr>
        <w:t>Total segment sales in our Internatonal Farming segment increased $22.8 million or 28% in fscal year 2021 compared to fscal year 2020, due to a 33% increase in fruit volumes resultng from improved harvest yields at our maturing orchards, partally ofset by a 3% decrease in average sales prices. Net sales increased $4.3 million or 28% in fscal year 2021 compared to fscal year 2020, primarily due to higher packing and processing service revenue for third-party growers.</w:t>
      </w:r>
    </w:p>
    <w:p>
      <w:pPr>
        <w:spacing w:after="0" w:line="15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Segment adjusted EBITDA increased $10.6 million or 45% in fscal year 2021 compared to fscal year 2020, primarily due to the revenue drivers noted above.</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Blueberries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In the six months ended October 31, 2022, net sales in our Blueberries segment were $10.8 million and segment adjusted EBITDA was $0.8 million.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0" w:right="339" w:bottom="1440" w:gutter="0" w:footer="0" w:header="0"/>
        </w:sectPr>
      </w:pPr>
    </w:p>
    <w:bookmarkStart w:id="28" w:name="page29"/>
    <w:bookmarkEnd w:id="28"/>
    <w:p>
      <w:pPr>
        <w:spacing w:after="0"/>
        <w:rPr>
          <w:sz w:val="20"/>
          <w:szCs w:val="20"/>
          <w:color w:val="auto"/>
        </w:rPr>
      </w:pPr>
      <w:r>
        <w:rPr>
          <w:rFonts w:ascii="Calibri" w:cs="Calibri" w:eastAsia="Calibri" w:hAnsi="Calibri"/>
          <w:sz w:val="16"/>
          <w:szCs w:val="16"/>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Operatng actvites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7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tcPr>
          <w:p>
            <w:pPr>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Pr>
          <w:p>
            <w:pPr>
              <w:spacing w:after="0"/>
              <w:rPr>
                <w:sz w:val="11"/>
                <w:szCs w:val="11"/>
                <w:color w:val="auto"/>
              </w:rPr>
            </w:pPr>
          </w:p>
        </w:tc>
        <w:tc>
          <w:tcPr>
            <w:tcW w:w="920" w:type="dxa"/>
            <w:vAlign w:val="bottom"/>
          </w:tcPr>
          <w:p>
            <w:pPr>
              <w:jc w:val="right"/>
              <w:ind w:right="163"/>
              <w:spacing w:after="0"/>
              <w:rPr>
                <w:sz w:val="20"/>
                <w:szCs w:val="20"/>
                <w:color w:val="auto"/>
              </w:rPr>
            </w:pPr>
            <w:r>
              <w:rPr>
                <w:rFonts w:ascii="Calibri" w:cs="Calibri" w:eastAsia="Calibri" w:hAnsi="Calibri"/>
                <w:sz w:val="11"/>
                <w:szCs w:val="11"/>
                <w:b w:val="1"/>
                <w:bCs w:val="1"/>
                <w:color w:val="auto"/>
              </w:rPr>
              <w:t>2022</w:t>
            </w: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1"/>
                <w:szCs w:val="11"/>
                <w:color w:val="auto"/>
              </w:rPr>
            </w:pPr>
          </w:p>
        </w:tc>
        <w:tc>
          <w:tcPr>
            <w:tcW w:w="800" w:type="dxa"/>
            <w:vAlign w:val="bottom"/>
          </w:tcPr>
          <w:p>
            <w:pPr>
              <w:jc w:val="right"/>
              <w:ind w:right="43"/>
              <w:spacing w:after="0"/>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700" w:type="dxa"/>
            <w:vAlign w:val="bottom"/>
            <w:tcBorders>
              <w:bottom w:val="single" w:sz="8" w:color="DBDBDB"/>
            </w:tcBorders>
            <w:shd w:val="clear" w:color="auto" w:fill="DBDBDB"/>
          </w:tcPr>
          <w:p>
            <w:pPr>
              <w:spacing w:after="0" w:line="126" w:lineRule="exact"/>
              <w:rPr>
                <w:sz w:val="20"/>
                <w:szCs w:val="20"/>
                <w:color w:val="auto"/>
              </w:rPr>
            </w:pPr>
            <w:r>
              <w:rPr>
                <w:rFonts w:ascii="Calibri" w:cs="Calibri" w:eastAsia="Calibri" w:hAnsi="Calibri"/>
                <w:sz w:val="11"/>
                <w:szCs w:val="11"/>
                <w:color w:val="auto"/>
              </w:rPr>
              <w:t>Net (loss) income</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(34.9)</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44.9</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tcPr>
          <w:p>
            <w:pPr>
              <w:spacing w:after="0"/>
              <w:rPr>
                <w:sz w:val="20"/>
                <w:szCs w:val="20"/>
                <w:color w:val="auto"/>
              </w:rPr>
            </w:pPr>
            <w:r>
              <w:rPr>
                <w:rFonts w:ascii="Calibri" w:cs="Calibri" w:eastAsia="Calibri" w:hAnsi="Calibri"/>
                <w:sz w:val="11"/>
                <w:szCs w:val="11"/>
                <w:color w:val="auto"/>
              </w:rPr>
              <w:t>Depreciaton and amortzaton</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24.8</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20.4</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18.1</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1"/>
                <w:szCs w:val="11"/>
                <w:color w:val="auto"/>
              </w:rPr>
              <w:t>Equity method income</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(5.1)</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(7.5)</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tcPr>
          <w:p>
            <w:pPr>
              <w:spacing w:after="0"/>
              <w:rPr>
                <w:sz w:val="20"/>
                <w:szCs w:val="20"/>
                <w:color w:val="auto"/>
              </w:rPr>
            </w:pPr>
            <w:r>
              <w:rPr>
                <w:rFonts w:ascii="Calibri" w:cs="Calibri" w:eastAsia="Calibri" w:hAnsi="Calibri"/>
                <w:sz w:val="11"/>
                <w:szCs w:val="11"/>
                <w:color w:val="auto"/>
              </w:rPr>
              <w:t>Noncash lease expense</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5.3</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4.3</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1"/>
                <w:szCs w:val="11"/>
                <w:color w:val="auto"/>
              </w:rPr>
              <w:t>Stock-based compensaton</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3.6</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2.6</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tcPr>
          <w:p>
            <w:pPr>
              <w:spacing w:after="0"/>
              <w:rPr>
                <w:sz w:val="20"/>
                <w:szCs w:val="20"/>
                <w:color w:val="auto"/>
              </w:rPr>
            </w:pPr>
            <w:r>
              <w:rPr>
                <w:rFonts w:ascii="Calibri" w:cs="Calibri" w:eastAsia="Calibri" w:hAnsi="Calibri"/>
                <w:sz w:val="11"/>
                <w:szCs w:val="11"/>
                <w:color w:val="auto"/>
              </w:rPr>
              <w:t>Dividends received from equity method investees</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2.2</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1.7</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1.7</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1"/>
                <w:szCs w:val="11"/>
                <w:color w:val="auto"/>
              </w:rPr>
              <w:t>Deferred income taxes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(0.6)</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8.8</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tcPr>
          <w:p>
            <w:pPr>
              <w:spacing w:after="0"/>
              <w:rPr>
                <w:sz w:val="20"/>
                <w:szCs w:val="20"/>
                <w:color w:val="auto"/>
              </w:rPr>
            </w:pPr>
            <w:r>
              <w:rPr>
                <w:rFonts w:ascii="Calibri" w:cs="Calibri" w:eastAsia="Calibri" w:hAnsi="Calibri"/>
                <w:sz w:val="11"/>
                <w:szCs w:val="11"/>
                <w:color w:val="auto"/>
              </w:rPr>
              <w:t>Goodwill impairment</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49.5</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1"/>
                <w:szCs w:val="11"/>
                <w:color w:val="auto"/>
              </w:rPr>
              <w:t>Remeasurement gain on acquisiton of equity method investee</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(2.0)</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tcPr>
          <w:p>
            <w:pPr>
              <w:spacing w:after="0"/>
              <w:rPr>
                <w:sz w:val="20"/>
                <w:szCs w:val="20"/>
                <w:color w:val="auto"/>
              </w:rPr>
            </w:pPr>
            <w:r>
              <w:rPr>
                <w:rFonts w:ascii="Calibri" w:cs="Calibri" w:eastAsia="Calibri" w:hAnsi="Calibri"/>
                <w:sz w:val="11"/>
                <w:szCs w:val="11"/>
                <w:color w:val="auto"/>
              </w:rPr>
              <w:t>Impairment on equity method investment</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21.2</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70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1"/>
                <w:szCs w:val="11"/>
                <w:color w:val="auto"/>
              </w:rPr>
              <w:t>Unrealized (gains) losses on derivatve fnancial instruments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(4.7)</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(0.8)</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tcPr>
          <w:p>
            <w:pPr>
              <w:spacing w:after="0"/>
              <w:rPr>
                <w:sz w:val="20"/>
                <w:szCs w:val="20"/>
                <w:color w:val="auto"/>
              </w:rPr>
            </w:pPr>
            <w:r>
              <w:rPr>
                <w:rFonts w:ascii="Calibri" w:cs="Calibri" w:eastAsia="Calibri" w:hAnsi="Calibri"/>
                <w:sz w:val="11"/>
                <w:szCs w:val="11"/>
                <w:color w:val="auto"/>
              </w:rPr>
              <w:t>Other</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0.9</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0.3</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(1.6)</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670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1"/>
                <w:szCs w:val="11"/>
                <w:color w:val="auto"/>
              </w:rPr>
              <w:t>Change in working capital</w:t>
            </w:r>
          </w:p>
        </w:tc>
        <w:tc>
          <w:tcPr>
            <w:tcW w:w="54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(3.8)</w:t>
            </w:r>
          </w:p>
        </w:tc>
        <w:tc>
          <w:tcPr>
            <w:tcW w:w="2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(27.7)</w:t>
            </w:r>
          </w:p>
        </w:tc>
        <w:tc>
          <w:tcPr>
            <w:tcW w:w="66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7.9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700" w:type="dxa"/>
            <w:vAlign w:val="bottom"/>
            <w:tcBorders>
              <w:top w:val="single" w:sz="8" w:color="auto"/>
            </w:tcBorders>
          </w:tcPr>
          <w:p>
            <w:pPr>
              <w:spacing w:after="0" w:line="126" w:lineRule="exact"/>
              <w:rPr>
                <w:sz w:val="20"/>
                <w:szCs w:val="20"/>
                <w:color w:val="auto"/>
              </w:rPr>
            </w:pPr>
            <w:r>
              <w:rPr>
                <w:rFonts w:ascii="Calibri" w:cs="Calibri" w:eastAsia="Calibri" w:hAnsi="Calibri"/>
                <w:sz w:val="11"/>
                <w:szCs w:val="11"/>
                <w:color w:val="auto"/>
              </w:rPr>
              <w:t>Net cash provided by operatng actvites</w:t>
            </w:r>
          </w:p>
        </w:tc>
        <w:tc>
          <w:tcPr>
            <w:tcW w:w="54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35.2</w:t>
            </w:r>
          </w:p>
        </w:tc>
        <w:tc>
          <w:tcPr>
            <w:tcW w:w="2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47.0</w:t>
            </w:r>
          </w:p>
        </w:tc>
        <w:tc>
          <w:tcPr>
            <w:tcW w:w="66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78.9</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80" w:firstLine="509"/>
        <w:spacing w:after="0" w:line="229" w:lineRule="auto"/>
        <w:rPr>
          <w:sz w:val="20"/>
          <w:szCs w:val="20"/>
          <w:color w:val="auto"/>
        </w:rPr>
      </w:pPr>
      <w:r>
        <w:rPr>
          <w:rFonts w:ascii="Calibri" w:cs="Calibri" w:eastAsia="Calibri" w:hAnsi="Calibri"/>
          <w:sz w:val="13"/>
          <w:szCs w:val="13"/>
          <w:color w:val="auto"/>
        </w:rPr>
        <w:t>Net cash provided by operatng actvites decreased $11.8 million for fscal year 2022 compared to fscal year 2021, refectng our net loss in the current year compared to net income in the prior year, partally ofset by improvements in working capital. Working capital was primarily impacted by favorable movement in accounts receivable, partally ofset by unfavorable movement in inventory. Accounts receivable as of October 31, 2022 was lower compared to prior year, as a result of per-unit sales prices trending lower during the fourth quarter. Changes in inventory were primarily driven by the consolidaton of Moruga and its respectve inventory.</w:t>
      </w:r>
    </w:p>
    <w:p>
      <w:pPr>
        <w:spacing w:after="0" w:line="169" w:lineRule="exact"/>
        <w:rPr>
          <w:sz w:val="20"/>
          <w:szCs w:val="20"/>
          <w:color w:val="auto"/>
        </w:rPr>
      </w:pPr>
    </w:p>
    <w:p>
      <w:pPr>
        <w:ind w:firstLine="509"/>
        <w:spacing w:after="0" w:line="228" w:lineRule="auto"/>
        <w:rPr>
          <w:sz w:val="20"/>
          <w:szCs w:val="20"/>
          <w:color w:val="auto"/>
        </w:rPr>
      </w:pPr>
      <w:r>
        <w:rPr>
          <w:rFonts w:ascii="Calibri" w:cs="Calibri" w:eastAsia="Calibri" w:hAnsi="Calibri"/>
          <w:sz w:val="13"/>
          <w:szCs w:val="13"/>
          <w:color w:val="auto"/>
        </w:rPr>
        <w:t>Net cash provided by operatng actvites decreased $31.9 million for fscal year 2021 compared to fscal year 2020, refectng unfavorable net change in working capital. Within working capital, unfavorable changes in accounts receivable and inventory, were partally ofset by favorable changes in grower payables. Accounts receivable increases were due to rising per-unit sales prices during the year. Changes in inventory were driven by a combinaton of higher farm related inventory in Peru, as well as higher per-unit cost of Mexican fruit on-hand compared to 2020. The increases in farm related inventory were due primarily to growth in productve acreage and higher on-hand quanttes of fruit at the end of 2021 due to the extension of the harvest season combined with port delays. Favorable changes in grower payables were correlated with the pricing increases experienced with Mexican inventory.</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Investng actvites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6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6"/>
        </w:trPr>
        <w:tc>
          <w:tcPr>
            <w:tcW w:w="67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Pr>
          <w:p>
            <w:pPr>
              <w:spacing w:after="0"/>
              <w:rPr>
                <w:sz w:val="11"/>
                <w:szCs w:val="11"/>
                <w:color w:val="auto"/>
              </w:rPr>
            </w:pPr>
          </w:p>
        </w:tc>
        <w:tc>
          <w:tcPr>
            <w:tcW w:w="920" w:type="dxa"/>
            <w:vAlign w:val="bottom"/>
          </w:tcPr>
          <w:p>
            <w:pPr>
              <w:jc w:val="right"/>
              <w:ind w:right="163"/>
              <w:spacing w:after="0"/>
              <w:rPr>
                <w:sz w:val="20"/>
                <w:szCs w:val="20"/>
                <w:color w:val="auto"/>
              </w:rPr>
            </w:pPr>
            <w:r>
              <w:rPr>
                <w:rFonts w:ascii="Calibri" w:cs="Calibri" w:eastAsia="Calibri" w:hAnsi="Calibri"/>
                <w:sz w:val="11"/>
                <w:szCs w:val="11"/>
                <w:b w:val="1"/>
                <w:bCs w:val="1"/>
                <w:color w:val="auto"/>
              </w:rPr>
              <w:t>2022</w:t>
            </w: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1"/>
                <w:szCs w:val="11"/>
                <w:color w:val="auto"/>
              </w:rPr>
            </w:pPr>
          </w:p>
        </w:tc>
        <w:tc>
          <w:tcPr>
            <w:tcW w:w="800" w:type="dxa"/>
            <w:vAlign w:val="bottom"/>
          </w:tcPr>
          <w:p>
            <w:pPr>
              <w:jc w:val="right"/>
              <w:ind w:right="4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67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1"/>
        </w:trPr>
        <w:tc>
          <w:tcPr>
            <w:tcW w:w="67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Purchases of property and equipment</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(61.2)</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(73.4)</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(67.3)</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Proceeds from sale of property, plant and equipment</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3.0</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2.4</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3.0</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Insurance proceeds for the replacement of property, plant and equipment</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1.1</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Cash acquired in consolidaton of Moruga</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4.3</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Investment in equity method investees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(0.4)</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(0.2)</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(3.4)</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Loans to equity method investees</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Pr>
          <w:p>
            <w:pPr>
              <w:spacing w:after="0"/>
              <w:rPr>
                <w:sz w:val="11"/>
                <w:szCs w:val="11"/>
                <w:color w:val="auto"/>
              </w:rPr>
            </w:pPr>
          </w:p>
        </w:tc>
        <w:tc>
          <w:tcPr>
            <w:tcW w:w="1360" w:type="dxa"/>
            <w:vAlign w:val="bottom"/>
          </w:tcPr>
          <w:p>
            <w:pPr>
              <w:jc w:val="right"/>
              <w:ind w:right="83"/>
              <w:spacing w:after="0"/>
              <w:rPr>
                <w:sz w:val="20"/>
                <w:szCs w:val="20"/>
                <w:color w:val="auto"/>
              </w:rPr>
            </w:pPr>
            <w:r>
              <w:rPr>
                <w:rFonts w:ascii="Calibri" w:cs="Calibri" w:eastAsia="Calibri" w:hAnsi="Calibri"/>
                <w:sz w:val="11"/>
                <w:szCs w:val="11"/>
                <w:color w:val="auto"/>
              </w:rPr>
              <w:t>(2.0)</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Loan repayments from equity method investees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3.0</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1.5</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Other</w:t>
            </w:r>
          </w:p>
        </w:tc>
        <w:tc>
          <w:tcPr>
            <w:tcW w:w="540" w:type="dxa"/>
            <w:vAlign w:val="bottom"/>
          </w:tcPr>
          <w:p>
            <w:pPr>
              <w:spacing w:after="0"/>
              <w:rPr>
                <w:sz w:val="11"/>
                <w:szCs w:val="11"/>
                <w:color w:val="auto"/>
              </w:rPr>
            </w:pPr>
          </w:p>
        </w:tc>
        <w:tc>
          <w:tcPr>
            <w:tcW w:w="920" w:type="dxa"/>
            <w:vAlign w:val="bottom"/>
          </w:tcPr>
          <w:p>
            <w:pPr>
              <w:jc w:val="right"/>
              <w:ind w:right="83"/>
              <w:spacing w:after="0"/>
              <w:rPr>
                <w:sz w:val="20"/>
                <w:szCs w:val="20"/>
                <w:color w:val="auto"/>
              </w:rPr>
            </w:pPr>
            <w:r>
              <w:rPr>
                <w:rFonts w:ascii="Calibri" w:cs="Calibri" w:eastAsia="Calibri" w:hAnsi="Calibri"/>
                <w:sz w:val="11"/>
                <w:szCs w:val="11"/>
                <w:color w:val="auto"/>
              </w:rPr>
              <w:t>(0.1)</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0.3</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67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1"/>
        </w:trPr>
        <w:tc>
          <w:tcPr>
            <w:tcW w:w="67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Net cash used in investng actvites</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(51.4)</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(70.3)</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(67.7)</w:t>
            </w:r>
          </w:p>
        </w:tc>
      </w:tr>
      <w:tr>
        <w:trPr>
          <w:trHeight w:val="20"/>
        </w:trPr>
        <w:tc>
          <w:tcPr>
            <w:tcW w:w="6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Property, plant and equipment</w:t>
      </w:r>
    </w:p>
    <w:p>
      <w:pPr>
        <w:spacing w:after="0" w:line="158" w:lineRule="exact"/>
        <w:rPr>
          <w:sz w:val="20"/>
          <w:szCs w:val="20"/>
          <w:color w:val="auto"/>
        </w:rPr>
      </w:pPr>
    </w:p>
    <w:p>
      <w:pPr>
        <w:ind w:right="380" w:firstLine="509"/>
        <w:spacing w:after="0" w:line="225" w:lineRule="auto"/>
        <w:rPr>
          <w:sz w:val="20"/>
          <w:szCs w:val="20"/>
          <w:color w:val="auto"/>
        </w:rPr>
      </w:pPr>
      <w:r>
        <w:rPr>
          <w:rFonts w:ascii="Calibri" w:cs="Calibri" w:eastAsia="Calibri" w:hAnsi="Calibri"/>
          <w:sz w:val="13"/>
          <w:szCs w:val="13"/>
          <w:color w:val="auto"/>
        </w:rPr>
        <w:t>In fscal year 2022, capital expenditures were concentrated in the purchase of farmland in Peru as well as land improvements and orchard development of avocados in Guatemala and both avocados and blueberries in Peru. Proceeds from the sale of property, plant and equipment were primarily from land that had been originally intended for use as our corporate headquarters.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29" w:name="page30"/>
    <w:bookmarkEnd w:id="29"/>
    <w:p>
      <w:pPr>
        <w:ind w:right="180" w:firstLine="509"/>
        <w:spacing w:after="0" w:line="254" w:lineRule="auto"/>
        <w:rPr>
          <w:sz w:val="20"/>
          <w:szCs w:val="20"/>
          <w:color w:val="auto"/>
        </w:rPr>
      </w:pPr>
      <w:r>
        <w:rPr>
          <w:rFonts w:ascii="Calibri" w:cs="Calibri" w:eastAsia="Calibri" w:hAnsi="Calibri"/>
          <w:sz w:val="12"/>
          <w:szCs w:val="12"/>
          <w:color w:val="auto"/>
        </w:rPr>
        <w:t>In fscal year 2021, capital expenditures were primarily for the constructon of the Laredo facility, which was completed in mid-fscal 2021, and land improvements and orchard development in Peru and Guatemala. Proceeds from the sale of property, plant and equipment were primarily from the sale of mult-unit housing propertes in California that had been used for housing seasonal avocado labor contractors. We also received insurance proceeds for property, plant and equipment damage sustained in our Dallas facility from a cold weather storm, which were subsequently invested in the rebuilding of the equipment.</w:t>
      </w:r>
    </w:p>
    <w:p>
      <w:pPr>
        <w:spacing w:after="0" w:line="152"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Equity method investees</w:t>
      </w:r>
    </w:p>
    <w:p>
      <w:pPr>
        <w:spacing w:after="0" w:line="17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Capital contributons were made to our joint venture, Copaltas, in both fscal years 2022 and 2021 to support the purchase of additonal farmland in Colombia. We also made a capital contributon to Mr.</w:t>
      </w:r>
    </w:p>
    <w:p>
      <w:pPr>
        <w:spacing w:after="0" w:line="224" w:lineRule="auto"/>
        <w:rPr>
          <w:sz w:val="20"/>
          <w:szCs w:val="20"/>
          <w:color w:val="auto"/>
        </w:rPr>
      </w:pPr>
      <w:r>
        <w:rPr>
          <w:rFonts w:ascii="Calibri" w:cs="Calibri" w:eastAsia="Calibri" w:hAnsi="Calibri"/>
          <w:sz w:val="13"/>
          <w:szCs w:val="13"/>
          <w:color w:val="auto"/>
        </w:rPr>
        <w:t>Avocado in fscal year 2022 to support the additon of a new distributon facility in southern China.</w:t>
      </w:r>
    </w:p>
    <w:p>
      <w:pPr>
        <w:spacing w:after="0" w:line="159" w:lineRule="exact"/>
        <w:rPr>
          <w:sz w:val="20"/>
          <w:szCs w:val="20"/>
          <w:color w:val="auto"/>
        </w:rPr>
      </w:pPr>
    </w:p>
    <w:p>
      <w:pPr>
        <w:ind w:right="300" w:firstLine="509"/>
        <w:spacing w:after="0" w:line="225" w:lineRule="auto"/>
        <w:rPr>
          <w:sz w:val="20"/>
          <w:szCs w:val="20"/>
          <w:color w:val="auto"/>
        </w:rPr>
      </w:pPr>
      <w:r>
        <w:rPr>
          <w:rFonts w:ascii="Calibri" w:cs="Calibri" w:eastAsia="Calibri" w:hAnsi="Calibri"/>
          <w:sz w:val="13"/>
          <w:szCs w:val="13"/>
          <w:color w:val="auto"/>
        </w:rPr>
        <w:t>In fscal year 2021, we issued $2.0 million in loans to Copaltas to support the working capital needs of the entty, which was repaid in fscal year 2022. In additon, loan repayments from Moruga were $1.5 million during fscal year 2021.</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Financing actvites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6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6"/>
        </w:trPr>
        <w:tc>
          <w:tcPr>
            <w:tcW w:w="67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Pr>
          <w:p>
            <w:pPr>
              <w:spacing w:after="0"/>
              <w:rPr>
                <w:sz w:val="11"/>
                <w:szCs w:val="11"/>
                <w:color w:val="auto"/>
              </w:rPr>
            </w:pPr>
          </w:p>
        </w:tc>
        <w:tc>
          <w:tcPr>
            <w:tcW w:w="920" w:type="dxa"/>
            <w:vAlign w:val="bottom"/>
          </w:tcPr>
          <w:p>
            <w:pPr>
              <w:jc w:val="right"/>
              <w:ind w:right="163"/>
              <w:spacing w:after="0"/>
              <w:rPr>
                <w:sz w:val="20"/>
                <w:szCs w:val="20"/>
                <w:color w:val="auto"/>
              </w:rPr>
            </w:pPr>
            <w:r>
              <w:rPr>
                <w:rFonts w:ascii="Calibri" w:cs="Calibri" w:eastAsia="Calibri" w:hAnsi="Calibri"/>
                <w:sz w:val="11"/>
                <w:szCs w:val="11"/>
                <w:b w:val="1"/>
                <w:bCs w:val="1"/>
                <w:color w:val="auto"/>
              </w:rPr>
              <w:t>2022</w:t>
            </w: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1"/>
                <w:szCs w:val="11"/>
                <w:color w:val="auto"/>
              </w:rPr>
            </w:pPr>
          </w:p>
        </w:tc>
        <w:tc>
          <w:tcPr>
            <w:tcW w:w="800" w:type="dxa"/>
            <w:vAlign w:val="bottom"/>
          </w:tcPr>
          <w:p>
            <w:pPr>
              <w:jc w:val="right"/>
              <w:ind w:right="43"/>
              <w:spacing w:after="0"/>
              <w:rPr>
                <w:sz w:val="20"/>
                <w:szCs w:val="20"/>
                <w:color w:val="auto"/>
              </w:rPr>
            </w:pPr>
            <w:r>
              <w:rPr>
                <w:rFonts w:ascii="Calibri" w:cs="Calibri" w:eastAsia="Calibri" w:hAnsi="Calibri"/>
                <w:sz w:val="11"/>
                <w:szCs w:val="11"/>
                <w:b w:val="1"/>
                <w:bCs w:val="1"/>
                <w:color w:val="auto"/>
              </w:rPr>
              <w:t>2020</w:t>
            </w:r>
          </w:p>
        </w:tc>
      </w:tr>
      <w:tr>
        <w:trPr>
          <w:trHeight w:val="36"/>
        </w:trPr>
        <w:tc>
          <w:tcPr>
            <w:tcW w:w="67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1"/>
        </w:trPr>
        <w:tc>
          <w:tcPr>
            <w:tcW w:w="67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Borrowings on revolving credit facility</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80.0</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14.0</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Payments on revolving credit facility</w:t>
            </w:r>
          </w:p>
        </w:tc>
        <w:tc>
          <w:tcPr>
            <w:tcW w:w="540" w:type="dxa"/>
            <w:vAlign w:val="bottom"/>
          </w:tcPr>
          <w:p>
            <w:pPr>
              <w:spacing w:after="0"/>
              <w:rPr>
                <w:sz w:val="11"/>
                <w:szCs w:val="11"/>
                <w:color w:val="auto"/>
              </w:rPr>
            </w:pPr>
          </w:p>
        </w:tc>
        <w:tc>
          <w:tcPr>
            <w:tcW w:w="920" w:type="dxa"/>
            <w:vAlign w:val="bottom"/>
          </w:tcPr>
          <w:p>
            <w:pPr>
              <w:jc w:val="right"/>
              <w:ind w:right="83"/>
              <w:spacing w:after="0"/>
              <w:rPr>
                <w:sz w:val="20"/>
                <w:szCs w:val="20"/>
                <w:color w:val="auto"/>
              </w:rPr>
            </w:pPr>
            <w:r>
              <w:rPr>
                <w:rFonts w:ascii="Calibri" w:cs="Calibri" w:eastAsia="Calibri" w:hAnsi="Calibri"/>
                <w:sz w:val="11"/>
                <w:szCs w:val="11"/>
                <w:color w:val="auto"/>
              </w:rPr>
              <w:t>(40.0)</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(14.0)</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Short-term borrowings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2.5</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Principal payments on long-term debt obligatons</w:t>
            </w:r>
          </w:p>
        </w:tc>
        <w:tc>
          <w:tcPr>
            <w:tcW w:w="540" w:type="dxa"/>
            <w:vAlign w:val="bottom"/>
          </w:tcPr>
          <w:p>
            <w:pPr>
              <w:spacing w:after="0"/>
              <w:rPr>
                <w:sz w:val="11"/>
                <w:szCs w:val="11"/>
                <w:color w:val="auto"/>
              </w:rPr>
            </w:pPr>
          </w:p>
        </w:tc>
        <w:tc>
          <w:tcPr>
            <w:tcW w:w="920" w:type="dxa"/>
            <w:vAlign w:val="bottom"/>
          </w:tcPr>
          <w:p>
            <w:pPr>
              <w:jc w:val="right"/>
              <w:ind w:right="83"/>
              <w:spacing w:after="0"/>
              <w:rPr>
                <w:sz w:val="20"/>
                <w:szCs w:val="20"/>
                <w:color w:val="auto"/>
              </w:rPr>
            </w:pPr>
            <w:r>
              <w:rPr>
                <w:rFonts w:ascii="Calibri" w:cs="Calibri" w:eastAsia="Calibri" w:hAnsi="Calibri"/>
                <w:sz w:val="11"/>
                <w:szCs w:val="11"/>
                <w:color w:val="auto"/>
              </w:rPr>
              <w:t>(63.3)</w:t>
            </w:r>
          </w:p>
        </w:tc>
        <w:tc>
          <w:tcPr>
            <w:tcW w:w="200" w:type="dxa"/>
            <w:vAlign w:val="bottom"/>
          </w:tcPr>
          <w:p>
            <w:pPr>
              <w:spacing w:after="0"/>
              <w:rPr>
                <w:sz w:val="11"/>
                <w:szCs w:val="11"/>
                <w:color w:val="auto"/>
              </w:rPr>
            </w:pPr>
          </w:p>
        </w:tc>
        <w:tc>
          <w:tcPr>
            <w:tcW w:w="1360" w:type="dxa"/>
            <w:vAlign w:val="bottom"/>
          </w:tcPr>
          <w:p>
            <w:pPr>
              <w:jc w:val="right"/>
              <w:ind w:right="83"/>
              <w:spacing w:after="0"/>
              <w:rPr>
                <w:sz w:val="20"/>
                <w:szCs w:val="20"/>
                <w:color w:val="auto"/>
              </w:rPr>
            </w:pPr>
            <w:r>
              <w:rPr>
                <w:rFonts w:ascii="Calibri" w:cs="Calibri" w:eastAsia="Calibri" w:hAnsi="Calibri"/>
                <w:sz w:val="11"/>
                <w:szCs w:val="11"/>
                <w:color w:val="auto"/>
              </w:rPr>
              <w:t>(10.5)</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(6.3)</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Principal payments on fnance lease obligatons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(1.2)</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(1.2)</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(0.9)</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Payments for long-term supplier fnancing</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(5.8)</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Exercise of stock optons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0.1</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0.2</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Repayment of stock opton notes receivable</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0.1</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0.1</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Payment of debt issuance or extnguishment fees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(0.8)</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(0.1)</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(0.2)</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Purchase and retrement of stock</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(1.9)</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Proceeds from issuance of common stock in public ofering, net of issuance costs</w:t>
            </w:r>
          </w:p>
        </w:tc>
        <w:tc>
          <w:tcPr>
            <w:tcW w:w="54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78.1</w:t>
            </w:r>
          </w:p>
        </w:tc>
      </w:tr>
      <w:tr>
        <w:trPr>
          <w:trHeight w:val="135"/>
        </w:trPr>
        <w:tc>
          <w:tcPr>
            <w:tcW w:w="6720" w:type="dxa"/>
            <w:vAlign w:val="bottom"/>
          </w:tcPr>
          <w:p>
            <w:pPr>
              <w:ind w:left="20"/>
              <w:spacing w:after="0"/>
              <w:rPr>
                <w:sz w:val="20"/>
                <w:szCs w:val="20"/>
                <w:color w:val="auto"/>
              </w:rPr>
            </w:pPr>
            <w:r>
              <w:rPr>
                <w:rFonts w:ascii="Calibri" w:cs="Calibri" w:eastAsia="Calibri" w:hAnsi="Calibri"/>
                <w:sz w:val="11"/>
                <w:szCs w:val="11"/>
                <w:color w:val="auto"/>
              </w:rPr>
              <w:t>Dividends paid</w:t>
            </w:r>
          </w:p>
        </w:tc>
        <w:tc>
          <w:tcPr>
            <w:tcW w:w="54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(13.0)</w:t>
            </w:r>
          </w:p>
        </w:tc>
      </w:tr>
      <w:tr>
        <w:trPr>
          <w:trHeight w:val="46"/>
        </w:trPr>
        <w:tc>
          <w:tcPr>
            <w:tcW w:w="6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85"/>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Contributons from noncontrolling interest holders</w:t>
            </w:r>
          </w:p>
        </w:tc>
        <w:tc>
          <w:tcPr>
            <w:tcW w:w="54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0.9</w:t>
            </w:r>
          </w:p>
        </w:tc>
        <w:tc>
          <w:tcPr>
            <w:tcW w:w="2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25"/>
        </w:trPr>
        <w:tc>
          <w:tcPr>
            <w:tcW w:w="672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Net cash (used in) provided by fnancing actvites</w:t>
            </w:r>
          </w:p>
        </w:tc>
        <w:tc>
          <w:tcPr>
            <w:tcW w:w="54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(21.8)</w:t>
            </w:r>
          </w:p>
        </w:tc>
        <w:tc>
          <w:tcPr>
            <w:tcW w:w="2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(11.5)</w:t>
            </w:r>
          </w:p>
        </w:tc>
        <w:tc>
          <w:tcPr>
            <w:tcW w:w="66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50.1</w:t>
            </w:r>
          </w:p>
        </w:tc>
      </w:tr>
      <w:tr>
        <w:trPr>
          <w:trHeight w:val="46"/>
        </w:trPr>
        <w:tc>
          <w:tcPr>
            <w:tcW w:w="67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Borrowings and repayments of debt</w:t>
      </w:r>
    </w:p>
    <w:p>
      <w:pPr>
        <w:spacing w:after="0" w:line="158" w:lineRule="exact"/>
        <w:rPr>
          <w:sz w:val="20"/>
          <w:szCs w:val="20"/>
          <w:color w:val="auto"/>
        </w:rPr>
      </w:pPr>
    </w:p>
    <w:p>
      <w:pPr>
        <w:jc w:val="both"/>
        <w:ind w:right="80" w:firstLine="509"/>
        <w:spacing w:after="0" w:line="248" w:lineRule="auto"/>
        <w:rPr>
          <w:sz w:val="20"/>
          <w:szCs w:val="20"/>
          <w:color w:val="auto"/>
        </w:rPr>
      </w:pPr>
      <w:r>
        <w:rPr>
          <w:rFonts w:ascii="Calibri" w:cs="Calibri" w:eastAsia="Calibri" w:hAnsi="Calibri"/>
          <w:sz w:val="12"/>
          <w:szCs w:val="12"/>
          <w:color w:val="auto"/>
        </w:rPr>
        <w:t>We utlize a revolving line of credit for short-term working capital purposes. Principal payments on our term loans and other notes payable are made in accordance with debt maturity schedules. Our fnancing cash fow for fscal year 2022 refects the modifcaton of principal amounts on our term-loans and increased borrowing capacity on our revolver (refer to the Capital Resources secton below for more informaton).</w:t>
      </w:r>
    </w:p>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During the year ended October 31, 2021, we repaid outstanding principal of $3.0 million on a note payable earlier than its scheduled maturity.</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Shareholders’ equity</w:t>
      </w:r>
    </w:p>
    <w:p>
      <w:pPr>
        <w:spacing w:after="0" w:line="181"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 dividends were paid in fscal years 2022 and 2021. We paid dividends of $0.21 per share in fscal year 2020.</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Capital resources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2"/>
          </w:tcPr>
          <w:p>
            <w:pPr>
              <w:jc w:val="right"/>
              <w:ind w:right="503"/>
              <w:spacing w:after="0"/>
              <w:rPr>
                <w:sz w:val="20"/>
                <w:szCs w:val="20"/>
                <w:color w:val="auto"/>
              </w:rPr>
            </w:pPr>
            <w:r>
              <w:rPr>
                <w:rFonts w:ascii="Calibri" w:cs="Calibri" w:eastAsia="Calibri" w:hAnsi="Calibri"/>
                <w:sz w:val="11"/>
                <w:szCs w:val="11"/>
                <w:b w:val="1"/>
                <w:bCs w:val="1"/>
                <w:color w:val="auto"/>
              </w:rPr>
              <w:t>October 31,</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794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6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79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jc w:val="right"/>
              <w:ind w:right="63"/>
              <w:spacing w:after="0" w:line="126" w:lineRule="exact"/>
              <w:rPr>
                <w:sz w:val="20"/>
                <w:szCs w:val="20"/>
                <w:color w:val="auto"/>
              </w:rPr>
            </w:pPr>
            <w:r>
              <w:rPr>
                <w:rFonts w:ascii="Calibri" w:cs="Calibri" w:eastAsia="Calibri" w:hAnsi="Calibri"/>
                <w:sz w:val="11"/>
                <w:szCs w:val="11"/>
                <w:b w:val="1"/>
                <w:bCs w:val="1"/>
                <w:color w:val="auto"/>
              </w:rPr>
              <w:t>2022</w:t>
            </w:r>
          </w:p>
        </w:tc>
        <w:tc>
          <w:tcPr>
            <w:tcW w:w="84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7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Cash and cash equivalents</w:t>
            </w:r>
          </w:p>
        </w:tc>
        <w:tc>
          <w:tcPr>
            <w:tcW w:w="660" w:type="dxa"/>
            <w:vAlign w:val="bottom"/>
            <w:tcBorders>
              <w:bottom w:val="single" w:sz="8" w:color="DBDBDB"/>
            </w:tcBorders>
            <w:shd w:val="clear" w:color="auto" w:fill="DBDBDB"/>
          </w:tcPr>
          <w:p>
            <w:pPr>
              <w:jc w:val="right"/>
              <w:ind w:right="543"/>
              <w:spacing w:after="0" w:line="126" w:lineRule="exact"/>
              <w:rPr>
                <w:sz w:val="20"/>
                <w:szCs w:val="20"/>
                <w:color w:val="auto"/>
              </w:rPr>
            </w:pPr>
            <w:r>
              <w:rPr>
                <w:rFonts w:ascii="Calibri" w:cs="Calibri" w:eastAsia="Calibri" w:hAnsi="Calibri"/>
                <w:sz w:val="11"/>
                <w:szCs w:val="11"/>
                <w:color w:val="auto"/>
                <w:w w:val="70"/>
              </w:rPr>
              <w:t>$</w:t>
            </w:r>
          </w:p>
        </w:tc>
        <w:tc>
          <w:tcPr>
            <w:tcW w:w="10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52.8</w:t>
            </w:r>
          </w:p>
        </w:tc>
        <w:tc>
          <w:tcPr>
            <w:tcW w:w="840" w:type="dxa"/>
            <w:vAlign w:val="bottom"/>
            <w:tcBorders>
              <w:bottom w:val="single" w:sz="8" w:color="DBDBDB"/>
            </w:tcBorders>
            <w:shd w:val="clear" w:color="auto" w:fill="DBDBDB"/>
          </w:tcPr>
          <w:p>
            <w:pPr>
              <w:jc w:val="right"/>
              <w:ind w:right="583"/>
              <w:spacing w:after="0" w:line="126" w:lineRule="exact"/>
              <w:rPr>
                <w:sz w:val="20"/>
                <w:szCs w:val="20"/>
                <w:color w:val="auto"/>
              </w:rPr>
            </w:pPr>
            <w:r>
              <w:rPr>
                <w:rFonts w:ascii="Calibri" w:cs="Calibri" w:eastAsia="Calibri" w:hAnsi="Calibri"/>
                <w:sz w:val="11"/>
                <w:szCs w:val="11"/>
                <w:color w:val="auto"/>
              </w:rPr>
              <w:t>$</w:t>
            </w:r>
          </w:p>
        </w:tc>
        <w:tc>
          <w:tcPr>
            <w:tcW w:w="8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84.5</w:t>
            </w:r>
          </w:p>
        </w:tc>
        <w:tc>
          <w:tcPr>
            <w:tcW w:w="0" w:type="dxa"/>
            <w:vAlign w:val="bottom"/>
          </w:tcPr>
          <w:p>
            <w:pPr>
              <w:spacing w:after="0"/>
              <w:rPr>
                <w:sz w:val="1"/>
                <w:szCs w:val="1"/>
                <w:color w:val="auto"/>
              </w:rPr>
            </w:pPr>
          </w:p>
        </w:tc>
      </w:tr>
      <w:tr>
        <w:trPr>
          <w:trHeight w:val="175"/>
        </w:trPr>
        <w:tc>
          <w:tcPr>
            <w:tcW w:w="7940" w:type="dxa"/>
            <w:vAlign w:val="bottom"/>
            <w:tcBorders>
              <w:bottom w:val="single" w:sz="8" w:color="auto"/>
            </w:tcBorders>
          </w:tcPr>
          <w:p>
            <w:pPr>
              <w:ind w:left="20"/>
              <w:spacing w:after="0" w:line="170" w:lineRule="exact"/>
              <w:rPr>
                <w:sz w:val="20"/>
                <w:szCs w:val="20"/>
                <w:color w:val="auto"/>
              </w:rPr>
            </w:pPr>
            <w:r>
              <w:rPr>
                <w:rFonts w:ascii="Calibri" w:cs="Calibri" w:eastAsia="Calibri" w:hAnsi="Calibri"/>
                <w:sz w:val="11"/>
                <w:szCs w:val="11"/>
                <w:color w:val="auto"/>
              </w:rPr>
              <w:t>Working capital</w:t>
            </w:r>
            <w:r>
              <w:rPr>
                <w:rFonts w:ascii="Calibri" w:cs="Calibri" w:eastAsia="Calibri" w:hAnsi="Calibri"/>
                <w:sz w:val="14"/>
                <w:szCs w:val="14"/>
                <w:color w:val="auto"/>
                <w:vertAlign w:val="superscript"/>
              </w:rPr>
              <w:t>(1)</w:t>
            </w: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1"/>
                <w:szCs w:val="11"/>
                <w:color w:val="auto"/>
              </w:rPr>
              <w:t>126.4</w:t>
            </w:r>
          </w:p>
        </w:tc>
        <w:tc>
          <w:tcPr>
            <w:tcW w:w="8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1"/>
                <w:szCs w:val="11"/>
                <w:color w:val="auto"/>
              </w:rPr>
              <w:t>157.9</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0" w:hanging="115"/>
        <w:spacing w:after="0"/>
        <w:tabs>
          <w:tab w:leader="none" w:pos="120" w:val="left"/>
        </w:tabs>
        <w:numPr>
          <w:ilvl w:val="0"/>
          <w:numId w:val="11"/>
        </w:numPr>
        <w:rPr>
          <w:rFonts w:ascii="Calibri" w:cs="Calibri" w:eastAsia="Calibri" w:hAnsi="Calibri"/>
          <w:sz w:val="13"/>
          <w:szCs w:val="13"/>
          <w:color w:val="auto"/>
          <w:vertAlign w:val="superscript"/>
        </w:rPr>
      </w:pPr>
      <w:r>
        <w:rPr>
          <w:rFonts w:ascii="Calibri" w:cs="Calibri" w:eastAsia="Calibri" w:hAnsi="Calibri"/>
          <w:sz w:val="10"/>
          <w:szCs w:val="10"/>
          <w:color w:val="auto"/>
        </w:rPr>
        <w:t>Includes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0" w:right="319" w:bottom="1440" w:gutter="0" w:footer="0" w:header="0"/>
        </w:sectPr>
      </w:pPr>
    </w:p>
    <w:bookmarkStart w:id="30" w:name="page31"/>
    <w:bookmarkEnd w:id="30"/>
    <w:p>
      <w:pPr>
        <w:ind w:left="520"/>
        <w:spacing w:after="0"/>
        <w:rPr>
          <w:sz w:val="20"/>
          <w:szCs w:val="20"/>
          <w:color w:val="auto"/>
        </w:rPr>
      </w:pPr>
      <w:r>
        <w:rPr>
          <w:rFonts w:ascii="Calibri" w:cs="Calibri" w:eastAsia="Calibri" w:hAnsi="Calibri"/>
          <w:sz w:val="13"/>
          <w:szCs w:val="13"/>
          <w:color w:val="auto"/>
        </w:rPr>
        <w:t>Capital resources include cash fows from operatons, cash and cash equivalents, and debt fnancing.</w:t>
      </w:r>
    </w:p>
    <w:p>
      <w:pPr>
        <w:spacing w:after="0" w:line="158" w:lineRule="exact"/>
        <w:rPr>
          <w:sz w:val="20"/>
          <w:szCs w:val="20"/>
          <w:color w:val="auto"/>
        </w:rPr>
      </w:pPr>
    </w:p>
    <w:p>
      <w:pPr>
        <w:ind w:firstLine="509"/>
        <w:spacing w:after="0" w:line="228" w:lineRule="auto"/>
        <w:rPr>
          <w:sz w:val="20"/>
          <w:szCs w:val="20"/>
          <w:color w:val="auto"/>
        </w:rPr>
      </w:pPr>
      <w:r>
        <w:rPr>
          <w:rFonts w:ascii="Calibri" w:cs="Calibri" w:eastAsia="Calibri" w:hAnsi="Calibri"/>
          <w:sz w:val="13"/>
          <w:szCs w:val="13"/>
          <w:color w:val="auto"/>
        </w:rPr>
        <w:t>In October 2022, we entered into a third amendment to our syndicated credit facility with Bank of America (the “credit facility”) Merrill Lynch, originally dated October 2018, as amended in September 2020 and April 2022. Among other things, the third amendment changed the total borrowing capacity from $275 million to $250 million. The credit facility is comprised of two senior term loans totaling $100 million, compared to $175 million before the third amendment and a revolving credit agreement now providing up to $150 million in borrowings compared to $100 million before the third amendment. The loans are secured by real property, personal property and the capital stock of the Company’s subsidiaries. Borrowings under the credit facility bear interest at a spread over SOFR ranging from 1.5% to 2.5% depending on the Company’s consolidated total net leverage rato, compared to a spread over LIBOR, ranging from 1.50% to 2.75%, prior to the third amendment.</w:t>
      </w:r>
    </w:p>
    <w:p>
      <w:pPr>
        <w:spacing w:after="0" w:line="159" w:lineRule="exact"/>
        <w:rPr>
          <w:sz w:val="20"/>
          <w:szCs w:val="20"/>
          <w:color w:val="auto"/>
        </w:rPr>
      </w:pPr>
    </w:p>
    <w:p>
      <w:pPr>
        <w:jc w:val="both"/>
        <w:ind w:firstLine="509"/>
        <w:spacing w:after="0" w:line="230" w:lineRule="auto"/>
        <w:rPr>
          <w:sz w:val="20"/>
          <w:szCs w:val="20"/>
          <w:color w:val="auto"/>
        </w:rPr>
      </w:pPr>
      <w:r>
        <w:rPr>
          <w:rFonts w:ascii="Calibri" w:cs="Calibri" w:eastAsia="Calibri" w:hAnsi="Calibri"/>
          <w:sz w:val="13"/>
          <w:szCs w:val="13"/>
          <w:color w:val="auto"/>
        </w:rPr>
        <w:t>As of October 31, 2022, we were required to comply with the following fnancial covenants: (a) a quarterly consolidated leverage rato of not more than 3.5 to 1.00 and (b) a quarterly consolidated fxed charge coverage rato of not less than 1.25 to 1.00. As of October 31, 2022, our consolidated leverage rato was 2.17 to 1.00 and our consolidated fxed charge coverage rato was 1.71 to 1.00 and we were in compliance with all such covenants of the credit facility. We pay fees on unused commitments on the credit facility.</w:t>
      </w:r>
    </w:p>
    <w:p>
      <w:pPr>
        <w:spacing w:after="0" w:line="15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Certain of our consolidated subsidiaries may also enter into short-term bank borrowings from tme to tme.</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Material cash requirements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Capital expenditures</w:t>
      </w:r>
    </w:p>
    <w:p>
      <w:pPr>
        <w:spacing w:after="0" w:line="158" w:lineRule="exact"/>
        <w:rPr>
          <w:sz w:val="20"/>
          <w:szCs w:val="20"/>
          <w:color w:val="auto"/>
        </w:rPr>
      </w:pPr>
    </w:p>
    <w:p>
      <w:pPr>
        <w:jc w:val="both"/>
        <w:ind w:right="120" w:firstLine="509"/>
        <w:spacing w:after="0" w:line="248" w:lineRule="auto"/>
        <w:rPr>
          <w:sz w:val="20"/>
          <w:szCs w:val="20"/>
          <w:color w:val="auto"/>
        </w:rPr>
      </w:pPr>
      <w:r>
        <w:rPr>
          <w:rFonts w:ascii="Calibri" w:cs="Calibri" w:eastAsia="Calibri" w:hAnsi="Calibri"/>
          <w:sz w:val="12"/>
          <w:szCs w:val="12"/>
          <w:color w:val="auto"/>
        </w:rPr>
        <w:t>We have various capital projects in progress for farming expansion and facility improvements which we intend to fund through our operatng cash fow as well as cash and cash equivalents on hand. For fscal 2023, we expect capital expenditures excluding the Moruga Blueberry Project (described below) to be lower than fscal 2022. Cash paid for capital expenditures for the year ended October 31, 2022 was $61.2 million.</w:t>
      </w:r>
    </w:p>
    <w:p>
      <w:pPr>
        <w:spacing w:after="0" w:line="166"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Moruga Blueberry Project</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On May 1, 2022, the shareholders of Moruga approved a new capital project to farm approximately 1,500 additonal acres of blueberries in the Olmos region of Peru. The project is antcipated to require a total investment of approximately $50 million, the majority of which will be funded by cash fow generated by Moruga and supplemented by pro-rata shareholder contributons based on each shareholders’ respectve ownership interest. The project is expected to be carried out in phases, commencing in fscal year 2023. For fscal 2023, we expect capital expenditures related to the project to be approximately $20 to $25 million, depending on tming and other factors.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Leases</w:t>
      </w:r>
    </w:p>
    <w:p>
      <w:pPr>
        <w:spacing w:after="0" w:line="158" w:lineRule="exact"/>
        <w:rPr>
          <w:sz w:val="20"/>
          <w:szCs w:val="20"/>
          <w:color w:val="auto"/>
        </w:rPr>
      </w:pPr>
    </w:p>
    <w:p>
      <w:pPr>
        <w:ind w:firstLine="509"/>
        <w:spacing w:after="0" w:line="233" w:lineRule="auto"/>
        <w:rPr>
          <w:sz w:val="20"/>
          <w:szCs w:val="20"/>
          <w:color w:val="auto"/>
        </w:rPr>
      </w:pPr>
      <w:r>
        <w:rPr>
          <w:rFonts w:ascii="Calibri" w:cs="Calibri" w:eastAsia="Calibri" w:hAnsi="Calibri"/>
          <w:sz w:val="13"/>
          <w:szCs w:val="13"/>
          <w:color w:val="auto"/>
        </w:rPr>
        <w:t>We are party to various leases for facilites, land, and equipment, for which our undiscounted cash liabilites were $105.3 million as of October 31, 2022. Of that amount, approximately $20 million was related to a 15-year lease of a distributon facility in the U.K. that began July 1, 2022. The facility is expected to expand our distributon reach within the growing U.K. market. Facility improvements began in the fourth quarter of fscal 2022. In November 2022, subsequent to our fscal 2022 year end, Moruga entered into a 25-year land lease agreement as part of the new project. Undiscounted lease payments associated with the lease agreement are approximately $60 million.</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Long-term Debt</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As of October 31, 2022, the aggregate principal amount outstanding on our term loans and notes was $141.0 million. See Note 7 to the consolidated fnancial statements for more informaton.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Critcal Accountng Estmates</w:t>
      </w:r>
    </w:p>
    <w:p>
      <w:pPr>
        <w:spacing w:after="0" w:line="182" w:lineRule="exact"/>
        <w:rPr>
          <w:sz w:val="20"/>
          <w:szCs w:val="20"/>
          <w:color w:val="auto"/>
        </w:rPr>
      </w:pPr>
    </w:p>
    <w:p>
      <w:pPr>
        <w:ind w:right="40" w:firstLine="509"/>
        <w:spacing w:after="0" w:line="228" w:lineRule="auto"/>
        <w:rPr>
          <w:sz w:val="20"/>
          <w:szCs w:val="20"/>
          <w:color w:val="auto"/>
        </w:rPr>
      </w:pPr>
      <w:r>
        <w:rPr>
          <w:rFonts w:ascii="Calibri" w:cs="Calibri" w:eastAsia="Calibri" w:hAnsi="Calibri"/>
          <w:sz w:val="13"/>
          <w:szCs w:val="13"/>
          <w:color w:val="auto"/>
        </w:rPr>
        <w:t>Our discussion and analysis of our fnancial conditon and results of operatons are based upon our consolidated fnancial statements, which have been prepared in accordance with U.S. GAAP. U.S. GAAP requires management to make estmates and assumptons that afect the reported amounts of assets and liabilites and disclosure of contngent assets and liabilites at the date of the consolidated fnancial statements and the reported amounts of revenues and expenses during the reportng period. We base our estmates on historical experience and on various other assumptons that are believed to be reasonable under the circumstances, the results of which form the basis for making judgments about the carrying values of assets and liabilites that are not readily apparent from other sources. Additonally, we frequently engage third party valuaton experts to assist us with estmates described below. Actual results could difer from those estmates.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0" w:right="339" w:bottom="1440" w:gutter="0" w:footer="0" w:header="0"/>
        </w:sectPr>
      </w:pPr>
    </w:p>
    <w:bookmarkStart w:id="31" w:name="page32"/>
    <w:bookmarkEnd w:id="31"/>
    <w:p>
      <w:pPr>
        <w:ind w:right="40" w:firstLine="509"/>
        <w:spacing w:after="0" w:line="230" w:lineRule="auto"/>
        <w:rPr>
          <w:sz w:val="20"/>
          <w:szCs w:val="20"/>
          <w:color w:val="auto"/>
        </w:rPr>
      </w:pPr>
      <w:r>
        <w:rPr>
          <w:rFonts w:ascii="Calibri" w:cs="Calibri" w:eastAsia="Calibri" w:hAnsi="Calibri"/>
          <w:sz w:val="13"/>
          <w:szCs w:val="13"/>
          <w:b w:val="1"/>
          <w:bCs w:val="1"/>
          <w:i w:val="1"/>
          <w:iCs w:val="1"/>
          <w:color w:val="auto"/>
        </w:rPr>
        <w:t xml:space="preserve">Business combinatons. </w:t>
      </w:r>
      <w:r>
        <w:rPr>
          <w:rFonts w:ascii="Calibri" w:cs="Calibri" w:eastAsia="Calibri" w:hAnsi="Calibri"/>
          <w:sz w:val="13"/>
          <w:szCs w:val="13"/>
          <w:color w:val="auto"/>
        </w:rPr>
        <w:t>We account for business combinatons under the acquisiton method of accountng in accordance with ASC Topic 805, Business Combinatons, which requires an allocaton of the</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consideraton paid, if any, to the identfable assets, intangible assets and liabilites based on the estmated fair values as of the acquisiton date. Goodwill represents the excess of the sum of the fair value of our previously held equity interest and the fair value of the noncontrolling interest, over the net of the acquisiton-date values of the identfable assets and liabilites assumed. Management estmates the fair value of assets and liabilites with the assistance of a third-party specialist, using a combinaton of the market and income valuaton methods. These valuaton methods use inputs that are estmated by management, such as revenue forecasts, projected capital spend and estmates for cost of sales. The Company may adjust the amounts recognized for a business combinaton within the allowable one-year measurement period afer the acquisiton date. Any such adjustments would generally be recorded as increases or decreases to the goodwill recognized in the transacton.</w:t>
      </w:r>
    </w:p>
    <w:p>
      <w:pPr>
        <w:spacing w:after="0" w:line="159" w:lineRule="exact"/>
        <w:rPr>
          <w:sz w:val="20"/>
          <w:szCs w:val="20"/>
          <w:color w:val="auto"/>
        </w:rPr>
      </w:pPr>
    </w:p>
    <w:p>
      <w:pPr>
        <w:ind w:right="20" w:firstLine="509"/>
        <w:spacing w:after="0" w:line="229" w:lineRule="auto"/>
        <w:rPr>
          <w:sz w:val="20"/>
          <w:szCs w:val="20"/>
          <w:color w:val="auto"/>
        </w:rPr>
      </w:pPr>
      <w:r>
        <w:rPr>
          <w:rFonts w:ascii="Calibri" w:cs="Calibri" w:eastAsia="Calibri" w:hAnsi="Calibri"/>
          <w:sz w:val="13"/>
          <w:szCs w:val="13"/>
          <w:b w:val="1"/>
          <w:bCs w:val="1"/>
          <w:i w:val="1"/>
          <w:iCs w:val="1"/>
          <w:color w:val="auto"/>
        </w:rPr>
        <w:t xml:space="preserve">Goodwill. </w:t>
      </w:r>
      <w:r>
        <w:rPr>
          <w:rFonts w:ascii="Calibri" w:cs="Calibri" w:eastAsia="Calibri" w:hAnsi="Calibri"/>
          <w:sz w:val="13"/>
          <w:szCs w:val="13"/>
          <w:color w:val="auto"/>
        </w:rPr>
        <w:t>Our goodwill represents the excess of the purchase price of business combinatons over the fair value of the net assets acquired. Goodwill impairment testng requires signifcant judgment and</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management estmates, including, but not limited to, the determinaton of (i) the number of reportng units, (ii) the goodwill and other assets and liabilites to be allocated to the reportng units and (iii) the fair values of the reportng units. The estmates and assumptons described above, along with other factors such as discount rates, will signifcantly afect the outcome of the impairment tests and the amounts of any resultng impairment losses. We perform a qualitatve assessment of goodwill for impairment on an annual basis during the fourth quarter of each year, and between annual tests whenever events or changes in circumstances indicate that the carrying amount may not be recoverable. If qualitatve factors were to indicate that it is more-likely-than-not that the fair value of the reportng unit is less than its carrying value, we would then perform a quanttatve assessment, which would consist primarily of a discounted cash fow (“DCF”) analysis and guideline publicly-traded companies (“GPC”) analysis to determine the fair value of the reportng unit. To the extent the carrying amount of the reportng unit exceeds its fair value, we recognize an impairment of goodwill for the excess up to the amount of goodwill of that reportng unit.</w:t>
      </w:r>
    </w:p>
    <w:p>
      <w:pPr>
        <w:spacing w:after="0" w:line="151" w:lineRule="exact"/>
        <w:rPr>
          <w:sz w:val="20"/>
          <w:szCs w:val="20"/>
          <w:color w:val="auto"/>
        </w:rPr>
      </w:pPr>
    </w:p>
    <w:p>
      <w:pPr>
        <w:jc w:val="center"/>
        <w:ind w:right="20"/>
        <w:spacing w:after="0"/>
        <w:rPr>
          <w:sz w:val="20"/>
          <w:szCs w:val="20"/>
          <w:color w:val="auto"/>
        </w:rPr>
      </w:pPr>
      <w:r>
        <w:rPr>
          <w:rFonts w:ascii="Calibri" w:cs="Calibri" w:eastAsia="Calibri" w:hAnsi="Calibri"/>
          <w:sz w:val="13"/>
          <w:szCs w:val="13"/>
          <w:color w:val="auto"/>
        </w:rPr>
        <w:t>During the fourth quarter of fscal 2022, we performed our annual goodwill impairment test on our Peruvian farming reportng unit within the Internatonal Farming segment and determined that the</w:t>
      </w:r>
    </w:p>
    <w:p>
      <w:pPr>
        <w:ind w:right="40"/>
        <w:spacing w:after="0" w:line="232" w:lineRule="auto"/>
        <w:rPr>
          <w:sz w:val="20"/>
          <w:szCs w:val="20"/>
          <w:color w:val="auto"/>
        </w:rPr>
      </w:pPr>
      <w:r>
        <w:rPr>
          <w:rFonts w:ascii="Calibri" w:cs="Calibri" w:eastAsia="Calibri" w:hAnsi="Calibri"/>
          <w:sz w:val="13"/>
          <w:szCs w:val="13"/>
          <w:color w:val="auto"/>
        </w:rPr>
        <w:t>qualitatve factors indicated that it was more-likely-than-not that the fair value of the reportng unit was less than its carrying value. As a result, with the assistance of a third-party specialist, we performed a quanttatve assessment of the fair value of the reportng unit using the DCF and GPC methods described in Notes 3 and 4 to the consolidated fnancial statements, resultng in an impairment charge of $49.5 million. The signifcant assumptons used in determining the fair values of the reportng unit have been described in Note 4. To the extent that BEV to EBITDA multples in the future decrease, the discount rate used in determining the present value of our cash fows increases, or if the Company does not meet its cash fow projectons for the reportng unit, additonal impairment charges may be recorded in the future.</w:t>
      </w:r>
    </w:p>
    <w:p>
      <w:pPr>
        <w:spacing w:after="0" w:line="160"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b w:val="1"/>
          <w:bCs w:val="1"/>
          <w:i w:val="1"/>
          <w:iCs w:val="1"/>
          <w:color w:val="auto"/>
        </w:rPr>
        <w:t xml:space="preserve">Investments. </w:t>
      </w:r>
      <w:r>
        <w:rPr>
          <w:rFonts w:ascii="Calibri" w:cs="Calibri" w:eastAsia="Calibri" w:hAnsi="Calibri"/>
          <w:sz w:val="13"/>
          <w:szCs w:val="13"/>
          <w:color w:val="auto"/>
        </w:rPr>
        <w:t>We maintain investments in other fruit growers, packers and distributors. These investments are accounted for under the equity method of accountng when we have the ability to exercise</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signifcant infuence, but not control, over the investee. Signifcant infuence generally exists when we have an ownership interest representng between 20% and 50% of the votng stock of the investee. Under the equity method of accountng, investments are stated at inital cost and are adjusted for subsequent additonal investments and our proportonate share of earnings or losses and distributons. We review our investments for other-than temporary-impairment (“OTTI”) on a quarterly basis, or earlier if indicators of impairment arise. If an impairment of an equity method investment is determined to be other than temporary, we would record OTTI sufcient to reduce the investment’s carrying value to its fair value, which results in a new cost basis in the investment. The primary factors we consider in our determinaton of whether declines in fair value are other-than-temporary are the length of tme that the fair value of the investment is below our carrying value; the severity of the decline; and the fnancial conditon, operatng performance and near-term prospects of the investee. In additon, we consider the reason for the decline in fair value, be it general market conditons, industry specifc or investee specifc; and our intent and ability to hold the investment for a period of tme sufcient to allow for a recovery in fair value. As our assessment of the fair value of our investments and any resultng impairment losses and the tming of when to recognize such charges requires judgment and includes estmates and assumptons, actual results could difer materially from our estmates and assumptons.</w:t>
      </w:r>
    </w:p>
    <w:p>
      <w:pPr>
        <w:spacing w:after="0" w:line="170" w:lineRule="exact"/>
        <w:rPr>
          <w:sz w:val="20"/>
          <w:szCs w:val="20"/>
          <w:color w:val="auto"/>
        </w:rPr>
      </w:pPr>
    </w:p>
    <w:p>
      <w:pPr>
        <w:ind w:right="120" w:firstLine="509"/>
        <w:spacing w:after="0" w:line="254" w:lineRule="auto"/>
        <w:rPr>
          <w:sz w:val="20"/>
          <w:szCs w:val="20"/>
          <w:color w:val="auto"/>
        </w:rPr>
      </w:pPr>
      <w:r>
        <w:rPr>
          <w:rFonts w:ascii="Calibri" w:cs="Calibri" w:eastAsia="Calibri" w:hAnsi="Calibri"/>
          <w:sz w:val="12"/>
          <w:szCs w:val="12"/>
          <w:b w:val="1"/>
          <w:bCs w:val="1"/>
          <w:i w:val="1"/>
          <w:iCs w:val="1"/>
          <w:color w:val="auto"/>
        </w:rPr>
        <w:t xml:space="preserve">Income taxes. </w:t>
      </w:r>
      <w:r>
        <w:rPr>
          <w:rFonts w:ascii="Calibri" w:cs="Calibri" w:eastAsia="Calibri" w:hAnsi="Calibri"/>
          <w:sz w:val="12"/>
          <w:szCs w:val="12"/>
          <w:color w:val="auto"/>
        </w:rPr>
        <w:t>As a multnatonal corporaton, we are subject to taxaton in many jurisdictons, and the calculaton of our tax liabilites involves dealing with uncertaintes in the applicaton of complex tax laws</w:t>
      </w:r>
      <w:r>
        <w:rPr>
          <w:rFonts w:ascii="Calibri" w:cs="Calibri" w:eastAsia="Calibri" w:hAnsi="Calibri"/>
          <w:sz w:val="12"/>
          <w:szCs w:val="12"/>
          <w:b w:val="1"/>
          <w:bCs w:val="1"/>
          <w:i w:val="1"/>
          <w:iCs w:val="1"/>
          <w:color w:val="auto"/>
        </w:rPr>
        <w:t xml:space="preserve"> </w:t>
      </w:r>
      <w:r>
        <w:rPr>
          <w:rFonts w:ascii="Calibri" w:cs="Calibri" w:eastAsia="Calibri" w:hAnsi="Calibri"/>
          <w:sz w:val="12"/>
          <w:szCs w:val="12"/>
          <w:color w:val="auto"/>
        </w:rPr>
        <w:t>and regulatons in various taxing jurisdictons. If we ultmately determine that the payment of these liabilites will be unnecessary, the liability will be reversed, and we will recognize a tax beneft during the period in which it is determined the liability no longer applies. Conversely, we record additonal tax charges in a period in which it is determined that a recorded tax liability is less than the ultmate assessment is expected to be.</w:t>
      </w:r>
    </w:p>
    <w:p>
      <w:pPr>
        <w:spacing w:after="0" w:line="150" w:lineRule="exact"/>
        <w:rPr>
          <w:sz w:val="20"/>
          <w:szCs w:val="20"/>
          <w:color w:val="auto"/>
        </w:rPr>
      </w:pPr>
    </w:p>
    <w:p>
      <w:pPr>
        <w:ind w:right="320" w:firstLine="509"/>
        <w:spacing w:after="0" w:line="230" w:lineRule="auto"/>
        <w:rPr>
          <w:sz w:val="20"/>
          <w:szCs w:val="20"/>
          <w:color w:val="auto"/>
        </w:rPr>
      </w:pPr>
      <w:r>
        <w:rPr>
          <w:rFonts w:ascii="Calibri" w:cs="Calibri" w:eastAsia="Calibri" w:hAnsi="Calibri"/>
          <w:sz w:val="13"/>
          <w:szCs w:val="13"/>
          <w:color w:val="auto"/>
        </w:rPr>
        <w:t>We recognize the tax beneft from an uncertain tax positon only if it is more likely than not the tax positon will be sustained on examinaton by the taxing authorites, based on the technical merits of the positon. The tax benefts recognized from such positons are then measured based on the largest beneft that has a greater than 50% likelihood of being realized upon setlement. Interest and penaltes related to unrecognized tax benefts are recognized within provision for income taxes.</w:t>
      </w:r>
    </w:p>
    <w:p>
      <w:pPr>
        <w:spacing w:after="0" w:line="159"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The applicaton of tax laws and regulatons is subject to legal and factual interpretaton, judgment and uncertainty. Tax laws and regulatons themselves are subject to change as a result of changes in fscal policy, changes in legislaton, the evoluton of regulatons and court rulings. Therefore, the actual liability for U.S. or foreign taxes may be materially diferent from management’s estmates, which could result in the need to record additonal tax liabilites or potentally reverse previously recorded tax liabilites.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2" w:name="page33"/>
    <w:bookmarkEnd w:id="32"/>
    <w:p>
      <w:pPr>
        <w:spacing w:after="0"/>
        <w:rPr>
          <w:sz w:val="20"/>
          <w:szCs w:val="20"/>
          <w:color w:val="auto"/>
        </w:rPr>
      </w:pPr>
      <w:r>
        <w:rPr>
          <w:rFonts w:ascii="Calibri" w:cs="Calibri" w:eastAsia="Calibri" w:hAnsi="Calibri"/>
          <w:sz w:val="13"/>
          <w:szCs w:val="13"/>
          <w:b w:val="1"/>
          <w:bCs w:val="1"/>
          <w:i w:val="1"/>
          <w:iCs w:val="1"/>
          <w:color w:val="auto"/>
        </w:rPr>
        <w:t>Recently Issued Accountng Standards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Refer to Note 2 to the consolidated fnancial statements included herein for informaton on recently issued accountng standards.</w:t>
      </w:r>
    </w:p>
    <w:p>
      <w:pPr>
        <w:spacing w:after="0" w:line="15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Of-Balance Sheet Arrangements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During the periods presented we did not have, nor do we currently have, any of-balance sheet arrangements as defned under SEC rules, except as follows: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 Company may issue standby leters of credit through banking insttutons. As of October 31, 2022, total leters of credit outstanding were $0.7 million.</w:t>
      </w:r>
    </w:p>
    <w:p>
      <w:pPr>
        <w:spacing w:after="0" w:line="261"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7A.</w:t>
      </w:r>
      <w:r>
        <w:rPr>
          <w:sz w:val="20"/>
          <w:szCs w:val="20"/>
          <w:color w:val="auto"/>
        </w:rPr>
        <w:tab/>
      </w:r>
      <w:r>
        <w:rPr>
          <w:rFonts w:ascii="Calibri" w:cs="Calibri" w:eastAsia="Calibri" w:hAnsi="Calibri"/>
          <w:sz w:val="18"/>
          <w:szCs w:val="18"/>
          <w:b w:val="1"/>
          <w:bCs w:val="1"/>
          <w:color w:val="auto"/>
        </w:rPr>
        <w:t>Quanttatve and Qualitatve Disclosures About Market Risk</w:t>
      </w:r>
    </w:p>
    <w:p>
      <w:pPr>
        <w:spacing w:after="0" w:line="17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Interest Rate Risk</w:t>
      </w:r>
    </w:p>
    <w:p>
      <w:pPr>
        <w:spacing w:after="0" w:line="182"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Borrowings under our credit facility bear variable interest rates, based on SOFR, plus spreads that vary with the Company’s leverage rato. In October 2022, we amended the credit facility reducing the principal value of our term loans to $100 million. To reduce interest rate risk, we have interest rate swaps with a total notonal amount of $100 million to hedge changes in the variable rates applicable to our term loan principal. The interest rate swaps carry fxed LIBOR rates ranging from 1.75% to 2.57%. A 10% increase or decrease in the interest rate on our long-term debt would not have a material efect on our fnancial positon, results of operatons, or cash fows.</w:t>
      </w:r>
    </w:p>
    <w:p>
      <w:pPr>
        <w:spacing w:after="0" w:line="15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Foreign Currency Risk</w:t>
      </w:r>
    </w:p>
    <w:p>
      <w:pPr>
        <w:spacing w:after="0" w:line="182" w:lineRule="exact"/>
        <w:rPr>
          <w:sz w:val="20"/>
          <w:szCs w:val="20"/>
          <w:color w:val="auto"/>
        </w:rPr>
      </w:pPr>
    </w:p>
    <w:p>
      <w:pPr>
        <w:ind w:right="160" w:firstLine="509"/>
        <w:spacing w:after="0" w:line="230" w:lineRule="auto"/>
        <w:rPr>
          <w:sz w:val="20"/>
          <w:szCs w:val="20"/>
          <w:color w:val="auto"/>
        </w:rPr>
      </w:pPr>
      <w:r>
        <w:rPr>
          <w:rFonts w:ascii="Calibri" w:cs="Calibri" w:eastAsia="Calibri" w:hAnsi="Calibri"/>
          <w:sz w:val="13"/>
          <w:szCs w:val="13"/>
          <w:color w:val="auto"/>
        </w:rPr>
        <w:t>The majority of our sales are currently conducted in U.S. dollars, while a signifcant porton of our input costs are denominated in foreign currencies. Due to our short inventory turn-tme and short-term pricing, transactons that may be conducted in foreign currencies are not expected to have a material efect on our results of operatons, fnancial positon or cash fows because of the short-term on-hand tme of the fruit, and the sales price increases passed through.</w:t>
      </w:r>
    </w:p>
    <w:p>
      <w:pPr>
        <w:spacing w:after="0" w:line="15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Efects of Infaton</w:t>
      </w:r>
    </w:p>
    <w:p>
      <w:pPr>
        <w:spacing w:after="0" w:line="182" w:lineRule="exact"/>
        <w:rPr>
          <w:sz w:val="20"/>
          <w:szCs w:val="20"/>
          <w:color w:val="auto"/>
        </w:rPr>
      </w:pPr>
    </w:p>
    <w:p>
      <w:pPr>
        <w:ind w:right="260" w:firstLine="509"/>
        <w:spacing w:after="0" w:line="225" w:lineRule="auto"/>
        <w:rPr>
          <w:sz w:val="20"/>
          <w:szCs w:val="20"/>
          <w:color w:val="auto"/>
        </w:rPr>
      </w:pPr>
      <w:r>
        <w:rPr>
          <w:rFonts w:ascii="Calibri" w:cs="Calibri" w:eastAsia="Calibri" w:hAnsi="Calibri"/>
          <w:sz w:val="13"/>
          <w:szCs w:val="13"/>
          <w:color w:val="auto"/>
        </w:rPr>
        <w:t>Infaton generally afects us by increasing our cost of labor, materials, transportaton, and general overhead costs. We cannot reasonably estmate our ability to successfully recover any impact of infaton through price increases in the future.</w:t>
      </w:r>
    </w:p>
    <w:p>
      <w:pPr>
        <w:spacing w:after="0" w:line="272"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b w:val="1"/>
          <w:bCs w:val="1"/>
          <w:color w:val="auto"/>
        </w:rPr>
        <w:t>Item 8.</w:t>
      </w:r>
      <w:r>
        <w:rPr>
          <w:sz w:val="20"/>
          <w:szCs w:val="20"/>
          <w:color w:val="auto"/>
        </w:rPr>
        <w:tab/>
      </w:r>
      <w:r>
        <w:rPr>
          <w:rFonts w:ascii="Calibri" w:cs="Calibri" w:eastAsia="Calibri" w:hAnsi="Calibri"/>
          <w:sz w:val="17"/>
          <w:szCs w:val="17"/>
          <w:b w:val="1"/>
          <w:bCs w:val="1"/>
          <w:color w:val="auto"/>
        </w:rPr>
        <w:t>Financial Statements and Supplementary Data</w:t>
      </w:r>
    </w:p>
    <w:p>
      <w:pPr>
        <w:spacing w:after="0" w:line="176" w:lineRule="exact"/>
        <w:rPr>
          <w:sz w:val="20"/>
          <w:szCs w:val="20"/>
          <w:color w:val="auto"/>
        </w:rPr>
      </w:pPr>
    </w:p>
    <w:p>
      <w:pPr>
        <w:ind w:left="520"/>
        <w:spacing w:after="0"/>
        <w:rPr>
          <w:sz w:val="20"/>
          <w:szCs w:val="20"/>
          <w:color w:val="auto"/>
        </w:rPr>
      </w:pPr>
      <w:r>
        <w:rPr>
          <w:rFonts w:ascii="Calibri" w:cs="Calibri" w:eastAsia="Calibri" w:hAnsi="Calibri"/>
          <w:sz w:val="12"/>
          <w:szCs w:val="12"/>
          <w:color w:val="auto"/>
        </w:rPr>
        <w:t>The fnancial statements required pursuant to this item are incorporated by reference herein from the applicable informaton included in Item 15 of this annual report and are presented beginning on page F-1.</w:t>
      </w:r>
    </w:p>
    <w:p>
      <w:pPr>
        <w:spacing w:after="0" w:line="275"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b w:val="1"/>
          <w:bCs w:val="1"/>
          <w:color w:val="auto"/>
        </w:rPr>
        <w:t>Item 9.</w:t>
      </w:r>
      <w:r>
        <w:rPr>
          <w:sz w:val="20"/>
          <w:szCs w:val="20"/>
          <w:color w:val="auto"/>
        </w:rPr>
        <w:tab/>
      </w:r>
      <w:r>
        <w:rPr>
          <w:rFonts w:ascii="Calibri" w:cs="Calibri" w:eastAsia="Calibri" w:hAnsi="Calibri"/>
          <w:sz w:val="18"/>
          <w:szCs w:val="18"/>
          <w:b w:val="1"/>
          <w:bCs w:val="1"/>
          <w:color w:val="auto"/>
        </w:rPr>
        <w:t>Changes in and Disagreements with Accountants on Accountng and Financial Disclosure</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None.</w:t>
      </w:r>
    </w:p>
    <w:p>
      <w:pPr>
        <w:spacing w:after="0" w:line="261"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9A.</w:t>
      </w:r>
      <w:r>
        <w:rPr>
          <w:sz w:val="20"/>
          <w:szCs w:val="20"/>
          <w:color w:val="auto"/>
        </w:rPr>
        <w:tab/>
      </w:r>
      <w:r>
        <w:rPr>
          <w:rFonts w:ascii="Calibri" w:cs="Calibri" w:eastAsia="Calibri" w:hAnsi="Calibri"/>
          <w:sz w:val="18"/>
          <w:szCs w:val="18"/>
          <w:b w:val="1"/>
          <w:bCs w:val="1"/>
          <w:color w:val="auto"/>
        </w:rPr>
        <w:t>Controls and Procedures</w:t>
      </w:r>
    </w:p>
    <w:p>
      <w:pPr>
        <w:spacing w:after="0" w:line="17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Disclosure Controls and Procedures</w:t>
      </w:r>
    </w:p>
    <w:p>
      <w:pPr>
        <w:spacing w:after="0" w:line="171" w:lineRule="exact"/>
        <w:rPr>
          <w:sz w:val="20"/>
          <w:szCs w:val="20"/>
          <w:color w:val="auto"/>
        </w:rPr>
      </w:pPr>
    </w:p>
    <w:p>
      <w:pPr>
        <w:ind w:right="40" w:firstLine="509"/>
        <w:spacing w:after="0" w:line="233" w:lineRule="auto"/>
        <w:rPr>
          <w:sz w:val="20"/>
          <w:szCs w:val="20"/>
          <w:color w:val="auto"/>
        </w:rPr>
      </w:pPr>
      <w:r>
        <w:rPr>
          <w:rFonts w:ascii="Calibri" w:cs="Calibri" w:eastAsia="Calibri" w:hAnsi="Calibri"/>
          <w:sz w:val="13"/>
          <w:szCs w:val="13"/>
          <w:color w:val="auto"/>
        </w:rPr>
        <w:t>Our management, with the partcipaton and supervision of our Chief Executve Ofcer and our Chief Financial Ofcer, have evaluated the efectveness of our disclosure controls and procedures (as defned in Rules 13a-15(e) and 15d-15(e) under the Securites Exchange Act of 1934, as amended (the “Exchange Act”) as of the end of the period covered by this Annual Report on Form 10-K.</w:t>
      </w:r>
    </w:p>
    <w:p>
      <w:pPr>
        <w:spacing w:after="0" w:line="159" w:lineRule="exact"/>
        <w:rPr>
          <w:sz w:val="20"/>
          <w:szCs w:val="20"/>
          <w:color w:val="auto"/>
        </w:rPr>
      </w:pPr>
    </w:p>
    <w:p>
      <w:pPr>
        <w:ind w:right="480" w:firstLine="509"/>
        <w:spacing w:after="0" w:line="225" w:lineRule="auto"/>
        <w:rPr>
          <w:sz w:val="20"/>
          <w:szCs w:val="20"/>
          <w:color w:val="auto"/>
        </w:rPr>
      </w:pPr>
      <w:r>
        <w:rPr>
          <w:rFonts w:ascii="Calibri" w:cs="Calibri" w:eastAsia="Calibri" w:hAnsi="Calibri"/>
          <w:sz w:val="13"/>
          <w:szCs w:val="13"/>
          <w:color w:val="auto"/>
        </w:rPr>
        <w:t>Disclosure controls and procedures are controls and other procedures that are designed to ensure that informaton required to be disclosed in our reports fled or submited under the Exchange Act is recorded, processed, summarized, and reported, within the tme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51" w:right="359" w:bottom="1440" w:gutter="0" w:footer="0" w:header="0"/>
        </w:sectPr>
      </w:pPr>
    </w:p>
    <w:bookmarkStart w:id="33" w:name="page34"/>
    <w:bookmarkEnd w:id="33"/>
    <w:p>
      <w:pPr>
        <w:spacing w:after="0" w:line="288" w:lineRule="auto"/>
        <w:rPr>
          <w:sz w:val="20"/>
          <w:szCs w:val="20"/>
          <w:color w:val="auto"/>
        </w:rPr>
      </w:pPr>
      <w:r>
        <w:rPr>
          <w:rFonts w:ascii="MS PGothic" w:cs="MS PGothic" w:eastAsia="MS PGothic" w:hAnsi="MS PGothic"/>
          <w:sz w:val="13"/>
          <w:szCs w:val="13"/>
          <w:color w:val="auto"/>
        </w:rPr>
        <w:t>periods specifed in the SEC’s rules and forms. Disclosure controls and procedures include controls and procedures designed to ensure that informaton required to be disclosed in our reports fled under the Exchange Act is accumulated and communicated to management, including our Chief Executve Ofcer and Chief Financial Ofcer, to allow tmely decisions regarding required disclosure. Management recognizes that any controls and procedures, no mater how well designed and operated, can provide only reasonable assurance of achieving their objectves, and management necessarily applies its judgment in evaluatng the cost‑beneft relatonship of possible controls and procedures. Based on the evaluaton of our disclosure controls and procedures, our Chief Executve Ofcer and our Chief Financial Ofcer have concluded that our disclosure controls and procedures were efectve as of October 31, 2022.</w:t>
      </w:r>
    </w:p>
    <w:p>
      <w:pPr>
        <w:spacing w:after="0" w:line="13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Management’s Annual Report on Internal Control Over Financial Reportng</w:t>
      </w:r>
    </w:p>
    <w:p>
      <w:pPr>
        <w:spacing w:after="0" w:line="171" w:lineRule="exact"/>
        <w:rPr>
          <w:sz w:val="20"/>
          <w:szCs w:val="20"/>
          <w:color w:val="auto"/>
        </w:rPr>
      </w:pPr>
    </w:p>
    <w:p>
      <w:pPr>
        <w:ind w:right="200" w:firstLine="509"/>
        <w:spacing w:after="0" w:line="377" w:lineRule="auto"/>
        <w:rPr>
          <w:sz w:val="20"/>
          <w:szCs w:val="20"/>
          <w:color w:val="auto"/>
        </w:rPr>
      </w:pPr>
      <w:r>
        <w:rPr>
          <w:rFonts w:ascii="MS PGothic" w:cs="MS PGothic" w:eastAsia="MS PGothic" w:hAnsi="MS PGothic"/>
          <w:sz w:val="12"/>
          <w:szCs w:val="12"/>
          <w:color w:val="auto"/>
        </w:rPr>
        <w:t>Our management is responsible for establishing and maintaining adequate internal control over fnancial reportng (as defned in Rules 13a-15(f) and 15d-15(f) under the Exchange Act). Our internal control over fnancial reportng is designed to provide reasonable assurance regarding the reliability of fnancial reportng and the preparaton of fnancial statements for external purposes in accordance with GAAP.</w:t>
      </w:r>
    </w:p>
    <w:p>
      <w:pPr>
        <w:spacing w:after="0" w:line="90" w:lineRule="exact"/>
        <w:rPr>
          <w:sz w:val="20"/>
          <w:szCs w:val="20"/>
          <w:color w:val="auto"/>
        </w:rPr>
      </w:pPr>
    </w:p>
    <w:p>
      <w:pPr>
        <w:ind w:right="20" w:firstLine="509"/>
        <w:spacing w:after="0" w:line="292" w:lineRule="auto"/>
        <w:rPr>
          <w:sz w:val="20"/>
          <w:szCs w:val="20"/>
          <w:color w:val="auto"/>
        </w:rPr>
      </w:pPr>
      <w:r>
        <w:rPr>
          <w:rFonts w:ascii="MS PGothic" w:cs="MS PGothic" w:eastAsia="MS PGothic" w:hAnsi="MS PGothic"/>
          <w:sz w:val="13"/>
          <w:szCs w:val="13"/>
          <w:color w:val="auto"/>
        </w:rPr>
        <w:t>Under the supervision and with the partcipaton of our management, including our Chief Executve Ofcer and Chief Financial Ofcer, we conducted an evaluaton of the efectveness of our internal control over fnancial reportng based on the framework set forth in Internal Control - Integrated Framework (2013) issued by the Commitee of Sponsoring Organizatons of the Treadway Commission. Based on that evaluaton, our management concluded that our internal control over fnancial reportng was efectve as of October 31, 2022. The business combinaton and consolidaton of our equity ownership interest in Moruga S.A.C. (“Moruga”) on May 1, 2022 was excluded from the assessment of internal control over fnancial reportng as of October 31, 2022, under allowable exclusions.</w:t>
      </w:r>
    </w:p>
    <w:p>
      <w:pPr>
        <w:spacing w:after="0" w:line="131" w:lineRule="exact"/>
        <w:rPr>
          <w:sz w:val="20"/>
          <w:szCs w:val="20"/>
          <w:color w:val="auto"/>
        </w:rPr>
      </w:pPr>
    </w:p>
    <w:p>
      <w:pPr>
        <w:ind w:right="280" w:firstLine="509"/>
        <w:spacing w:after="0" w:line="310" w:lineRule="auto"/>
        <w:rPr>
          <w:sz w:val="20"/>
          <w:szCs w:val="20"/>
          <w:color w:val="auto"/>
        </w:rPr>
      </w:pPr>
      <w:r>
        <w:rPr>
          <w:rFonts w:ascii="MS PGothic" w:cs="MS PGothic" w:eastAsia="MS PGothic" w:hAnsi="MS PGothic"/>
          <w:sz w:val="13"/>
          <w:szCs w:val="13"/>
          <w:color w:val="auto"/>
        </w:rPr>
        <w:t>The efectveness of our internal control over fnancial reportng as of October 31, 2022 has been audited by Deloite &amp; Touche LLP, an independent registered public accountng frm, as stated in its report which is included below.</w:t>
      </w:r>
    </w:p>
    <w:p>
      <w:pPr>
        <w:spacing w:after="0" w:line="12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Atestaton Report of the Registered Public Accountng Firm</w:t>
      </w:r>
    </w:p>
    <w:p>
      <w:pPr>
        <w:spacing w:after="0" w:line="171" w:lineRule="exact"/>
        <w:rPr>
          <w:sz w:val="20"/>
          <w:szCs w:val="20"/>
          <w:color w:val="auto"/>
        </w:rPr>
      </w:pPr>
    </w:p>
    <w:p>
      <w:pPr>
        <w:ind w:right="160" w:firstLine="509"/>
        <w:spacing w:after="0" w:line="329" w:lineRule="auto"/>
        <w:rPr>
          <w:sz w:val="20"/>
          <w:szCs w:val="20"/>
          <w:color w:val="auto"/>
        </w:rPr>
      </w:pPr>
      <w:r>
        <w:rPr>
          <w:rFonts w:ascii="MS PGothic" w:cs="MS PGothic" w:eastAsia="MS PGothic" w:hAnsi="MS PGothic"/>
          <w:sz w:val="13"/>
          <w:szCs w:val="13"/>
          <w:color w:val="auto"/>
        </w:rPr>
        <w:t>The atestaton report of the independent registered public accountng frm, Deloite &amp; Touche LLP, on the Company’s internal control over fnancial reportng is included below under the heading “Report of Independent Registered Public Accountng Firm.”</w:t>
      </w:r>
    </w:p>
    <w:p>
      <w:pPr>
        <w:spacing w:after="0" w:line="10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Changes in Internal Control Over Financial Reportng</w:t>
      </w:r>
    </w:p>
    <w:p>
      <w:pPr>
        <w:spacing w:after="0" w:line="182" w:lineRule="exact"/>
        <w:rPr>
          <w:sz w:val="20"/>
          <w:szCs w:val="20"/>
          <w:color w:val="auto"/>
        </w:rPr>
      </w:pPr>
    </w:p>
    <w:p>
      <w:pPr>
        <w:ind w:right="400" w:firstLine="509"/>
        <w:spacing w:after="0" w:line="310" w:lineRule="auto"/>
        <w:rPr>
          <w:sz w:val="20"/>
          <w:szCs w:val="20"/>
          <w:color w:val="auto"/>
        </w:rPr>
      </w:pPr>
      <w:r>
        <w:rPr>
          <w:rFonts w:ascii="MS PGothic" w:cs="MS PGothic" w:eastAsia="MS PGothic" w:hAnsi="MS PGothic"/>
          <w:sz w:val="13"/>
          <w:szCs w:val="13"/>
          <w:color w:val="auto"/>
        </w:rPr>
        <w:t>Other than described below, there have been no changes in our internal control over fnancial reportng during the year ended October 31, 2022 that have materially afected, or are reasonably likely to materially afect, our internal control over fnancial reportng.</w:t>
      </w:r>
    </w:p>
    <w:p>
      <w:pPr>
        <w:spacing w:after="0" w:line="120" w:lineRule="exact"/>
        <w:rPr>
          <w:sz w:val="20"/>
          <w:szCs w:val="20"/>
          <w:color w:val="auto"/>
        </w:rPr>
      </w:pPr>
    </w:p>
    <w:p>
      <w:pPr>
        <w:ind w:right="80" w:firstLine="509"/>
        <w:spacing w:after="0" w:line="310" w:lineRule="auto"/>
        <w:rPr>
          <w:sz w:val="20"/>
          <w:szCs w:val="20"/>
          <w:color w:val="auto"/>
        </w:rPr>
      </w:pPr>
      <w:r>
        <w:rPr>
          <w:rFonts w:ascii="MS PGothic" w:cs="MS PGothic" w:eastAsia="MS PGothic" w:hAnsi="MS PGothic"/>
          <w:sz w:val="13"/>
          <w:szCs w:val="13"/>
          <w:color w:val="auto"/>
        </w:rPr>
        <w:t>On May 1, 2022, we prospectvely consolidated Moruga, an entty for which we have a 60% equity ownership interest, into our consolidated fnancial statements. We are currently in the process of integratng Moruga into our internal control environment over fnancial reportng, and as a result, certain controls may be changed.</w:t>
      </w:r>
    </w:p>
    <w:p>
      <w:pPr>
        <w:spacing w:after="0" w:line="120" w:lineRule="exact"/>
        <w:rPr>
          <w:sz w:val="20"/>
          <w:szCs w:val="20"/>
          <w:color w:val="auto"/>
        </w:rPr>
      </w:pPr>
    </w:p>
    <w:p>
      <w:pPr>
        <w:jc w:val="both"/>
        <w:ind w:right="40" w:firstLine="509"/>
        <w:spacing w:after="0" w:line="377" w:lineRule="auto"/>
        <w:rPr>
          <w:sz w:val="20"/>
          <w:szCs w:val="20"/>
          <w:color w:val="auto"/>
        </w:rPr>
      </w:pPr>
      <w:r>
        <w:rPr>
          <w:rFonts w:ascii="MS PGothic" w:cs="MS PGothic" w:eastAsia="MS PGothic" w:hAnsi="MS PGothic"/>
          <w:sz w:val="12"/>
          <w:szCs w:val="12"/>
          <w:color w:val="auto"/>
        </w:rPr>
        <w:t>On November 1, 2021, we implemented a new ERP system in our Marketng and Distributon segment, which impacted recordkeeping processes for the general ledger, accounts receivable, inventory, accounts payable, purchasing, and shipping. We have focused on the maintenance of internal controls and the assessment of the design of new controls through the development and deployment of the new ERP system.</w:t>
      </w:r>
    </w:p>
    <w:p>
      <w:pPr>
        <w:spacing w:after="0" w:line="8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Limitatons on Efectveness of Controls and Procedures</w:t>
      </w:r>
    </w:p>
    <w:p>
      <w:pPr>
        <w:spacing w:after="0" w:line="182" w:lineRule="exact"/>
        <w:rPr>
          <w:sz w:val="20"/>
          <w:szCs w:val="20"/>
          <w:color w:val="auto"/>
        </w:rPr>
      </w:pPr>
    </w:p>
    <w:p>
      <w:pPr>
        <w:jc w:val="both"/>
        <w:ind w:right="20" w:firstLine="509"/>
        <w:spacing w:after="0" w:line="292" w:lineRule="auto"/>
        <w:rPr>
          <w:sz w:val="20"/>
          <w:szCs w:val="20"/>
          <w:color w:val="auto"/>
        </w:rPr>
      </w:pPr>
      <w:r>
        <w:rPr>
          <w:rFonts w:ascii="MS PGothic" w:cs="MS PGothic" w:eastAsia="MS PGothic" w:hAnsi="MS PGothic"/>
          <w:sz w:val="13"/>
          <w:szCs w:val="13"/>
          <w:color w:val="auto"/>
        </w:rPr>
        <w:t>Our management does not expect that our disclosure controls and procedures or our internal control over fnancial reportng will prevent all errors and all fraud. A control system, no mater how well designed and operated, can provide only reasonable, not absolute, assurance that the objectves of the control system are met. Further, the design of a control system must refect the fact that there are resource constraints, and the benefts of controls must be considered relatve to their costs. Because of the inherent limitatons in all control systems, no evaluaton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25"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9B.</w:t>
      </w:r>
      <w:r>
        <w:rPr>
          <w:sz w:val="20"/>
          <w:szCs w:val="20"/>
          <w:color w:val="auto"/>
        </w:rPr>
        <w:tab/>
      </w:r>
      <w:r>
        <w:rPr>
          <w:rFonts w:ascii="Calibri" w:cs="Calibri" w:eastAsia="Calibri" w:hAnsi="Calibri"/>
          <w:sz w:val="18"/>
          <w:szCs w:val="18"/>
          <w:b w:val="1"/>
          <w:bCs w:val="1"/>
          <w:color w:val="auto"/>
        </w:rPr>
        <w:t>Other Informaton</w:t>
      </w:r>
    </w:p>
    <w:p>
      <w:pPr>
        <w:spacing w:after="0" w:line="187" w:lineRule="exact"/>
        <w:rPr>
          <w:sz w:val="20"/>
          <w:szCs w:val="20"/>
          <w:color w:val="auto"/>
        </w:rPr>
      </w:pPr>
    </w:p>
    <w:p>
      <w:pPr>
        <w:ind w:left="520"/>
        <w:spacing w:after="0"/>
        <w:rPr>
          <w:sz w:val="20"/>
          <w:szCs w:val="20"/>
          <w:color w:val="auto"/>
        </w:rPr>
      </w:pPr>
      <w:r>
        <w:rPr>
          <w:rFonts w:ascii="MS PGothic" w:cs="MS PGothic" w:eastAsia="MS PGothic" w:hAnsi="MS PGothic"/>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00"/>
        <w:spacing w:after="0"/>
        <w:rPr>
          <w:sz w:val="20"/>
          <w:szCs w:val="20"/>
          <w:color w:val="auto"/>
        </w:rPr>
      </w:pPr>
      <w:r>
        <w:rPr>
          <w:rFonts w:ascii="MS PGothic" w:cs="MS PGothic" w:eastAsia="MS PGothic" w:hAnsi="MS PGothic"/>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9" w:right="339" w:bottom="1440" w:gutter="0" w:footer="0" w:header="0"/>
        </w:sectPr>
      </w:pPr>
    </w:p>
    <w:bookmarkStart w:id="34" w:name="page35"/>
    <w:bookmarkEnd w:id="34"/>
    <w:p>
      <w:pPr>
        <w:spacing w:after="0"/>
        <w:tabs>
          <w:tab w:leader="none" w:pos="940" w:val="left"/>
        </w:tabs>
        <w:rPr>
          <w:sz w:val="20"/>
          <w:szCs w:val="20"/>
          <w:color w:val="auto"/>
        </w:rPr>
      </w:pPr>
      <w:r>
        <w:rPr>
          <w:rFonts w:ascii="Calibri" w:cs="Calibri" w:eastAsia="Calibri" w:hAnsi="Calibri"/>
          <w:sz w:val="18"/>
          <w:szCs w:val="18"/>
          <w:b w:val="1"/>
          <w:bCs w:val="1"/>
          <w:color w:val="auto"/>
        </w:rPr>
        <w:t>Item 9C.</w:t>
      </w:r>
      <w:r>
        <w:rPr>
          <w:sz w:val="20"/>
          <w:szCs w:val="20"/>
          <w:color w:val="auto"/>
        </w:rPr>
        <w:tab/>
      </w:r>
      <w:r>
        <w:rPr>
          <w:rFonts w:ascii="Calibri" w:cs="Calibri" w:eastAsia="Calibri" w:hAnsi="Calibri"/>
          <w:sz w:val="18"/>
          <w:szCs w:val="18"/>
          <w:b w:val="1"/>
          <w:bCs w:val="1"/>
          <w:color w:val="auto"/>
        </w:rPr>
        <w:t>Disclosure Regarding Foreign Jurisdictons that Prevent Inspectons</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III</w:t>
      </w:r>
    </w:p>
    <w:p>
      <w:pPr>
        <w:spacing w:after="0" w:line="173"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18"/>
          <w:szCs w:val="18"/>
          <w:b w:val="1"/>
          <w:bCs w:val="1"/>
          <w:color w:val="auto"/>
        </w:rPr>
        <w:t>Item 10.</w:t>
      </w:r>
      <w:r>
        <w:rPr>
          <w:sz w:val="20"/>
          <w:szCs w:val="20"/>
          <w:color w:val="auto"/>
        </w:rPr>
        <w:tab/>
      </w:r>
      <w:r>
        <w:rPr>
          <w:rFonts w:ascii="Calibri" w:cs="Calibri" w:eastAsia="Calibri" w:hAnsi="Calibri"/>
          <w:sz w:val="18"/>
          <w:szCs w:val="18"/>
          <w:b w:val="1"/>
          <w:bCs w:val="1"/>
          <w:color w:val="auto"/>
        </w:rPr>
        <w:t>Directors, Executve Ofcers and Corporate Governance</w:t>
      </w:r>
    </w:p>
    <w:p>
      <w:pPr>
        <w:spacing w:after="0" w:line="187" w:lineRule="exact"/>
        <w:rPr>
          <w:sz w:val="20"/>
          <w:szCs w:val="20"/>
          <w:color w:val="auto"/>
        </w:rPr>
      </w:pPr>
    </w:p>
    <w:p>
      <w:pPr>
        <w:jc w:val="both"/>
        <w:ind w:firstLine="509"/>
        <w:spacing w:after="0" w:line="230" w:lineRule="auto"/>
        <w:rPr>
          <w:sz w:val="20"/>
          <w:szCs w:val="20"/>
          <w:color w:val="auto"/>
        </w:rPr>
      </w:pPr>
      <w:r>
        <w:rPr>
          <w:rFonts w:ascii="Calibri" w:cs="Calibri" w:eastAsia="Calibri" w:hAnsi="Calibri"/>
          <w:sz w:val="13"/>
          <w:szCs w:val="13"/>
          <w:color w:val="auto"/>
        </w:rPr>
        <w:t>The informaton required by this item will be contained in our defnitve proxy statement to be fled with the SEC in connecton with our 2023 Annual Meetng of Stockholders, or the Defnitve Proxy Statement, which is expected to be fled not later than 120 days afer the end of our fscal year ended October 31, 2022, under the headings “Electon of Directors,” “Executve Ofcers,” and “Delinquent Secton 16(a) Reports,” and is incorporated herein by reference.</w:t>
      </w:r>
    </w:p>
    <w:p>
      <w:pPr>
        <w:spacing w:after="0" w:line="15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Code of Conduct and Ethics</w:t>
      </w:r>
    </w:p>
    <w:p>
      <w:pPr>
        <w:spacing w:after="0" w:line="182" w:lineRule="exact"/>
        <w:rPr>
          <w:sz w:val="20"/>
          <w:szCs w:val="20"/>
          <w:color w:val="auto"/>
        </w:rPr>
      </w:pPr>
    </w:p>
    <w:p>
      <w:pPr>
        <w:ind w:right="60" w:firstLine="509"/>
        <w:spacing w:after="0" w:line="228" w:lineRule="auto"/>
        <w:rPr>
          <w:sz w:val="20"/>
          <w:szCs w:val="20"/>
          <w:color w:val="auto"/>
        </w:rPr>
      </w:pPr>
      <w:r>
        <w:rPr>
          <w:rFonts w:ascii="Calibri" w:cs="Calibri" w:eastAsia="Calibri" w:hAnsi="Calibri"/>
          <w:sz w:val="13"/>
          <w:szCs w:val="13"/>
          <w:color w:val="auto"/>
        </w:rPr>
        <w:t>We have adopted a Code of Conduct and Ethics that applies to our ofcers, directors and employees, which is available on our website at www.missionproduce.com. The Code of Conduct and Ethics contains general guidelines for conductng the business of our company consistent with the highest standards of business ethics and is intended to qualify as a “code of ethics” within the meaning of Secton 406 of the Sarbanes-Oxley Act of 2002 and Item 406 of Regulaton S-K. In additon, we intend to promptly disclose (1) the nature of any amendment to our Code of Business Conduct and Ethics that applies to our principal executve ofcer, principal fnancial ofcer, principal accountng ofcer or controller or persons performing similar functons and (2) the nature of any waiver, including an implicit waiver, from a provision of our code of ethics that is granted to one of these specifed ofcers, the name of such person who is granted the waiver and the date of the waiver on our website in the future.</w:t>
      </w:r>
    </w:p>
    <w:p>
      <w:pPr>
        <w:spacing w:after="0" w:line="272"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18"/>
          <w:szCs w:val="18"/>
          <w:b w:val="1"/>
          <w:bCs w:val="1"/>
          <w:color w:val="auto"/>
        </w:rPr>
        <w:t>Item 11.</w:t>
      </w:r>
      <w:r>
        <w:rPr>
          <w:sz w:val="20"/>
          <w:szCs w:val="20"/>
          <w:color w:val="auto"/>
        </w:rPr>
        <w:tab/>
      </w:r>
      <w:r>
        <w:rPr>
          <w:rFonts w:ascii="Calibri" w:cs="Calibri" w:eastAsia="Calibri" w:hAnsi="Calibri"/>
          <w:sz w:val="18"/>
          <w:szCs w:val="18"/>
          <w:b w:val="1"/>
          <w:bCs w:val="1"/>
          <w:color w:val="auto"/>
        </w:rPr>
        <w:t>Executve Compensaton</w:t>
      </w:r>
    </w:p>
    <w:p>
      <w:pPr>
        <w:spacing w:after="0" w:line="167"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 informaton required by this item will be set forth in the secton headed “Executve Compensaton” in our Defnitve Proxy Statement and is incorporated herein by reference.</w:t>
      </w:r>
    </w:p>
    <w:p>
      <w:pPr>
        <w:spacing w:after="0" w:line="272"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18"/>
          <w:szCs w:val="18"/>
          <w:b w:val="1"/>
          <w:bCs w:val="1"/>
          <w:color w:val="auto"/>
        </w:rPr>
        <w:t>Item 12.</w:t>
      </w:r>
      <w:r>
        <w:rPr>
          <w:sz w:val="20"/>
          <w:szCs w:val="20"/>
          <w:color w:val="auto"/>
        </w:rPr>
        <w:tab/>
      </w:r>
      <w:r>
        <w:rPr>
          <w:rFonts w:ascii="Calibri" w:cs="Calibri" w:eastAsia="Calibri" w:hAnsi="Calibri"/>
          <w:sz w:val="18"/>
          <w:szCs w:val="18"/>
          <w:b w:val="1"/>
          <w:bCs w:val="1"/>
          <w:color w:val="auto"/>
        </w:rPr>
        <w:t>Security Ownership of Certain Benefcial Owners and Management and Related Stockholder Maters</w:t>
      </w:r>
    </w:p>
    <w:p>
      <w:pPr>
        <w:spacing w:after="0" w:line="176" w:lineRule="exact"/>
        <w:rPr>
          <w:sz w:val="20"/>
          <w:szCs w:val="20"/>
          <w:color w:val="auto"/>
        </w:rPr>
      </w:pPr>
    </w:p>
    <w:p>
      <w:pPr>
        <w:ind w:right="140" w:firstLine="509"/>
        <w:spacing w:after="0" w:line="233" w:lineRule="auto"/>
        <w:rPr>
          <w:sz w:val="20"/>
          <w:szCs w:val="20"/>
          <w:color w:val="auto"/>
        </w:rPr>
      </w:pPr>
      <w:r>
        <w:rPr>
          <w:rFonts w:ascii="Calibri" w:cs="Calibri" w:eastAsia="Calibri" w:hAnsi="Calibri"/>
          <w:sz w:val="13"/>
          <w:szCs w:val="13"/>
          <w:color w:val="auto"/>
        </w:rPr>
        <w:t>The informaton required by this item will be set forth in the secton headed “Security Ownership of Certain Benefcial Owners and Management” in our Defnitve Proxy Statement and is incorporated herein by reference.</w:t>
      </w:r>
    </w:p>
    <w:p>
      <w:pPr>
        <w:spacing w:after="0" w:line="150" w:lineRule="exact"/>
        <w:rPr>
          <w:sz w:val="20"/>
          <w:szCs w:val="20"/>
          <w:color w:val="auto"/>
        </w:rPr>
      </w:pPr>
    </w:p>
    <w:p>
      <w:pPr>
        <w:jc w:val="center"/>
        <w:ind w:right="40"/>
        <w:spacing w:after="0"/>
        <w:rPr>
          <w:sz w:val="20"/>
          <w:szCs w:val="20"/>
          <w:color w:val="auto"/>
        </w:rPr>
      </w:pPr>
      <w:r>
        <w:rPr>
          <w:rFonts w:ascii="Calibri" w:cs="Calibri" w:eastAsia="Calibri" w:hAnsi="Calibri"/>
          <w:sz w:val="13"/>
          <w:szCs w:val="13"/>
          <w:color w:val="auto"/>
        </w:rPr>
        <w:t>The informaton required by Item 201(d) of Regulaton S-K will be set forth in the secton headed “Executve Compensaton” in our Defnitve Proxy Statement and is incorporated herein by reference.</w:t>
      </w:r>
    </w:p>
    <w:p>
      <w:pPr>
        <w:spacing w:after="0" w:line="261"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18"/>
          <w:szCs w:val="18"/>
          <w:b w:val="1"/>
          <w:bCs w:val="1"/>
          <w:color w:val="auto"/>
        </w:rPr>
        <w:t>Item 13.</w:t>
      </w:r>
      <w:r>
        <w:rPr>
          <w:sz w:val="20"/>
          <w:szCs w:val="20"/>
          <w:color w:val="auto"/>
        </w:rPr>
        <w:tab/>
      </w:r>
      <w:r>
        <w:rPr>
          <w:rFonts w:ascii="Calibri" w:cs="Calibri" w:eastAsia="Calibri" w:hAnsi="Calibri"/>
          <w:sz w:val="18"/>
          <w:szCs w:val="18"/>
          <w:b w:val="1"/>
          <w:bCs w:val="1"/>
          <w:color w:val="auto"/>
        </w:rPr>
        <w:t>Certain Relatonships and Related Transactons, and Director Independence</w:t>
      </w:r>
    </w:p>
    <w:p>
      <w:pPr>
        <w:spacing w:after="0" w:line="187" w:lineRule="exact"/>
        <w:rPr>
          <w:sz w:val="20"/>
          <w:szCs w:val="20"/>
          <w:color w:val="auto"/>
        </w:rPr>
      </w:pPr>
    </w:p>
    <w:p>
      <w:pPr>
        <w:ind w:right="320" w:firstLine="509"/>
        <w:spacing w:after="0" w:line="233" w:lineRule="auto"/>
        <w:rPr>
          <w:sz w:val="20"/>
          <w:szCs w:val="20"/>
          <w:color w:val="auto"/>
        </w:rPr>
      </w:pPr>
      <w:r>
        <w:rPr>
          <w:rFonts w:ascii="Calibri" w:cs="Calibri" w:eastAsia="Calibri" w:hAnsi="Calibri"/>
          <w:sz w:val="13"/>
          <w:szCs w:val="13"/>
          <w:color w:val="auto"/>
        </w:rPr>
        <w:t>The informaton required by this item will be set forth in the secton headed “Certain Relatonships and Related Party Transactons,” “Director Independence” and “Board Commitees and Charters” in our Defnitve Proxy Statement and is incorporated herein by reference.</w:t>
      </w:r>
    </w:p>
    <w:p>
      <w:pPr>
        <w:spacing w:after="0" w:line="262"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18"/>
          <w:szCs w:val="18"/>
          <w:b w:val="1"/>
          <w:bCs w:val="1"/>
          <w:color w:val="auto"/>
        </w:rPr>
        <w:t>Item 14.</w:t>
      </w:r>
      <w:r>
        <w:rPr>
          <w:sz w:val="20"/>
          <w:szCs w:val="20"/>
          <w:color w:val="auto"/>
        </w:rPr>
        <w:tab/>
      </w:r>
      <w:r>
        <w:rPr>
          <w:rFonts w:ascii="Calibri" w:cs="Calibri" w:eastAsia="Calibri" w:hAnsi="Calibri"/>
          <w:sz w:val="18"/>
          <w:szCs w:val="18"/>
          <w:b w:val="1"/>
          <w:bCs w:val="1"/>
          <w:color w:val="auto"/>
        </w:rPr>
        <w:t>Principal Accountant Fees and Services</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 informaton required by this item will be set forth in the secton headed “Fees Billed by Deloite for 2022 and 2021” in our Defnitve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35" w:name="page36"/>
    <w:bookmarkEnd w:id="35"/>
    <w:p>
      <w:pPr>
        <w:jc w:val="center"/>
        <w:ind w:right="-19"/>
        <w:spacing w:after="0"/>
        <w:rPr>
          <w:sz w:val="20"/>
          <w:szCs w:val="20"/>
          <w:color w:val="auto"/>
        </w:rPr>
      </w:pPr>
      <w:r>
        <w:rPr>
          <w:rFonts w:ascii="Calibri" w:cs="Calibri" w:eastAsia="Calibri" w:hAnsi="Calibri"/>
          <w:sz w:val="18"/>
          <w:szCs w:val="18"/>
          <w:b w:val="1"/>
          <w:bCs w:val="1"/>
          <w:color w:val="auto"/>
        </w:rPr>
        <w:t>PART IV- OTHER INFORMATION</w:t>
      </w:r>
    </w:p>
    <w:p>
      <w:pPr>
        <w:spacing w:after="0" w:line="173"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18"/>
          <w:szCs w:val="18"/>
          <w:b w:val="1"/>
          <w:bCs w:val="1"/>
          <w:color w:val="auto"/>
        </w:rPr>
        <w:t>Item 15.</w:t>
      </w:r>
      <w:r>
        <w:rPr>
          <w:sz w:val="20"/>
          <w:szCs w:val="20"/>
          <w:color w:val="auto"/>
        </w:rPr>
        <w:tab/>
      </w:r>
      <w:r>
        <w:rPr>
          <w:rFonts w:ascii="Calibri" w:cs="Calibri" w:eastAsia="Calibri" w:hAnsi="Calibri"/>
          <w:sz w:val="18"/>
          <w:szCs w:val="18"/>
          <w:b w:val="1"/>
          <w:bCs w:val="1"/>
          <w:color w:val="auto"/>
        </w:rPr>
        <w:t>Exhibit and Financial Statement Schedules</w:t>
      </w:r>
    </w:p>
    <w:p>
      <w:pPr>
        <w:spacing w:after="0" w:line="170" w:lineRule="exact"/>
        <w:rPr>
          <w:sz w:val="20"/>
          <w:szCs w:val="20"/>
          <w:color w:val="auto"/>
        </w:rPr>
      </w:pPr>
    </w:p>
    <w:p>
      <w:pPr>
        <w:ind w:left="260"/>
        <w:spacing w:after="0"/>
        <w:rPr>
          <w:sz w:val="20"/>
          <w:szCs w:val="20"/>
          <w:color w:val="auto"/>
        </w:rPr>
      </w:pPr>
      <w:r>
        <w:rPr>
          <w:rFonts w:ascii="Calibri" w:cs="Calibri" w:eastAsia="Calibri" w:hAnsi="Calibri"/>
          <w:sz w:val="16"/>
          <w:szCs w:val="16"/>
          <w:b w:val="1"/>
          <w:bCs w:val="1"/>
          <w:color w:val="auto"/>
        </w:rPr>
        <w:t>A.  All fnancial statements</w:t>
      </w:r>
    </w:p>
    <w:p>
      <w:pPr>
        <w:spacing w:after="0" w:line="171" w:lineRule="exact"/>
        <w:rPr>
          <w:sz w:val="20"/>
          <w:szCs w:val="20"/>
          <w:color w:val="auto"/>
        </w:rPr>
      </w:pPr>
    </w:p>
    <w:p>
      <w:pPr>
        <w:ind w:right="80" w:firstLine="509"/>
        <w:spacing w:after="0" w:line="233" w:lineRule="auto"/>
        <w:rPr>
          <w:sz w:val="20"/>
          <w:szCs w:val="20"/>
          <w:color w:val="auto"/>
        </w:rPr>
      </w:pPr>
      <w:r>
        <w:rPr>
          <w:rFonts w:ascii="Calibri" w:cs="Calibri" w:eastAsia="Calibri" w:hAnsi="Calibri"/>
          <w:sz w:val="13"/>
          <w:szCs w:val="13"/>
          <w:color w:val="auto"/>
        </w:rPr>
        <w:t>The fnancial statements of Mission Produce, Inc., together with the report thereon of Deloite &amp; Touche LLP, an independent registered public accountng frm, are included in this annual report on Form 10-K beginning on page F-1.</w:t>
      </w:r>
    </w:p>
    <w:p>
      <w:pPr>
        <w:spacing w:after="0" w:line="153" w:lineRule="exact"/>
        <w:rPr>
          <w:sz w:val="20"/>
          <w:szCs w:val="20"/>
          <w:color w:val="auto"/>
        </w:rPr>
      </w:pPr>
    </w:p>
    <w:p>
      <w:pPr>
        <w:ind w:left="260"/>
        <w:spacing w:after="0"/>
        <w:rPr>
          <w:sz w:val="20"/>
          <w:szCs w:val="20"/>
          <w:color w:val="auto"/>
        </w:rPr>
      </w:pPr>
      <w:r>
        <w:rPr>
          <w:rFonts w:ascii="Calibri" w:cs="Calibri" w:eastAsia="Calibri" w:hAnsi="Calibri"/>
          <w:sz w:val="16"/>
          <w:szCs w:val="16"/>
          <w:b w:val="1"/>
          <w:bCs w:val="1"/>
          <w:color w:val="auto"/>
        </w:rPr>
        <w:t>B.  Financial statement schedules</w:t>
      </w:r>
    </w:p>
    <w:p>
      <w:pPr>
        <w:spacing w:after="0" w:line="182" w:lineRule="exact"/>
        <w:rPr>
          <w:sz w:val="20"/>
          <w:szCs w:val="20"/>
          <w:color w:val="auto"/>
        </w:rPr>
      </w:pPr>
    </w:p>
    <w:p>
      <w:pPr>
        <w:ind w:right="120" w:firstLine="509"/>
        <w:spacing w:after="0" w:line="225" w:lineRule="auto"/>
        <w:rPr>
          <w:sz w:val="20"/>
          <w:szCs w:val="20"/>
          <w:color w:val="auto"/>
        </w:rPr>
      </w:pPr>
      <w:r>
        <w:rPr>
          <w:rFonts w:ascii="Calibri" w:cs="Calibri" w:eastAsia="Calibri" w:hAnsi="Calibri"/>
          <w:sz w:val="13"/>
          <w:szCs w:val="13"/>
          <w:color w:val="auto"/>
        </w:rPr>
        <w:t>All schedules have been omited because the required informaton is not present or is not present in amounts sufcient to require submission of the schedule, or because the informaton required is included in the consolidated fnancial statements and notes thereto.</w:t>
      </w:r>
    </w:p>
    <w:p>
      <w:pPr>
        <w:spacing w:after="0" w:line="153" w:lineRule="exact"/>
        <w:rPr>
          <w:sz w:val="20"/>
          <w:szCs w:val="20"/>
          <w:color w:val="auto"/>
        </w:rPr>
      </w:pPr>
    </w:p>
    <w:p>
      <w:pPr>
        <w:ind w:left="260"/>
        <w:spacing w:after="0"/>
        <w:tabs>
          <w:tab w:leader="none" w:pos="500" w:val="left"/>
        </w:tabs>
        <w:rPr>
          <w:sz w:val="20"/>
          <w:szCs w:val="20"/>
          <w:color w:val="auto"/>
        </w:rPr>
      </w:pPr>
      <w:r>
        <w:rPr>
          <w:rFonts w:ascii="Calibri" w:cs="Calibri" w:eastAsia="Calibri" w:hAnsi="Calibri"/>
          <w:sz w:val="16"/>
          <w:szCs w:val="16"/>
          <w:b w:val="1"/>
          <w:bCs w:val="1"/>
          <w:color w:val="auto"/>
        </w:rPr>
        <w:t>C.</w:t>
      </w:r>
      <w:r>
        <w:rPr>
          <w:sz w:val="20"/>
          <w:szCs w:val="20"/>
          <w:color w:val="auto"/>
        </w:rPr>
        <w:tab/>
      </w:r>
      <w:r>
        <w:rPr>
          <w:rFonts w:ascii="Calibri" w:cs="Calibri" w:eastAsia="Calibri" w:hAnsi="Calibri"/>
          <w:sz w:val="14"/>
          <w:szCs w:val="14"/>
          <w:b w:val="1"/>
          <w:bCs w:val="1"/>
          <w:color w:val="auto"/>
        </w:rPr>
        <w:t>Exhibits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 documents set forth are fled herewith or incorporated herein by reference.</w:t>
      </w:r>
    </w:p>
    <w:p>
      <w:pPr>
        <w:spacing w:after="0" w:line="15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20" w:type="dxa"/>
            <w:vAlign w:val="bottom"/>
          </w:tcPr>
          <w:p>
            <w:pPr>
              <w:ind w:left="200"/>
              <w:spacing w:after="0"/>
              <w:rPr>
                <w:sz w:val="20"/>
                <w:szCs w:val="20"/>
                <w:color w:val="auto"/>
              </w:rPr>
            </w:pPr>
            <w:r>
              <w:rPr>
                <w:rFonts w:ascii="Calibri" w:cs="Calibri" w:eastAsia="Calibri" w:hAnsi="Calibri"/>
                <w:sz w:val="11"/>
                <w:szCs w:val="11"/>
                <w:b w:val="1"/>
                <w:bCs w:val="1"/>
                <w:color w:val="auto"/>
              </w:rPr>
              <w:t>Incorporated by Reference</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940" w:type="dxa"/>
            <w:vAlign w:val="bottom"/>
            <w:vMerge w:val="restart"/>
          </w:tcPr>
          <w:p>
            <w:pPr>
              <w:ind w:left="160"/>
              <w:spacing w:after="0"/>
              <w:rPr>
                <w:sz w:val="20"/>
                <w:szCs w:val="20"/>
                <w:color w:val="auto"/>
              </w:rPr>
            </w:pPr>
            <w:r>
              <w:rPr>
                <w:rFonts w:ascii="Calibri" w:cs="Calibri" w:eastAsia="Calibri" w:hAnsi="Calibri"/>
                <w:sz w:val="11"/>
                <w:szCs w:val="11"/>
                <w:b w:val="1"/>
                <w:bCs w:val="1"/>
                <w:color w:val="auto"/>
              </w:rPr>
              <w:t>Exhibit No.</w:t>
            </w: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vMerge w:val="restart"/>
          </w:tcPr>
          <w:p>
            <w:pPr>
              <w:jc w:val="center"/>
              <w:ind w:left="43"/>
              <w:spacing w:after="0"/>
              <w:rPr>
                <w:sz w:val="20"/>
                <w:szCs w:val="20"/>
                <w:color w:val="auto"/>
              </w:rPr>
            </w:pPr>
            <w:r>
              <w:rPr>
                <w:rFonts w:ascii="Calibri" w:cs="Calibri" w:eastAsia="Calibri" w:hAnsi="Calibri"/>
                <w:sz w:val="11"/>
                <w:szCs w:val="11"/>
                <w:b w:val="1"/>
                <w:bCs w:val="1"/>
                <w:color w:val="auto"/>
              </w:rPr>
              <w:t>Filed</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80" w:type="dxa"/>
            <w:vAlign w:val="bottom"/>
            <w:gridSpan w:val="15"/>
          </w:tcPr>
          <w:p>
            <w:pPr>
              <w:ind w:left="380"/>
              <w:spacing w:after="0"/>
              <w:rPr>
                <w:sz w:val="20"/>
                <w:szCs w:val="20"/>
                <w:color w:val="auto"/>
              </w:rPr>
            </w:pPr>
            <w:r>
              <w:rPr>
                <w:rFonts w:ascii="Calibri" w:cs="Calibri" w:eastAsia="Calibri" w:hAnsi="Calibri"/>
                <w:sz w:val="11"/>
                <w:szCs w:val="11"/>
                <w:b w:val="1"/>
                <w:bCs w:val="1"/>
                <w:color w:val="auto"/>
              </w:rPr>
              <w:t>Exhibit Descripton</w:t>
            </w:r>
          </w:p>
        </w:tc>
        <w:tc>
          <w:tcPr>
            <w:tcW w:w="640" w:type="dxa"/>
            <w:vAlign w:val="bottom"/>
          </w:tcPr>
          <w:p>
            <w:pPr>
              <w:jc w:val="center"/>
              <w:spacing w:after="0"/>
              <w:rPr>
                <w:sz w:val="20"/>
                <w:szCs w:val="20"/>
                <w:color w:val="auto"/>
              </w:rPr>
            </w:pPr>
            <w:r>
              <w:rPr>
                <w:rFonts w:ascii="Calibri" w:cs="Calibri" w:eastAsia="Calibri" w:hAnsi="Calibri"/>
                <w:sz w:val="11"/>
                <w:szCs w:val="11"/>
                <w:b w:val="1"/>
                <w:bCs w:val="1"/>
                <w:color w:val="auto"/>
              </w:rPr>
              <w:t>Form</w:t>
            </w:r>
          </w:p>
        </w:tc>
        <w:tc>
          <w:tcPr>
            <w:tcW w:w="1520" w:type="dxa"/>
            <w:vAlign w:val="bottom"/>
          </w:tcPr>
          <w:p>
            <w:pPr>
              <w:ind w:left="580"/>
              <w:spacing w:after="0"/>
              <w:rPr>
                <w:sz w:val="20"/>
                <w:szCs w:val="20"/>
                <w:color w:val="auto"/>
              </w:rPr>
            </w:pPr>
            <w:r>
              <w:rPr>
                <w:rFonts w:ascii="Calibri" w:cs="Calibri" w:eastAsia="Calibri" w:hAnsi="Calibri"/>
                <w:sz w:val="11"/>
                <w:szCs w:val="11"/>
                <w:b w:val="1"/>
                <w:bCs w:val="1"/>
                <w:color w:val="auto"/>
              </w:rPr>
              <w:t>Date</w:t>
            </w:r>
          </w:p>
        </w:tc>
        <w:tc>
          <w:tcPr>
            <w:tcW w:w="740" w:type="dxa"/>
            <w:vAlign w:val="bottom"/>
          </w:tcPr>
          <w:p>
            <w:pPr>
              <w:ind w:left="100"/>
              <w:spacing w:after="0"/>
              <w:rPr>
                <w:sz w:val="20"/>
                <w:szCs w:val="20"/>
                <w:color w:val="auto"/>
              </w:rPr>
            </w:pPr>
            <w:r>
              <w:rPr>
                <w:rFonts w:ascii="Calibri" w:cs="Calibri" w:eastAsia="Calibri" w:hAnsi="Calibri"/>
                <w:sz w:val="11"/>
                <w:szCs w:val="11"/>
                <w:b w:val="1"/>
                <w:bCs w:val="1"/>
                <w:color w:val="auto"/>
              </w:rPr>
              <w:t>Number</w:t>
            </w:r>
          </w:p>
        </w:tc>
        <w:tc>
          <w:tcPr>
            <w:tcW w:w="102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Herewith</w:t>
            </w:r>
          </w:p>
        </w:tc>
        <w:tc>
          <w:tcPr>
            <w:tcW w:w="0" w:type="dxa"/>
            <w:vAlign w:val="bottom"/>
          </w:tcPr>
          <w:p>
            <w:pPr>
              <w:spacing w:after="0"/>
              <w:rPr>
                <w:sz w:val="1"/>
                <w:szCs w:val="1"/>
                <w:color w:val="auto"/>
              </w:rPr>
            </w:pPr>
          </w:p>
        </w:tc>
      </w:tr>
      <w:tr>
        <w:trPr>
          <w:trHeight w:val="46"/>
        </w:trPr>
        <w:tc>
          <w:tcPr>
            <w:tcW w:w="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940" w:type="dxa"/>
            <w:vAlign w:val="bottom"/>
            <w:shd w:val="clear" w:color="auto" w:fill="DBDBDB"/>
          </w:tcPr>
          <w:p>
            <w:pPr>
              <w:jc w:val="center"/>
              <w:ind w:right="43"/>
              <w:spacing w:after="0" w:line="107" w:lineRule="exact"/>
              <w:rPr>
                <w:sz w:val="20"/>
                <w:szCs w:val="20"/>
                <w:color w:val="auto"/>
              </w:rPr>
            </w:pPr>
            <w:r>
              <w:rPr>
                <w:rFonts w:ascii="Calibri" w:cs="Calibri" w:eastAsia="Calibri" w:hAnsi="Calibri"/>
                <w:sz w:val="11"/>
                <w:szCs w:val="11"/>
                <w:color w:val="auto"/>
              </w:rPr>
              <w:t>3.1#</w:t>
            </w:r>
          </w:p>
        </w:tc>
        <w:tc>
          <w:tcPr>
            <w:tcW w:w="6420" w:type="dxa"/>
            <w:vAlign w:val="bottom"/>
            <w:gridSpan w:val="24"/>
            <w:shd w:val="clear" w:color="auto" w:fill="DBDBDB"/>
          </w:tcPr>
          <w:p>
            <w:pPr>
              <w:spacing w:after="0" w:line="107" w:lineRule="exact"/>
              <w:rPr>
                <w:rFonts w:ascii="Calibri" w:cs="Calibri" w:eastAsia="Calibri" w:hAnsi="Calibri"/>
                <w:sz w:val="11"/>
                <w:szCs w:val="11"/>
                <w:color w:val="auto"/>
              </w:rPr>
            </w:pPr>
            <w:hyperlink r:id="rId52">
              <w:r>
                <w:rPr>
                  <w:rFonts w:ascii="Calibri" w:cs="Calibri" w:eastAsia="Calibri" w:hAnsi="Calibri"/>
                  <w:sz w:val="11"/>
                  <w:szCs w:val="11"/>
                  <w:color w:val="auto"/>
                </w:rPr>
                <w:t>Amended and Restated Certfcate of Incorporaton</w:t>
              </w:r>
            </w:hyperlink>
          </w:p>
        </w:tc>
        <w:tc>
          <w:tcPr>
            <w:tcW w:w="640" w:type="dxa"/>
            <w:vAlign w:val="bottom"/>
            <w:shd w:val="clear" w:color="auto" w:fill="DBDBDB"/>
          </w:tcPr>
          <w:p>
            <w:pPr>
              <w:jc w:val="center"/>
              <w:spacing w:after="0" w:line="107" w:lineRule="exact"/>
              <w:rPr>
                <w:sz w:val="20"/>
                <w:szCs w:val="20"/>
                <w:color w:val="auto"/>
              </w:rPr>
            </w:pPr>
            <w:r>
              <w:rPr>
                <w:rFonts w:ascii="Calibri" w:cs="Calibri" w:eastAsia="Calibri" w:hAnsi="Calibri"/>
                <w:sz w:val="11"/>
                <w:szCs w:val="11"/>
                <w:color w:val="auto"/>
              </w:rPr>
              <w:t>8-K</w:t>
            </w:r>
          </w:p>
        </w:tc>
        <w:tc>
          <w:tcPr>
            <w:tcW w:w="1520" w:type="dxa"/>
            <w:vAlign w:val="bottom"/>
            <w:shd w:val="clear" w:color="auto" w:fill="DBDBDB"/>
          </w:tcPr>
          <w:p>
            <w:pPr>
              <w:jc w:val="center"/>
              <w:ind w:right="83"/>
              <w:spacing w:after="0" w:line="107" w:lineRule="exact"/>
              <w:rPr>
                <w:sz w:val="20"/>
                <w:szCs w:val="20"/>
                <w:color w:val="auto"/>
              </w:rPr>
            </w:pPr>
            <w:r>
              <w:rPr>
                <w:rFonts w:ascii="Calibri" w:cs="Calibri" w:eastAsia="Calibri" w:hAnsi="Calibri"/>
                <w:sz w:val="11"/>
                <w:szCs w:val="11"/>
                <w:color w:val="auto"/>
              </w:rPr>
              <w:t>10/7/2020</w:t>
            </w:r>
          </w:p>
        </w:tc>
        <w:tc>
          <w:tcPr>
            <w:tcW w:w="740" w:type="dxa"/>
            <w:vAlign w:val="bottom"/>
            <w:shd w:val="clear" w:color="auto" w:fill="DBDBDB"/>
          </w:tcPr>
          <w:p>
            <w:pPr>
              <w:jc w:val="center"/>
              <w:ind w:right="83"/>
              <w:spacing w:after="0" w:line="107" w:lineRule="exact"/>
              <w:rPr>
                <w:sz w:val="20"/>
                <w:szCs w:val="20"/>
                <w:color w:val="auto"/>
              </w:rPr>
            </w:pPr>
            <w:r>
              <w:rPr>
                <w:rFonts w:ascii="Calibri" w:cs="Calibri" w:eastAsia="Calibri" w:hAnsi="Calibri"/>
                <w:sz w:val="11"/>
                <w:szCs w:val="11"/>
                <w:color w:val="auto"/>
              </w:rPr>
              <w:t>3.1</w:t>
            </w:r>
          </w:p>
        </w:tc>
        <w:tc>
          <w:tcPr>
            <w:tcW w:w="10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Borders>
              <w:top w:val="single" w:sz="8" w:color="DBDBDB"/>
            </w:tcBorders>
          </w:tcPr>
          <w:p>
            <w:pPr>
              <w:jc w:val="center"/>
              <w:ind w:right="43"/>
              <w:spacing w:after="0" w:line="117" w:lineRule="exact"/>
              <w:rPr>
                <w:sz w:val="20"/>
                <w:szCs w:val="20"/>
                <w:color w:val="auto"/>
              </w:rPr>
            </w:pPr>
            <w:r>
              <w:rPr>
                <w:rFonts w:ascii="Calibri" w:cs="Calibri" w:eastAsia="Calibri" w:hAnsi="Calibri"/>
                <w:sz w:val="11"/>
                <w:szCs w:val="11"/>
                <w:color w:val="auto"/>
              </w:rPr>
              <w:t>3.2#</w:t>
            </w:r>
          </w:p>
        </w:tc>
        <w:tc>
          <w:tcPr>
            <w:tcW w:w="2340" w:type="dxa"/>
            <w:vAlign w:val="bottom"/>
            <w:tcBorders>
              <w:top w:val="single" w:sz="8" w:color="auto"/>
            </w:tcBorders>
            <w:gridSpan w:val="9"/>
          </w:tcPr>
          <w:p>
            <w:pPr>
              <w:spacing w:after="0" w:line="117" w:lineRule="exact"/>
              <w:rPr>
                <w:rFonts w:ascii="Calibri" w:cs="Calibri" w:eastAsia="Calibri" w:hAnsi="Calibri"/>
                <w:sz w:val="11"/>
                <w:szCs w:val="11"/>
                <w:color w:val="auto"/>
              </w:rPr>
            </w:pPr>
            <w:hyperlink r:id="rId53">
              <w:r>
                <w:rPr>
                  <w:rFonts w:ascii="Calibri" w:cs="Calibri" w:eastAsia="Calibri" w:hAnsi="Calibri"/>
                  <w:sz w:val="11"/>
                  <w:szCs w:val="11"/>
                  <w:color w:val="auto"/>
                </w:rPr>
                <w:t>Amended and Restated Bylaws</w:t>
              </w:r>
            </w:hyperlink>
          </w:p>
        </w:tc>
        <w:tc>
          <w:tcPr>
            <w:tcW w:w="4080" w:type="dxa"/>
            <w:vAlign w:val="bottom"/>
            <w:tcBorders>
              <w:top w:val="single" w:sz="8" w:color="DBDBDB"/>
            </w:tcBorders>
            <w:gridSpan w:val="15"/>
          </w:tcPr>
          <w:p>
            <w:pPr>
              <w:spacing w:after="0"/>
              <w:rPr>
                <w:sz w:val="10"/>
                <w:szCs w:val="10"/>
                <w:color w:val="auto"/>
              </w:rPr>
            </w:pPr>
          </w:p>
        </w:tc>
        <w:tc>
          <w:tcPr>
            <w:tcW w:w="640" w:type="dxa"/>
            <w:vAlign w:val="bottom"/>
            <w:tcBorders>
              <w:top w:val="single" w:sz="8" w:color="DBDBDB"/>
            </w:tcBorders>
          </w:tcPr>
          <w:p>
            <w:pPr>
              <w:jc w:val="center"/>
              <w:spacing w:after="0" w:line="117" w:lineRule="exact"/>
              <w:rPr>
                <w:sz w:val="20"/>
                <w:szCs w:val="20"/>
                <w:color w:val="auto"/>
              </w:rPr>
            </w:pPr>
            <w:r>
              <w:rPr>
                <w:rFonts w:ascii="Calibri" w:cs="Calibri" w:eastAsia="Calibri" w:hAnsi="Calibri"/>
                <w:sz w:val="11"/>
                <w:szCs w:val="11"/>
                <w:color w:val="auto"/>
              </w:rPr>
              <w:t>8-K</w:t>
            </w:r>
          </w:p>
        </w:tc>
        <w:tc>
          <w:tcPr>
            <w:tcW w:w="1520" w:type="dxa"/>
            <w:vAlign w:val="bottom"/>
            <w:tcBorders>
              <w:top w:val="single" w:sz="8" w:color="DBDBDB"/>
            </w:tcBorders>
          </w:tcPr>
          <w:p>
            <w:pPr>
              <w:jc w:val="center"/>
              <w:ind w:right="83"/>
              <w:spacing w:after="0" w:line="117" w:lineRule="exact"/>
              <w:rPr>
                <w:sz w:val="20"/>
                <w:szCs w:val="20"/>
                <w:color w:val="auto"/>
              </w:rPr>
            </w:pPr>
            <w:r>
              <w:rPr>
                <w:rFonts w:ascii="Calibri" w:cs="Calibri" w:eastAsia="Calibri" w:hAnsi="Calibri"/>
                <w:sz w:val="11"/>
                <w:szCs w:val="11"/>
                <w:color w:val="auto"/>
              </w:rPr>
              <w:t>10/7/2020</w:t>
            </w:r>
          </w:p>
        </w:tc>
        <w:tc>
          <w:tcPr>
            <w:tcW w:w="740" w:type="dxa"/>
            <w:vAlign w:val="bottom"/>
            <w:tcBorders>
              <w:top w:val="single" w:sz="8" w:color="DBDBDB"/>
            </w:tcBorders>
          </w:tcPr>
          <w:p>
            <w:pPr>
              <w:jc w:val="center"/>
              <w:ind w:right="83"/>
              <w:spacing w:after="0" w:line="117" w:lineRule="exact"/>
              <w:rPr>
                <w:sz w:val="20"/>
                <w:szCs w:val="20"/>
                <w:color w:val="auto"/>
              </w:rPr>
            </w:pPr>
            <w:r>
              <w:rPr>
                <w:rFonts w:ascii="Calibri" w:cs="Calibri" w:eastAsia="Calibri" w:hAnsi="Calibri"/>
                <w:sz w:val="11"/>
                <w:szCs w:val="11"/>
                <w:color w:val="auto"/>
              </w:rPr>
              <w:t>3.2</w:t>
            </w:r>
          </w:p>
        </w:tc>
        <w:tc>
          <w:tcPr>
            <w:tcW w:w="1020" w:type="dxa"/>
            <w:vAlign w:val="bottom"/>
            <w:tcBorders>
              <w:top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40" w:type="dxa"/>
            <w:vAlign w:val="bottom"/>
            <w:tcBorders>
              <w:bottom w:val="single" w:sz="8" w:color="DBDBDB"/>
            </w:tcBorders>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rPr>
              <w:t>4.1#</w:t>
            </w:r>
          </w:p>
        </w:tc>
        <w:tc>
          <w:tcPr>
            <w:tcW w:w="1580" w:type="dxa"/>
            <w:vAlign w:val="bottom"/>
            <w:tcBorders>
              <w:bottom w:val="single" w:sz="8" w:color="auto"/>
            </w:tcBorders>
            <w:gridSpan w:val="5"/>
            <w:shd w:val="clear" w:color="auto" w:fill="DBDBDB"/>
          </w:tcPr>
          <w:p>
            <w:pPr>
              <w:spacing w:after="0" w:line="117" w:lineRule="exact"/>
              <w:rPr>
                <w:rFonts w:ascii="Calibri" w:cs="Calibri" w:eastAsia="Calibri" w:hAnsi="Calibri"/>
                <w:sz w:val="11"/>
                <w:szCs w:val="11"/>
                <w:color w:val="auto"/>
              </w:rPr>
            </w:pPr>
            <w:hyperlink r:id="rId54">
              <w:r>
                <w:rPr>
                  <w:rFonts w:ascii="Calibri" w:cs="Calibri" w:eastAsia="Calibri" w:hAnsi="Calibri"/>
                  <w:sz w:val="11"/>
                  <w:szCs w:val="11"/>
                  <w:color w:val="auto"/>
                </w:rPr>
                <w:t>Form of Common Stock Certfcate</w:t>
              </w:r>
            </w:hyperlink>
          </w:p>
        </w:tc>
        <w:tc>
          <w:tcPr>
            <w:tcW w:w="4840" w:type="dxa"/>
            <w:vAlign w:val="bottom"/>
            <w:tcBorders>
              <w:bottom w:val="single" w:sz="8" w:color="DBDBDB"/>
            </w:tcBorders>
            <w:gridSpan w:val="19"/>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jc w:val="center"/>
              <w:spacing w:after="0" w:line="117" w:lineRule="exact"/>
              <w:rPr>
                <w:sz w:val="20"/>
                <w:szCs w:val="20"/>
                <w:color w:val="auto"/>
              </w:rPr>
            </w:pPr>
            <w:r>
              <w:rPr>
                <w:rFonts w:ascii="Calibri" w:cs="Calibri" w:eastAsia="Calibri" w:hAnsi="Calibri"/>
                <w:sz w:val="11"/>
                <w:szCs w:val="11"/>
                <w:color w:val="auto"/>
                <w:w w:val="97"/>
              </w:rPr>
              <w:t>S-1/A</w:t>
            </w:r>
          </w:p>
        </w:tc>
        <w:tc>
          <w:tcPr>
            <w:tcW w:w="152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9/22/2020</w:t>
            </w:r>
          </w:p>
        </w:tc>
        <w:tc>
          <w:tcPr>
            <w:tcW w:w="74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4.1</w:t>
            </w:r>
          </w:p>
        </w:tc>
        <w:tc>
          <w:tcPr>
            <w:tcW w:w="102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43"/>
              <w:spacing w:after="0" w:line="117" w:lineRule="exact"/>
              <w:rPr>
                <w:sz w:val="20"/>
                <w:szCs w:val="20"/>
                <w:color w:val="auto"/>
              </w:rPr>
            </w:pPr>
            <w:r>
              <w:rPr>
                <w:rFonts w:ascii="Calibri" w:cs="Calibri" w:eastAsia="Calibri" w:hAnsi="Calibri"/>
                <w:sz w:val="11"/>
                <w:szCs w:val="11"/>
                <w:color w:val="auto"/>
              </w:rPr>
              <w:t>4.2#</w:t>
            </w:r>
          </w:p>
        </w:tc>
        <w:tc>
          <w:tcPr>
            <w:tcW w:w="6420" w:type="dxa"/>
            <w:vAlign w:val="bottom"/>
            <w:gridSpan w:val="24"/>
          </w:tcPr>
          <w:p>
            <w:pPr>
              <w:spacing w:after="0" w:line="117" w:lineRule="exact"/>
              <w:rPr>
                <w:rFonts w:ascii="Calibri" w:cs="Calibri" w:eastAsia="Calibri" w:hAnsi="Calibri"/>
                <w:sz w:val="11"/>
                <w:szCs w:val="11"/>
                <w:color w:val="auto"/>
              </w:rPr>
            </w:pPr>
            <w:hyperlink r:id="rId55">
              <w:r>
                <w:rPr>
                  <w:rFonts w:ascii="Calibri" w:cs="Calibri" w:eastAsia="Calibri" w:hAnsi="Calibri"/>
                  <w:sz w:val="11"/>
                  <w:szCs w:val="11"/>
                  <w:color w:val="auto"/>
                </w:rPr>
                <w:t>Descripton of Capital Stock</w:t>
              </w:r>
            </w:hyperlink>
          </w:p>
        </w:tc>
        <w:tc>
          <w:tcPr>
            <w:tcW w:w="640" w:type="dxa"/>
            <w:vAlign w:val="bottom"/>
          </w:tcPr>
          <w:p>
            <w:pPr>
              <w:jc w:val="center"/>
              <w:spacing w:after="0" w:line="117" w:lineRule="exact"/>
              <w:rPr>
                <w:sz w:val="20"/>
                <w:szCs w:val="20"/>
                <w:color w:val="auto"/>
              </w:rPr>
            </w:pPr>
            <w:r>
              <w:rPr>
                <w:rFonts w:ascii="Calibri" w:cs="Calibri" w:eastAsia="Calibri" w:hAnsi="Calibri"/>
                <w:sz w:val="11"/>
                <w:szCs w:val="11"/>
                <w:color w:val="auto"/>
                <w:w w:val="98"/>
              </w:rPr>
              <w:t>10-K</w:t>
            </w:r>
          </w:p>
        </w:tc>
        <w:tc>
          <w:tcPr>
            <w:tcW w:w="152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12/22/2021</w:t>
            </w:r>
          </w:p>
        </w:tc>
        <w:tc>
          <w:tcPr>
            <w:tcW w:w="74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4.2</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40" w:type="dxa"/>
            <w:vAlign w:val="bottom"/>
            <w:tcBorders>
              <w:bottom w:val="single" w:sz="8" w:color="DBDBDB"/>
            </w:tcBorders>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rPr>
              <w:t>10.1#+</w:t>
            </w:r>
          </w:p>
        </w:tc>
        <w:tc>
          <w:tcPr>
            <w:tcW w:w="3280" w:type="dxa"/>
            <w:vAlign w:val="bottom"/>
            <w:tcBorders>
              <w:bottom w:val="single" w:sz="8" w:color="auto"/>
            </w:tcBorders>
            <w:gridSpan w:val="10"/>
            <w:shd w:val="clear" w:color="auto" w:fill="DBDBDB"/>
          </w:tcPr>
          <w:p>
            <w:pPr>
              <w:spacing w:after="0" w:line="117" w:lineRule="exact"/>
              <w:rPr>
                <w:rFonts w:ascii="Calibri" w:cs="Calibri" w:eastAsia="Calibri" w:hAnsi="Calibri"/>
                <w:sz w:val="11"/>
                <w:szCs w:val="11"/>
                <w:color w:val="auto"/>
              </w:rPr>
            </w:pPr>
            <w:hyperlink r:id="rId56">
              <w:r>
                <w:rPr>
                  <w:rFonts w:ascii="Calibri" w:cs="Calibri" w:eastAsia="Calibri" w:hAnsi="Calibri"/>
                  <w:sz w:val="11"/>
                  <w:szCs w:val="11"/>
                  <w:color w:val="auto"/>
                </w:rPr>
                <w:t>Mission Produce, Inc. Amended and Restated 2003 Stock Incentve Plan</w:t>
              </w:r>
            </w:hyperlink>
          </w:p>
        </w:tc>
        <w:tc>
          <w:tcPr>
            <w:tcW w:w="3140" w:type="dxa"/>
            <w:vAlign w:val="bottom"/>
            <w:tcBorders>
              <w:bottom w:val="single" w:sz="8" w:color="DBDBDB"/>
            </w:tcBorders>
            <w:gridSpan w:val="14"/>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jc w:val="center"/>
              <w:spacing w:after="0" w:line="117" w:lineRule="exact"/>
              <w:rPr>
                <w:sz w:val="20"/>
                <w:szCs w:val="20"/>
                <w:color w:val="auto"/>
              </w:rPr>
            </w:pPr>
            <w:r>
              <w:rPr>
                <w:rFonts w:ascii="Calibri" w:cs="Calibri" w:eastAsia="Calibri" w:hAnsi="Calibri"/>
                <w:sz w:val="11"/>
                <w:szCs w:val="11"/>
                <w:color w:val="auto"/>
                <w:w w:val="97"/>
              </w:rPr>
              <w:t>S-1/A</w:t>
            </w:r>
          </w:p>
        </w:tc>
        <w:tc>
          <w:tcPr>
            <w:tcW w:w="152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9/22/2020</w:t>
            </w:r>
          </w:p>
        </w:tc>
        <w:tc>
          <w:tcPr>
            <w:tcW w:w="74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10.1</w:t>
            </w:r>
          </w:p>
        </w:tc>
        <w:tc>
          <w:tcPr>
            <w:tcW w:w="102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43"/>
              <w:spacing w:after="0" w:line="117" w:lineRule="exact"/>
              <w:rPr>
                <w:sz w:val="20"/>
                <w:szCs w:val="20"/>
                <w:color w:val="auto"/>
              </w:rPr>
            </w:pPr>
            <w:r>
              <w:rPr>
                <w:rFonts w:ascii="Calibri" w:cs="Calibri" w:eastAsia="Calibri" w:hAnsi="Calibri"/>
                <w:sz w:val="11"/>
                <w:szCs w:val="11"/>
                <w:color w:val="auto"/>
              </w:rPr>
              <w:t>10.2#+</w:t>
            </w:r>
          </w:p>
        </w:tc>
        <w:tc>
          <w:tcPr>
            <w:tcW w:w="6420" w:type="dxa"/>
            <w:vAlign w:val="bottom"/>
            <w:gridSpan w:val="24"/>
          </w:tcPr>
          <w:p>
            <w:pPr>
              <w:spacing w:after="0" w:line="117" w:lineRule="exact"/>
              <w:rPr>
                <w:rFonts w:ascii="Calibri" w:cs="Calibri" w:eastAsia="Calibri" w:hAnsi="Calibri"/>
                <w:sz w:val="11"/>
                <w:szCs w:val="11"/>
                <w:color w:val="auto"/>
              </w:rPr>
            </w:pPr>
            <w:hyperlink r:id="rId57">
              <w:r>
                <w:rPr>
                  <w:rFonts w:ascii="Calibri" w:cs="Calibri" w:eastAsia="Calibri" w:hAnsi="Calibri"/>
                  <w:sz w:val="11"/>
                  <w:szCs w:val="11"/>
                  <w:color w:val="auto"/>
                </w:rPr>
                <w:t>Form of Stock Opton Agreement pursuant to the Mission Produce, Inc. Amended and Restated 2003 Stock Incentve Plan</w:t>
              </w:r>
            </w:hyperlink>
          </w:p>
        </w:tc>
        <w:tc>
          <w:tcPr>
            <w:tcW w:w="640" w:type="dxa"/>
            <w:vAlign w:val="bottom"/>
          </w:tcPr>
          <w:p>
            <w:pPr>
              <w:jc w:val="center"/>
              <w:spacing w:after="0" w:line="117" w:lineRule="exact"/>
              <w:rPr>
                <w:sz w:val="20"/>
                <w:szCs w:val="20"/>
                <w:color w:val="auto"/>
              </w:rPr>
            </w:pPr>
            <w:r>
              <w:rPr>
                <w:rFonts w:ascii="Calibri" w:cs="Calibri" w:eastAsia="Calibri" w:hAnsi="Calibri"/>
                <w:sz w:val="11"/>
                <w:szCs w:val="11"/>
                <w:color w:val="auto"/>
              </w:rPr>
              <w:t>S-8</w:t>
            </w:r>
          </w:p>
        </w:tc>
        <w:tc>
          <w:tcPr>
            <w:tcW w:w="152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10/5/2020</w:t>
            </w:r>
          </w:p>
        </w:tc>
        <w:tc>
          <w:tcPr>
            <w:tcW w:w="74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10.2</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rPr>
              <w:t>10.3#+</w:t>
            </w:r>
          </w:p>
        </w:tc>
        <w:tc>
          <w:tcPr>
            <w:tcW w:w="6420" w:type="dxa"/>
            <w:vAlign w:val="bottom"/>
            <w:gridSpan w:val="24"/>
            <w:shd w:val="clear" w:color="auto" w:fill="DBDBDB"/>
          </w:tcPr>
          <w:p>
            <w:pPr>
              <w:spacing w:after="0" w:line="117" w:lineRule="exact"/>
              <w:rPr>
                <w:rFonts w:ascii="Calibri" w:cs="Calibri" w:eastAsia="Calibri" w:hAnsi="Calibri"/>
                <w:sz w:val="11"/>
                <w:szCs w:val="11"/>
                <w:color w:val="auto"/>
              </w:rPr>
            </w:pPr>
            <w:hyperlink r:id="rId58">
              <w:r>
                <w:rPr>
                  <w:rFonts w:ascii="Calibri" w:cs="Calibri" w:eastAsia="Calibri" w:hAnsi="Calibri"/>
                  <w:sz w:val="11"/>
                  <w:szCs w:val="11"/>
                  <w:color w:val="auto"/>
                </w:rPr>
                <w:t>Mission Produce, Inc. 2020 Incentve Award Plan</w:t>
              </w:r>
            </w:hyperlink>
          </w:p>
        </w:tc>
        <w:tc>
          <w:tcPr>
            <w:tcW w:w="640" w:type="dxa"/>
            <w:vAlign w:val="bottom"/>
            <w:shd w:val="clear" w:color="auto" w:fill="DBDBDB"/>
          </w:tcPr>
          <w:p>
            <w:pPr>
              <w:jc w:val="center"/>
              <w:spacing w:after="0" w:line="117" w:lineRule="exact"/>
              <w:rPr>
                <w:sz w:val="20"/>
                <w:szCs w:val="20"/>
                <w:color w:val="auto"/>
              </w:rPr>
            </w:pPr>
            <w:r>
              <w:rPr>
                <w:rFonts w:ascii="Calibri" w:cs="Calibri" w:eastAsia="Calibri" w:hAnsi="Calibri"/>
                <w:sz w:val="11"/>
                <w:szCs w:val="11"/>
                <w:color w:val="auto"/>
              </w:rPr>
              <w:t>S-1</w:t>
            </w:r>
          </w:p>
        </w:tc>
        <w:tc>
          <w:tcPr>
            <w:tcW w:w="1520" w:type="dxa"/>
            <w:vAlign w:val="bottom"/>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w w:val="99"/>
              </w:rPr>
              <w:t>9/4/2020</w:t>
            </w:r>
          </w:p>
        </w:tc>
        <w:tc>
          <w:tcPr>
            <w:tcW w:w="740" w:type="dxa"/>
            <w:vAlign w:val="bottom"/>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10.3</w:t>
            </w:r>
          </w:p>
        </w:tc>
        <w:tc>
          <w:tcPr>
            <w:tcW w:w="10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Borders>
              <w:top w:val="single" w:sz="8" w:color="DBDBDB"/>
            </w:tcBorders>
            <w:shd w:val="clear" w:color="auto" w:fill="DBDBDB"/>
          </w:tcPr>
          <w:p>
            <w:pPr>
              <w:spacing w:after="0"/>
              <w:rPr>
                <w:sz w:val="3"/>
                <w:szCs w:val="3"/>
                <w:color w:val="auto"/>
              </w:rPr>
            </w:pPr>
          </w:p>
        </w:tc>
        <w:tc>
          <w:tcPr>
            <w:tcW w:w="980" w:type="dxa"/>
            <w:vAlign w:val="bottom"/>
            <w:tcBorders>
              <w:top w:val="single" w:sz="8" w:color="auto"/>
            </w:tcBorders>
            <w:shd w:val="clear" w:color="auto" w:fill="DBDBDB"/>
          </w:tcPr>
          <w:p>
            <w:pPr>
              <w:spacing w:after="0"/>
              <w:rPr>
                <w:sz w:val="3"/>
                <w:szCs w:val="3"/>
                <w:color w:val="auto"/>
              </w:rPr>
            </w:pPr>
          </w:p>
        </w:tc>
        <w:tc>
          <w:tcPr>
            <w:tcW w:w="280" w:type="dxa"/>
            <w:vAlign w:val="bottom"/>
            <w:tcBorders>
              <w:top w:val="single" w:sz="8" w:color="auto"/>
            </w:tcBorders>
            <w:shd w:val="clear" w:color="auto" w:fill="DBDBDB"/>
          </w:tcPr>
          <w:p>
            <w:pPr>
              <w:spacing w:after="0"/>
              <w:rPr>
                <w:sz w:val="3"/>
                <w:szCs w:val="3"/>
                <w:color w:val="auto"/>
              </w:rPr>
            </w:pPr>
          </w:p>
        </w:tc>
        <w:tc>
          <w:tcPr>
            <w:tcW w:w="40" w:type="dxa"/>
            <w:vAlign w:val="bottom"/>
            <w:tcBorders>
              <w:top w:val="single" w:sz="8" w:color="auto"/>
            </w:tcBorders>
            <w:shd w:val="clear" w:color="auto" w:fill="DBDBDB"/>
          </w:tcPr>
          <w:p>
            <w:pPr>
              <w:spacing w:after="0"/>
              <w:rPr>
                <w:sz w:val="3"/>
                <w:szCs w:val="3"/>
                <w:color w:val="auto"/>
              </w:rPr>
            </w:pPr>
          </w:p>
        </w:tc>
        <w:tc>
          <w:tcPr>
            <w:tcW w:w="120" w:type="dxa"/>
            <w:vAlign w:val="bottom"/>
            <w:tcBorders>
              <w:top w:val="single" w:sz="8" w:color="auto"/>
            </w:tcBorders>
            <w:shd w:val="clear" w:color="auto" w:fill="DBDBDB"/>
          </w:tcPr>
          <w:p>
            <w:pPr>
              <w:spacing w:after="0"/>
              <w:rPr>
                <w:sz w:val="3"/>
                <w:szCs w:val="3"/>
                <w:color w:val="auto"/>
              </w:rPr>
            </w:pPr>
          </w:p>
        </w:tc>
        <w:tc>
          <w:tcPr>
            <w:tcW w:w="160" w:type="dxa"/>
            <w:vAlign w:val="bottom"/>
            <w:tcBorders>
              <w:top w:val="single" w:sz="8" w:color="auto"/>
            </w:tcBorders>
            <w:shd w:val="clear" w:color="auto" w:fill="DBDBDB"/>
          </w:tcPr>
          <w:p>
            <w:pPr>
              <w:spacing w:after="0"/>
              <w:rPr>
                <w:sz w:val="3"/>
                <w:szCs w:val="3"/>
                <w:color w:val="auto"/>
              </w:rPr>
            </w:pPr>
          </w:p>
        </w:tc>
        <w:tc>
          <w:tcPr>
            <w:tcW w:w="360" w:type="dxa"/>
            <w:vAlign w:val="bottom"/>
            <w:tcBorders>
              <w:top w:val="single" w:sz="8" w:color="auto"/>
            </w:tcBorders>
            <w:shd w:val="clear" w:color="auto" w:fill="DBDBDB"/>
          </w:tcPr>
          <w:p>
            <w:pPr>
              <w:spacing w:after="0"/>
              <w:rPr>
                <w:sz w:val="3"/>
                <w:szCs w:val="3"/>
                <w:color w:val="auto"/>
              </w:rPr>
            </w:pPr>
          </w:p>
        </w:tc>
        <w:tc>
          <w:tcPr>
            <w:tcW w:w="160" w:type="dxa"/>
            <w:vAlign w:val="bottom"/>
            <w:tcBorders>
              <w:top w:val="single" w:sz="8" w:color="auto"/>
            </w:tcBorders>
            <w:shd w:val="clear" w:color="auto" w:fill="DBDBDB"/>
          </w:tcPr>
          <w:p>
            <w:pPr>
              <w:spacing w:after="0"/>
              <w:rPr>
                <w:sz w:val="3"/>
                <w:szCs w:val="3"/>
                <w:color w:val="auto"/>
              </w:rPr>
            </w:pPr>
          </w:p>
        </w:tc>
        <w:tc>
          <w:tcPr>
            <w:tcW w:w="120" w:type="dxa"/>
            <w:vAlign w:val="bottom"/>
            <w:tcBorders>
              <w:top w:val="single" w:sz="8" w:color="auto"/>
            </w:tcBorders>
            <w:shd w:val="clear" w:color="auto" w:fill="DBDBDB"/>
          </w:tcPr>
          <w:p>
            <w:pPr>
              <w:spacing w:after="0"/>
              <w:rPr>
                <w:sz w:val="3"/>
                <w:szCs w:val="3"/>
                <w:color w:val="auto"/>
              </w:rPr>
            </w:pPr>
          </w:p>
        </w:tc>
        <w:tc>
          <w:tcPr>
            <w:tcW w:w="120" w:type="dxa"/>
            <w:vAlign w:val="bottom"/>
            <w:tcBorders>
              <w:top w:val="single" w:sz="8" w:color="DBDBDB"/>
            </w:tcBorders>
            <w:shd w:val="clear" w:color="auto" w:fill="DBDBDB"/>
          </w:tcPr>
          <w:p>
            <w:pPr>
              <w:spacing w:after="0"/>
              <w:rPr>
                <w:sz w:val="3"/>
                <w:szCs w:val="3"/>
                <w:color w:val="auto"/>
              </w:rPr>
            </w:pPr>
          </w:p>
        </w:tc>
        <w:tc>
          <w:tcPr>
            <w:tcW w:w="940" w:type="dxa"/>
            <w:vAlign w:val="bottom"/>
            <w:tcBorders>
              <w:top w:val="single" w:sz="8" w:color="DBDBDB"/>
            </w:tcBorders>
            <w:shd w:val="clear" w:color="auto" w:fill="DBDBDB"/>
          </w:tcPr>
          <w:p>
            <w:pPr>
              <w:spacing w:after="0"/>
              <w:rPr>
                <w:sz w:val="3"/>
                <w:szCs w:val="3"/>
                <w:color w:val="auto"/>
              </w:rPr>
            </w:pPr>
          </w:p>
        </w:tc>
        <w:tc>
          <w:tcPr>
            <w:tcW w:w="820" w:type="dxa"/>
            <w:vAlign w:val="bottom"/>
            <w:tcBorders>
              <w:top w:val="single" w:sz="8" w:color="DBDBDB"/>
            </w:tcBorders>
            <w:shd w:val="clear" w:color="auto" w:fill="DBDBDB"/>
          </w:tcPr>
          <w:p>
            <w:pPr>
              <w:spacing w:after="0"/>
              <w:rPr>
                <w:sz w:val="3"/>
                <w:szCs w:val="3"/>
                <w:color w:val="auto"/>
              </w:rPr>
            </w:pPr>
          </w:p>
        </w:tc>
        <w:tc>
          <w:tcPr>
            <w:tcW w:w="400" w:type="dxa"/>
            <w:vAlign w:val="bottom"/>
            <w:tcBorders>
              <w:top w:val="single" w:sz="8" w:color="DBDBDB"/>
            </w:tcBorders>
            <w:shd w:val="clear" w:color="auto" w:fill="DBDBDB"/>
          </w:tcPr>
          <w:p>
            <w:pPr>
              <w:spacing w:after="0"/>
              <w:rPr>
                <w:sz w:val="3"/>
                <w:szCs w:val="3"/>
                <w:color w:val="auto"/>
              </w:rPr>
            </w:pPr>
          </w:p>
        </w:tc>
        <w:tc>
          <w:tcPr>
            <w:tcW w:w="360" w:type="dxa"/>
            <w:vAlign w:val="bottom"/>
            <w:tcBorders>
              <w:top w:val="single" w:sz="8" w:color="DBDBDB"/>
            </w:tcBorders>
            <w:shd w:val="clear" w:color="auto" w:fill="DBDBDB"/>
          </w:tcPr>
          <w:p>
            <w:pPr>
              <w:spacing w:after="0"/>
              <w:rPr>
                <w:sz w:val="3"/>
                <w:szCs w:val="3"/>
                <w:color w:val="auto"/>
              </w:rPr>
            </w:pPr>
          </w:p>
        </w:tc>
        <w:tc>
          <w:tcPr>
            <w:tcW w:w="140" w:type="dxa"/>
            <w:vAlign w:val="bottom"/>
            <w:tcBorders>
              <w:top w:val="single" w:sz="8" w:color="DBDBDB"/>
            </w:tcBorders>
            <w:shd w:val="clear" w:color="auto" w:fill="DBDBDB"/>
          </w:tcPr>
          <w:p>
            <w:pPr>
              <w:spacing w:after="0"/>
              <w:rPr>
                <w:sz w:val="3"/>
                <w:szCs w:val="3"/>
                <w:color w:val="auto"/>
              </w:rPr>
            </w:pPr>
          </w:p>
        </w:tc>
        <w:tc>
          <w:tcPr>
            <w:tcW w:w="540" w:type="dxa"/>
            <w:vAlign w:val="bottom"/>
            <w:tcBorders>
              <w:top w:val="single" w:sz="8" w:color="DBDBDB"/>
            </w:tcBorders>
            <w:shd w:val="clear" w:color="auto" w:fill="DBDBDB"/>
          </w:tcPr>
          <w:p>
            <w:pPr>
              <w:spacing w:after="0"/>
              <w:rPr>
                <w:sz w:val="3"/>
                <w:szCs w:val="3"/>
                <w:color w:val="auto"/>
              </w:rPr>
            </w:pPr>
          </w:p>
        </w:tc>
        <w:tc>
          <w:tcPr>
            <w:tcW w:w="200" w:type="dxa"/>
            <w:vAlign w:val="bottom"/>
            <w:tcBorders>
              <w:top w:val="single" w:sz="8" w:color="DBDBDB"/>
            </w:tcBorders>
            <w:shd w:val="clear" w:color="auto" w:fill="DBDBDB"/>
          </w:tcPr>
          <w:p>
            <w:pPr>
              <w:spacing w:after="0"/>
              <w:rPr>
                <w:sz w:val="3"/>
                <w:szCs w:val="3"/>
                <w:color w:val="auto"/>
              </w:rPr>
            </w:pPr>
          </w:p>
        </w:tc>
        <w:tc>
          <w:tcPr>
            <w:tcW w:w="120" w:type="dxa"/>
            <w:vAlign w:val="bottom"/>
            <w:tcBorders>
              <w:top w:val="single" w:sz="8" w:color="DBDBDB"/>
            </w:tcBorders>
            <w:shd w:val="clear" w:color="auto" w:fill="DBDBDB"/>
          </w:tcPr>
          <w:p>
            <w:pPr>
              <w:spacing w:after="0"/>
              <w:rPr>
                <w:sz w:val="3"/>
                <w:szCs w:val="3"/>
                <w:color w:val="auto"/>
              </w:rPr>
            </w:pPr>
          </w:p>
        </w:tc>
        <w:tc>
          <w:tcPr>
            <w:tcW w:w="120" w:type="dxa"/>
            <w:vAlign w:val="bottom"/>
            <w:tcBorders>
              <w:top w:val="single" w:sz="8" w:color="DBDBDB"/>
            </w:tcBorders>
            <w:shd w:val="clear" w:color="auto" w:fill="DBDBDB"/>
          </w:tcPr>
          <w:p>
            <w:pPr>
              <w:spacing w:after="0"/>
              <w:rPr>
                <w:sz w:val="3"/>
                <w:szCs w:val="3"/>
                <w:color w:val="auto"/>
              </w:rPr>
            </w:pPr>
          </w:p>
        </w:tc>
        <w:tc>
          <w:tcPr>
            <w:tcW w:w="80" w:type="dxa"/>
            <w:vAlign w:val="bottom"/>
            <w:tcBorders>
              <w:top w:val="single" w:sz="8" w:color="DBDBDB"/>
            </w:tcBorders>
            <w:shd w:val="clear" w:color="auto" w:fill="DBDBDB"/>
          </w:tcPr>
          <w:p>
            <w:pPr>
              <w:spacing w:after="0"/>
              <w:rPr>
                <w:sz w:val="3"/>
                <w:szCs w:val="3"/>
                <w:color w:val="auto"/>
              </w:rPr>
            </w:pPr>
          </w:p>
        </w:tc>
        <w:tc>
          <w:tcPr>
            <w:tcW w:w="6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8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140" w:type="dxa"/>
            <w:vAlign w:val="bottom"/>
            <w:tcBorders>
              <w:top w:val="single" w:sz="8" w:color="DBDBDB"/>
            </w:tcBorders>
            <w:shd w:val="clear" w:color="auto" w:fill="DBDBDB"/>
          </w:tcPr>
          <w:p>
            <w:pPr>
              <w:spacing w:after="0"/>
              <w:rPr>
                <w:sz w:val="3"/>
                <w:szCs w:val="3"/>
                <w:color w:val="auto"/>
              </w:rPr>
            </w:pPr>
          </w:p>
        </w:tc>
        <w:tc>
          <w:tcPr>
            <w:tcW w:w="640" w:type="dxa"/>
            <w:vAlign w:val="bottom"/>
            <w:tcBorders>
              <w:top w:val="single" w:sz="8" w:color="DBDBDB"/>
            </w:tcBorders>
            <w:shd w:val="clear" w:color="auto" w:fill="DBDBDB"/>
          </w:tcPr>
          <w:p>
            <w:pPr>
              <w:spacing w:after="0"/>
              <w:rPr>
                <w:sz w:val="3"/>
                <w:szCs w:val="3"/>
                <w:color w:val="auto"/>
              </w:rPr>
            </w:pPr>
          </w:p>
        </w:tc>
        <w:tc>
          <w:tcPr>
            <w:tcW w:w="1520" w:type="dxa"/>
            <w:vAlign w:val="bottom"/>
            <w:tcBorders>
              <w:top w:val="single" w:sz="8" w:color="DBDBDB"/>
            </w:tcBorders>
            <w:shd w:val="clear" w:color="auto" w:fill="DBDBDB"/>
          </w:tcPr>
          <w:p>
            <w:pPr>
              <w:spacing w:after="0"/>
              <w:rPr>
                <w:sz w:val="3"/>
                <w:szCs w:val="3"/>
                <w:color w:val="auto"/>
              </w:rPr>
            </w:pPr>
          </w:p>
        </w:tc>
        <w:tc>
          <w:tcPr>
            <w:tcW w:w="740" w:type="dxa"/>
            <w:vAlign w:val="bottom"/>
            <w:tcBorders>
              <w:top w:val="single" w:sz="8" w:color="DBDBDB"/>
            </w:tcBorders>
            <w:shd w:val="clear" w:color="auto" w:fill="DBDBDB"/>
          </w:tcPr>
          <w:p>
            <w:pPr>
              <w:spacing w:after="0"/>
              <w:rPr>
                <w:sz w:val="3"/>
                <w:szCs w:val="3"/>
                <w:color w:val="auto"/>
              </w:rPr>
            </w:pPr>
          </w:p>
        </w:tc>
        <w:tc>
          <w:tcPr>
            <w:tcW w:w="1020" w:type="dxa"/>
            <w:vAlign w:val="bottom"/>
            <w:tcBorders>
              <w:top w:val="single" w:sz="8" w:color="DBDBDB"/>
            </w:tcBorders>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43"/>
              <w:spacing w:after="0" w:line="117" w:lineRule="exact"/>
              <w:rPr>
                <w:sz w:val="20"/>
                <w:szCs w:val="20"/>
                <w:color w:val="auto"/>
              </w:rPr>
            </w:pPr>
            <w:r>
              <w:rPr>
                <w:rFonts w:ascii="Calibri" w:cs="Calibri" w:eastAsia="Calibri" w:hAnsi="Calibri"/>
                <w:sz w:val="11"/>
                <w:szCs w:val="11"/>
                <w:color w:val="auto"/>
              </w:rPr>
              <w:t>10.5#+</w:t>
            </w:r>
          </w:p>
        </w:tc>
        <w:tc>
          <w:tcPr>
            <w:tcW w:w="6420" w:type="dxa"/>
            <w:vAlign w:val="bottom"/>
            <w:gridSpan w:val="24"/>
          </w:tcPr>
          <w:p>
            <w:pPr>
              <w:spacing w:after="0" w:line="117" w:lineRule="exact"/>
              <w:rPr>
                <w:rFonts w:ascii="Calibri" w:cs="Calibri" w:eastAsia="Calibri" w:hAnsi="Calibri"/>
                <w:sz w:val="11"/>
                <w:szCs w:val="11"/>
                <w:color w:val="auto"/>
              </w:rPr>
            </w:pPr>
            <w:hyperlink r:id="rId59">
              <w:r>
                <w:rPr>
                  <w:rFonts w:ascii="Calibri" w:cs="Calibri" w:eastAsia="Calibri" w:hAnsi="Calibri"/>
                  <w:sz w:val="11"/>
                  <w:szCs w:val="11"/>
                  <w:color w:val="auto"/>
                </w:rPr>
                <w:t>Form of Stock Opton Agreement pursuant to the Mission Produce, Inc. 2020 Incentve Award Plan</w:t>
              </w:r>
            </w:hyperlink>
          </w:p>
        </w:tc>
        <w:tc>
          <w:tcPr>
            <w:tcW w:w="640" w:type="dxa"/>
            <w:vAlign w:val="bottom"/>
          </w:tcPr>
          <w:p>
            <w:pPr>
              <w:jc w:val="center"/>
              <w:spacing w:after="0" w:line="117" w:lineRule="exact"/>
              <w:rPr>
                <w:sz w:val="20"/>
                <w:szCs w:val="20"/>
                <w:color w:val="auto"/>
              </w:rPr>
            </w:pPr>
            <w:r>
              <w:rPr>
                <w:rFonts w:ascii="Calibri" w:cs="Calibri" w:eastAsia="Calibri" w:hAnsi="Calibri"/>
                <w:sz w:val="11"/>
                <w:szCs w:val="11"/>
                <w:color w:val="auto"/>
              </w:rPr>
              <w:t>S-1</w:t>
            </w:r>
          </w:p>
        </w:tc>
        <w:tc>
          <w:tcPr>
            <w:tcW w:w="152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w w:val="99"/>
              </w:rPr>
              <w:t>9/4/2020</w:t>
            </w:r>
          </w:p>
        </w:tc>
        <w:tc>
          <w:tcPr>
            <w:tcW w:w="74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10.5</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40" w:type="dxa"/>
            <w:vAlign w:val="bottom"/>
            <w:tcBorders>
              <w:bottom w:val="single" w:sz="8" w:color="DBDBDB"/>
            </w:tcBorders>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rPr>
              <w:t>10.6#+</w:t>
            </w:r>
          </w:p>
        </w:tc>
        <w:tc>
          <w:tcPr>
            <w:tcW w:w="4100" w:type="dxa"/>
            <w:vAlign w:val="bottom"/>
            <w:tcBorders>
              <w:bottom w:val="single" w:sz="8" w:color="auto"/>
            </w:tcBorders>
            <w:gridSpan w:val="11"/>
            <w:shd w:val="clear" w:color="auto" w:fill="DBDBDB"/>
          </w:tcPr>
          <w:p>
            <w:pPr>
              <w:spacing w:after="0" w:line="117" w:lineRule="exact"/>
              <w:rPr>
                <w:rFonts w:ascii="Calibri" w:cs="Calibri" w:eastAsia="Calibri" w:hAnsi="Calibri"/>
                <w:sz w:val="11"/>
                <w:szCs w:val="11"/>
                <w:color w:val="auto"/>
              </w:rPr>
            </w:pPr>
            <w:hyperlink r:id="rId60">
              <w:r>
                <w:rPr>
                  <w:rFonts w:ascii="Calibri" w:cs="Calibri" w:eastAsia="Calibri" w:hAnsi="Calibri"/>
                  <w:sz w:val="11"/>
                  <w:szCs w:val="11"/>
                  <w:color w:val="auto"/>
                </w:rPr>
                <w:t>Form of RSU Agreement pursuant to the Mission Produce, Inc. 2020 Incentve Award Plan</w:t>
              </w:r>
            </w:hyperlink>
          </w:p>
        </w:tc>
        <w:tc>
          <w:tcPr>
            <w:tcW w:w="2320" w:type="dxa"/>
            <w:vAlign w:val="bottom"/>
            <w:tcBorders>
              <w:bottom w:val="single" w:sz="8" w:color="DBDBDB"/>
            </w:tcBorders>
            <w:gridSpan w:val="13"/>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jc w:val="center"/>
              <w:spacing w:after="0" w:line="117" w:lineRule="exact"/>
              <w:rPr>
                <w:sz w:val="20"/>
                <w:szCs w:val="20"/>
                <w:color w:val="auto"/>
              </w:rPr>
            </w:pPr>
            <w:r>
              <w:rPr>
                <w:rFonts w:ascii="Calibri" w:cs="Calibri" w:eastAsia="Calibri" w:hAnsi="Calibri"/>
                <w:sz w:val="11"/>
                <w:szCs w:val="11"/>
                <w:color w:val="auto"/>
              </w:rPr>
              <w:t>S-1</w:t>
            </w:r>
          </w:p>
        </w:tc>
        <w:tc>
          <w:tcPr>
            <w:tcW w:w="152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w w:val="99"/>
              </w:rPr>
              <w:t>9/4/2020</w:t>
            </w:r>
          </w:p>
        </w:tc>
        <w:tc>
          <w:tcPr>
            <w:tcW w:w="74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10.6</w:t>
            </w:r>
          </w:p>
        </w:tc>
        <w:tc>
          <w:tcPr>
            <w:tcW w:w="102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43"/>
              <w:spacing w:after="0" w:line="117" w:lineRule="exact"/>
              <w:rPr>
                <w:sz w:val="20"/>
                <w:szCs w:val="20"/>
                <w:color w:val="auto"/>
              </w:rPr>
            </w:pPr>
            <w:r>
              <w:rPr>
                <w:rFonts w:ascii="Calibri" w:cs="Calibri" w:eastAsia="Calibri" w:hAnsi="Calibri"/>
                <w:sz w:val="11"/>
                <w:szCs w:val="11"/>
                <w:color w:val="auto"/>
              </w:rPr>
              <w:t>10.7#+</w:t>
            </w:r>
          </w:p>
        </w:tc>
        <w:tc>
          <w:tcPr>
            <w:tcW w:w="6420" w:type="dxa"/>
            <w:vAlign w:val="bottom"/>
            <w:gridSpan w:val="24"/>
          </w:tcPr>
          <w:p>
            <w:pPr>
              <w:spacing w:after="0" w:line="117" w:lineRule="exact"/>
              <w:rPr>
                <w:rFonts w:ascii="Calibri" w:cs="Calibri" w:eastAsia="Calibri" w:hAnsi="Calibri"/>
                <w:sz w:val="11"/>
                <w:szCs w:val="11"/>
                <w:color w:val="auto"/>
              </w:rPr>
            </w:pPr>
            <w:hyperlink r:id="rId61">
              <w:r>
                <w:rPr>
                  <w:rFonts w:ascii="Calibri" w:cs="Calibri" w:eastAsia="Calibri" w:hAnsi="Calibri"/>
                  <w:sz w:val="11"/>
                  <w:szCs w:val="11"/>
                  <w:color w:val="auto"/>
                </w:rPr>
                <w:t>Form of Indemnifcaton Agreement between Mission Produce, Inc. and certain of its directors and ofcers</w:t>
              </w:r>
            </w:hyperlink>
          </w:p>
        </w:tc>
        <w:tc>
          <w:tcPr>
            <w:tcW w:w="640" w:type="dxa"/>
            <w:vAlign w:val="bottom"/>
          </w:tcPr>
          <w:p>
            <w:pPr>
              <w:jc w:val="center"/>
              <w:spacing w:after="0" w:line="117" w:lineRule="exact"/>
              <w:rPr>
                <w:sz w:val="20"/>
                <w:szCs w:val="20"/>
                <w:color w:val="auto"/>
              </w:rPr>
            </w:pPr>
            <w:r>
              <w:rPr>
                <w:rFonts w:ascii="Calibri" w:cs="Calibri" w:eastAsia="Calibri" w:hAnsi="Calibri"/>
                <w:sz w:val="11"/>
                <w:szCs w:val="11"/>
                <w:color w:val="auto"/>
              </w:rPr>
              <w:t>S-1</w:t>
            </w:r>
          </w:p>
        </w:tc>
        <w:tc>
          <w:tcPr>
            <w:tcW w:w="152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w w:val="99"/>
              </w:rPr>
              <w:t>9/4/2020</w:t>
            </w:r>
          </w:p>
        </w:tc>
        <w:tc>
          <w:tcPr>
            <w:tcW w:w="74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10.7</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tcBorders>
              <w:bottom w:val="single" w:sz="8" w:color="DBDBDB"/>
            </w:tcBorders>
            <w:shd w:val="clear" w:color="auto" w:fill="DBDBDB"/>
          </w:tcPr>
          <w:p>
            <w:pPr>
              <w:jc w:val="center"/>
              <w:ind w:right="23"/>
              <w:spacing w:after="0" w:line="117" w:lineRule="exact"/>
              <w:rPr>
                <w:sz w:val="20"/>
                <w:szCs w:val="20"/>
                <w:color w:val="auto"/>
              </w:rPr>
            </w:pPr>
            <w:r>
              <w:rPr>
                <w:rFonts w:ascii="Calibri" w:cs="Calibri" w:eastAsia="Calibri" w:hAnsi="Calibri"/>
                <w:sz w:val="11"/>
                <w:szCs w:val="11"/>
                <w:color w:val="auto"/>
              </w:rPr>
              <w:t>10.8#</w:t>
            </w:r>
          </w:p>
        </w:tc>
        <w:tc>
          <w:tcPr>
            <w:tcW w:w="6240" w:type="dxa"/>
            <w:vAlign w:val="bottom"/>
            <w:tcBorders>
              <w:bottom w:val="single" w:sz="8" w:color="auto"/>
            </w:tcBorders>
            <w:gridSpan w:val="22"/>
            <w:shd w:val="clear" w:color="auto" w:fill="DBDBDB"/>
          </w:tcPr>
          <w:p>
            <w:pPr>
              <w:spacing w:after="0" w:line="117" w:lineRule="exact"/>
              <w:rPr>
                <w:rFonts w:ascii="Calibri" w:cs="Calibri" w:eastAsia="Calibri" w:hAnsi="Calibri"/>
                <w:sz w:val="11"/>
                <w:szCs w:val="11"/>
                <w:color w:val="auto"/>
              </w:rPr>
            </w:pPr>
            <w:hyperlink r:id="rId62">
              <w:r>
                <w:rPr>
                  <w:rFonts w:ascii="Calibri" w:cs="Calibri" w:eastAsia="Calibri" w:hAnsi="Calibri"/>
                  <w:sz w:val="11"/>
                  <w:szCs w:val="11"/>
                  <w:color w:val="auto"/>
                </w:rPr>
                <w:t>Credit Agreement, dated as of October 11, 2018, by and among Mission Produce, Inc., as Borrower, certain subsidiaries of the Borrower</w:t>
              </w:r>
            </w:hyperlink>
          </w:p>
        </w:tc>
        <w:tc>
          <w:tcPr>
            <w:tcW w:w="180" w:type="dxa"/>
            <w:vAlign w:val="bottom"/>
            <w:tcBorders>
              <w:bottom w:val="single" w:sz="8" w:color="DBDBDB"/>
            </w:tcBorders>
            <w:gridSpan w:val="2"/>
            <w:shd w:val="clear" w:color="auto" w:fill="DBDBDB"/>
          </w:tcPr>
          <w:p>
            <w:pPr>
              <w:spacing w:after="0"/>
              <w:rPr>
                <w:sz w:val="10"/>
                <w:szCs w:val="10"/>
                <w:color w:val="auto"/>
              </w:rPr>
            </w:pPr>
          </w:p>
        </w:tc>
        <w:tc>
          <w:tcPr>
            <w:tcW w:w="640" w:type="dxa"/>
            <w:vAlign w:val="bottom"/>
            <w:tcBorders>
              <w:bottom w:val="single" w:sz="8" w:color="DBDBDB"/>
            </w:tcBorders>
            <w:shd w:val="clear" w:color="auto" w:fill="DBDBDB"/>
          </w:tcPr>
          <w:p>
            <w:pPr>
              <w:jc w:val="center"/>
              <w:spacing w:after="0" w:line="117" w:lineRule="exact"/>
              <w:rPr>
                <w:sz w:val="20"/>
                <w:szCs w:val="20"/>
                <w:color w:val="auto"/>
              </w:rPr>
            </w:pPr>
            <w:r>
              <w:rPr>
                <w:rFonts w:ascii="Calibri" w:cs="Calibri" w:eastAsia="Calibri" w:hAnsi="Calibri"/>
                <w:sz w:val="11"/>
                <w:szCs w:val="11"/>
                <w:color w:val="auto"/>
              </w:rPr>
              <w:t>S-1</w:t>
            </w:r>
          </w:p>
        </w:tc>
        <w:tc>
          <w:tcPr>
            <w:tcW w:w="152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w w:val="99"/>
              </w:rPr>
              <w:t>9/4/2020</w:t>
            </w:r>
          </w:p>
        </w:tc>
        <w:tc>
          <w:tcPr>
            <w:tcW w:w="74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10.8</w:t>
            </w:r>
          </w:p>
        </w:tc>
        <w:tc>
          <w:tcPr>
            <w:tcW w:w="1020" w:type="dxa"/>
            <w:vAlign w:val="bottom"/>
            <w:tcBorders>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tcBorders>
              <w:bottom w:val="single" w:sz="8" w:color="DBDBDB"/>
            </w:tcBorders>
            <w:shd w:val="clear" w:color="auto" w:fill="DBDBDB"/>
          </w:tcPr>
          <w:p>
            <w:pPr>
              <w:spacing w:after="0"/>
              <w:rPr>
                <w:sz w:val="10"/>
                <w:szCs w:val="10"/>
                <w:color w:val="auto"/>
              </w:rPr>
            </w:pPr>
          </w:p>
        </w:tc>
        <w:tc>
          <w:tcPr>
            <w:tcW w:w="6120" w:type="dxa"/>
            <w:vAlign w:val="bottom"/>
            <w:tcBorders>
              <w:bottom w:val="single" w:sz="8" w:color="auto"/>
            </w:tcBorders>
            <w:gridSpan w:val="20"/>
            <w:shd w:val="clear" w:color="auto" w:fill="DBDBDB"/>
          </w:tcPr>
          <w:p>
            <w:pPr>
              <w:spacing w:after="0" w:line="118" w:lineRule="exact"/>
              <w:rPr>
                <w:rFonts w:ascii="Calibri" w:cs="Calibri" w:eastAsia="Calibri" w:hAnsi="Calibri"/>
                <w:sz w:val="11"/>
                <w:szCs w:val="11"/>
                <w:color w:val="auto"/>
              </w:rPr>
            </w:pPr>
            <w:hyperlink r:id="rId62">
              <w:r>
                <w:rPr>
                  <w:rFonts w:ascii="Calibri" w:cs="Calibri" w:eastAsia="Calibri" w:hAnsi="Calibri"/>
                  <w:sz w:val="11"/>
                  <w:szCs w:val="11"/>
                  <w:color w:val="auto"/>
                </w:rPr>
                <w:t>party thereto as guarantors, Bank of America, N.A. as administratve agent, Swingline Lender and L/C Issuer, Farm Credit West, PCA as</w:t>
              </w:r>
            </w:hyperlink>
          </w:p>
        </w:tc>
        <w:tc>
          <w:tcPr>
            <w:tcW w:w="300" w:type="dxa"/>
            <w:vAlign w:val="bottom"/>
            <w:tcBorders>
              <w:bottom w:val="single" w:sz="8" w:color="DBDBDB"/>
            </w:tcBorders>
            <w:gridSpan w:val="4"/>
            <w:shd w:val="clear" w:color="auto" w:fill="DBDBDB"/>
          </w:tcPr>
          <w:p>
            <w:pPr>
              <w:spacing w:after="0"/>
              <w:rPr>
                <w:sz w:val="10"/>
                <w:szCs w:val="10"/>
                <w:color w:val="auto"/>
              </w:rPr>
            </w:pPr>
          </w:p>
        </w:tc>
        <w:tc>
          <w:tcPr>
            <w:tcW w:w="640" w:type="dxa"/>
            <w:vAlign w:val="bottom"/>
            <w:tcBorders>
              <w:bottom w:val="single" w:sz="8" w:color="DBDBDB"/>
            </w:tcBorders>
            <w:shd w:val="clear" w:color="auto" w:fill="DBDBDB"/>
          </w:tcPr>
          <w:p>
            <w:pPr>
              <w:spacing w:after="0"/>
              <w:rPr>
                <w:sz w:val="10"/>
                <w:szCs w:val="10"/>
                <w:color w:val="auto"/>
              </w:rPr>
            </w:pPr>
          </w:p>
        </w:tc>
        <w:tc>
          <w:tcPr>
            <w:tcW w:w="1520" w:type="dxa"/>
            <w:vAlign w:val="bottom"/>
            <w:tcBorders>
              <w:bottom w:val="single" w:sz="8" w:color="DBDBDB"/>
            </w:tcBorders>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shd w:val="clear" w:color="auto" w:fill="DBDBDB"/>
          </w:tcPr>
          <w:p>
            <w:pPr>
              <w:spacing w:after="0"/>
              <w:rPr>
                <w:sz w:val="10"/>
                <w:szCs w:val="10"/>
                <w:color w:val="auto"/>
              </w:rPr>
            </w:pPr>
          </w:p>
        </w:tc>
        <w:tc>
          <w:tcPr>
            <w:tcW w:w="6420" w:type="dxa"/>
            <w:vAlign w:val="bottom"/>
            <w:gridSpan w:val="24"/>
            <w:shd w:val="clear" w:color="auto" w:fill="DBDBDB"/>
          </w:tcPr>
          <w:p>
            <w:pPr>
              <w:spacing w:after="0" w:line="118" w:lineRule="exact"/>
              <w:rPr>
                <w:rFonts w:ascii="Calibri" w:cs="Calibri" w:eastAsia="Calibri" w:hAnsi="Calibri"/>
                <w:sz w:val="11"/>
                <w:szCs w:val="11"/>
                <w:color w:val="auto"/>
              </w:rPr>
            </w:pPr>
            <w:hyperlink r:id="rId62">
              <w:r>
                <w:rPr>
                  <w:rFonts w:ascii="Calibri" w:cs="Calibri" w:eastAsia="Calibri" w:hAnsi="Calibri"/>
                  <w:sz w:val="11"/>
                  <w:szCs w:val="11"/>
                  <w:color w:val="auto"/>
                </w:rPr>
                <w:t>Syndicaton Agent, City Natonal Bank and J.P. Morgan Chase Bank, N.A. as co-documentaton agents, Merrill Lynch, Pierce, Fenner &amp;</w:t>
              </w:r>
            </w:hyperlink>
          </w:p>
        </w:tc>
        <w:tc>
          <w:tcPr>
            <w:tcW w:w="640" w:type="dxa"/>
            <w:vAlign w:val="bottom"/>
            <w:shd w:val="clear" w:color="auto" w:fill="DBDBDB"/>
          </w:tcPr>
          <w:p>
            <w:pPr>
              <w:spacing w:after="0"/>
              <w:rPr>
                <w:sz w:val="10"/>
                <w:szCs w:val="10"/>
                <w:color w:val="auto"/>
              </w:rPr>
            </w:pPr>
          </w:p>
        </w:tc>
        <w:tc>
          <w:tcPr>
            <w:tcW w:w="15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940" w:type="dxa"/>
            <w:vAlign w:val="bottom"/>
            <w:tcBorders>
              <w:top w:val="single" w:sz="8" w:color="DBDBDB"/>
              <w:bottom w:val="single" w:sz="8" w:color="DBDBDB"/>
            </w:tcBorders>
            <w:shd w:val="clear" w:color="auto" w:fill="DBDBDB"/>
          </w:tcPr>
          <w:p>
            <w:pPr>
              <w:spacing w:after="0"/>
              <w:rPr>
                <w:sz w:val="13"/>
                <w:szCs w:val="13"/>
                <w:color w:val="auto"/>
              </w:rPr>
            </w:pPr>
          </w:p>
        </w:tc>
        <w:tc>
          <w:tcPr>
            <w:tcW w:w="5740" w:type="dxa"/>
            <w:vAlign w:val="bottom"/>
            <w:tcBorders>
              <w:top w:val="single" w:sz="8" w:color="auto"/>
              <w:bottom w:val="single" w:sz="8" w:color="auto"/>
            </w:tcBorders>
            <w:gridSpan w:val="16"/>
            <w:shd w:val="clear" w:color="auto" w:fill="DBDBDB"/>
          </w:tcPr>
          <w:p>
            <w:pPr>
              <w:spacing w:after="0" w:line="107" w:lineRule="exact"/>
              <w:rPr>
                <w:rFonts w:ascii="Calibri" w:cs="Calibri" w:eastAsia="Calibri" w:hAnsi="Calibri"/>
                <w:sz w:val="11"/>
                <w:szCs w:val="11"/>
                <w:color w:val="auto"/>
              </w:rPr>
            </w:pPr>
            <w:hyperlink r:id="rId62">
              <w:r>
                <w:rPr>
                  <w:rFonts w:ascii="Calibri" w:cs="Calibri" w:eastAsia="Calibri" w:hAnsi="Calibri"/>
                  <w:sz w:val="11"/>
                  <w:szCs w:val="11"/>
                  <w:color w:val="auto"/>
                </w:rPr>
                <w:t>Smith Incorporated and Farm Credit West, PCA as joint lead arrangers and joint bookrunners, and other lenders party thereto</w:t>
              </w:r>
            </w:hyperlink>
          </w:p>
        </w:tc>
        <w:tc>
          <w:tcPr>
            <w:tcW w:w="320" w:type="dxa"/>
            <w:vAlign w:val="bottom"/>
            <w:tcBorders>
              <w:top w:val="single" w:sz="8" w:color="auto"/>
              <w:bottom w:val="single" w:sz="8" w:color="DBDBDB"/>
            </w:tcBorders>
            <w:gridSpan w:val="3"/>
            <w:shd w:val="clear" w:color="auto" w:fill="DBDBDB"/>
          </w:tcPr>
          <w:p>
            <w:pPr>
              <w:spacing w:after="0"/>
              <w:rPr>
                <w:sz w:val="13"/>
                <w:szCs w:val="13"/>
                <w:color w:val="auto"/>
              </w:rPr>
            </w:pPr>
          </w:p>
        </w:tc>
        <w:tc>
          <w:tcPr>
            <w:tcW w:w="60" w:type="dxa"/>
            <w:vAlign w:val="bottom"/>
            <w:tcBorders>
              <w:top w:val="single" w:sz="8" w:color="DBDBDB"/>
              <w:bottom w:val="single" w:sz="8" w:color="DBDBDB"/>
            </w:tcBorders>
            <w:shd w:val="clear" w:color="auto" w:fill="DBDBDB"/>
          </w:tcPr>
          <w:p>
            <w:pPr>
              <w:spacing w:after="0"/>
              <w:rPr>
                <w:sz w:val="13"/>
                <w:szCs w:val="13"/>
                <w:color w:val="auto"/>
              </w:rPr>
            </w:pPr>
          </w:p>
        </w:tc>
        <w:tc>
          <w:tcPr>
            <w:tcW w:w="40" w:type="dxa"/>
            <w:vAlign w:val="bottom"/>
            <w:tcBorders>
              <w:top w:val="single" w:sz="8" w:color="DBDBDB"/>
              <w:bottom w:val="single" w:sz="8" w:color="DBDBDB"/>
            </w:tcBorders>
            <w:shd w:val="clear" w:color="auto" w:fill="DBDBDB"/>
          </w:tcPr>
          <w:p>
            <w:pPr>
              <w:spacing w:after="0"/>
              <w:rPr>
                <w:sz w:val="13"/>
                <w:szCs w:val="13"/>
                <w:color w:val="auto"/>
              </w:rPr>
            </w:pPr>
          </w:p>
        </w:tc>
        <w:tc>
          <w:tcPr>
            <w:tcW w:w="120" w:type="dxa"/>
            <w:vAlign w:val="bottom"/>
            <w:tcBorders>
              <w:top w:val="single" w:sz="8" w:color="DBDBDB"/>
              <w:bottom w:val="single" w:sz="8" w:color="DBDBDB"/>
            </w:tcBorders>
            <w:gridSpan w:val="2"/>
            <w:shd w:val="clear" w:color="auto" w:fill="DBDBDB"/>
          </w:tcPr>
          <w:p>
            <w:pPr>
              <w:spacing w:after="0"/>
              <w:rPr>
                <w:sz w:val="13"/>
                <w:szCs w:val="13"/>
                <w:color w:val="auto"/>
              </w:rPr>
            </w:pPr>
          </w:p>
        </w:tc>
        <w:tc>
          <w:tcPr>
            <w:tcW w:w="140" w:type="dxa"/>
            <w:vAlign w:val="bottom"/>
            <w:tcBorders>
              <w:top w:val="single" w:sz="8" w:color="DBDBDB"/>
              <w:bottom w:val="single" w:sz="8" w:color="DBDBDB"/>
            </w:tcBorders>
            <w:shd w:val="clear" w:color="auto" w:fill="DBDBDB"/>
          </w:tcPr>
          <w:p>
            <w:pPr>
              <w:spacing w:after="0"/>
              <w:rPr>
                <w:sz w:val="13"/>
                <w:szCs w:val="13"/>
                <w:color w:val="auto"/>
              </w:rPr>
            </w:pPr>
          </w:p>
        </w:tc>
        <w:tc>
          <w:tcPr>
            <w:tcW w:w="640" w:type="dxa"/>
            <w:vAlign w:val="bottom"/>
            <w:tcBorders>
              <w:top w:val="single" w:sz="8" w:color="DBDBDB"/>
              <w:bottom w:val="single" w:sz="8" w:color="DBDBDB"/>
            </w:tcBorders>
            <w:shd w:val="clear" w:color="auto" w:fill="DBDBDB"/>
          </w:tcPr>
          <w:p>
            <w:pPr>
              <w:spacing w:after="0"/>
              <w:rPr>
                <w:sz w:val="13"/>
                <w:szCs w:val="13"/>
                <w:color w:val="auto"/>
              </w:rPr>
            </w:pPr>
          </w:p>
        </w:tc>
        <w:tc>
          <w:tcPr>
            <w:tcW w:w="1520" w:type="dxa"/>
            <w:vAlign w:val="bottom"/>
            <w:tcBorders>
              <w:top w:val="single" w:sz="8" w:color="DBDBDB"/>
              <w:bottom w:val="single" w:sz="8" w:color="DBDBDB"/>
            </w:tcBorders>
            <w:shd w:val="clear" w:color="auto" w:fill="DBDBDB"/>
          </w:tcPr>
          <w:p>
            <w:pPr>
              <w:spacing w:after="0"/>
              <w:rPr>
                <w:sz w:val="13"/>
                <w:szCs w:val="13"/>
                <w:color w:val="auto"/>
              </w:rPr>
            </w:pPr>
          </w:p>
        </w:tc>
        <w:tc>
          <w:tcPr>
            <w:tcW w:w="740" w:type="dxa"/>
            <w:vAlign w:val="bottom"/>
            <w:tcBorders>
              <w:top w:val="single" w:sz="8" w:color="DBDBDB"/>
              <w:bottom w:val="single" w:sz="8" w:color="DBDBDB"/>
            </w:tcBorders>
            <w:shd w:val="clear" w:color="auto" w:fill="DBDBDB"/>
          </w:tcPr>
          <w:p>
            <w:pPr>
              <w:spacing w:after="0"/>
              <w:rPr>
                <w:sz w:val="13"/>
                <w:szCs w:val="13"/>
                <w:color w:val="auto"/>
              </w:rPr>
            </w:pPr>
          </w:p>
        </w:tc>
        <w:tc>
          <w:tcPr>
            <w:tcW w:w="1020" w:type="dxa"/>
            <w:vAlign w:val="bottom"/>
            <w:tcBorders>
              <w:top w:val="single" w:sz="8" w:color="DBDBDB"/>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23"/>
              <w:spacing w:after="0" w:line="117" w:lineRule="exact"/>
              <w:rPr>
                <w:sz w:val="20"/>
                <w:szCs w:val="20"/>
                <w:color w:val="auto"/>
              </w:rPr>
            </w:pPr>
            <w:r>
              <w:rPr>
                <w:rFonts w:ascii="Calibri" w:cs="Calibri" w:eastAsia="Calibri" w:hAnsi="Calibri"/>
                <w:sz w:val="11"/>
                <w:szCs w:val="11"/>
                <w:color w:val="auto"/>
              </w:rPr>
              <w:t>10.9#</w:t>
            </w:r>
          </w:p>
        </w:tc>
        <w:tc>
          <w:tcPr>
            <w:tcW w:w="5980" w:type="dxa"/>
            <w:vAlign w:val="bottom"/>
            <w:tcBorders>
              <w:bottom w:val="single" w:sz="8" w:color="auto"/>
            </w:tcBorders>
            <w:gridSpan w:val="18"/>
          </w:tcPr>
          <w:p>
            <w:pPr>
              <w:spacing w:after="0" w:line="117" w:lineRule="exact"/>
              <w:rPr>
                <w:rFonts w:ascii="Calibri" w:cs="Calibri" w:eastAsia="Calibri" w:hAnsi="Calibri"/>
                <w:sz w:val="11"/>
                <w:szCs w:val="11"/>
                <w:color w:val="auto"/>
              </w:rPr>
            </w:pPr>
            <w:hyperlink r:id="rId63">
              <w:r>
                <w:rPr>
                  <w:rFonts w:ascii="Calibri" w:cs="Calibri" w:eastAsia="Calibri" w:hAnsi="Calibri"/>
                  <w:sz w:val="11"/>
                  <w:szCs w:val="11"/>
                  <w:color w:val="auto"/>
                </w:rPr>
                <w:t>First Amendment to Credit Agreement and Consent, dated September 18, 2020, by and among Mission Produce, Inc., as Borrower,</w:t>
              </w:r>
            </w:hyperlink>
          </w:p>
        </w:tc>
        <w:tc>
          <w:tcPr>
            <w:tcW w:w="440" w:type="dxa"/>
            <w:vAlign w:val="bottom"/>
            <w:gridSpan w:val="6"/>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Calibri" w:cs="Calibri" w:eastAsia="Calibri" w:hAnsi="Calibri"/>
                <w:sz w:val="11"/>
                <w:szCs w:val="11"/>
                <w:color w:val="auto"/>
                <w:w w:val="97"/>
              </w:rPr>
              <w:t>S-1/A</w:t>
            </w:r>
          </w:p>
        </w:tc>
        <w:tc>
          <w:tcPr>
            <w:tcW w:w="152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9/22/2020</w:t>
            </w:r>
          </w:p>
        </w:tc>
        <w:tc>
          <w:tcPr>
            <w:tcW w:w="74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10.9</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6280" w:type="dxa"/>
            <w:vAlign w:val="bottom"/>
            <w:tcBorders>
              <w:bottom w:val="single" w:sz="8" w:color="auto"/>
            </w:tcBorders>
            <w:gridSpan w:val="23"/>
          </w:tcPr>
          <w:p>
            <w:pPr>
              <w:spacing w:after="0" w:line="118" w:lineRule="exact"/>
              <w:rPr>
                <w:rFonts w:ascii="Calibri" w:cs="Calibri" w:eastAsia="Calibri" w:hAnsi="Calibri"/>
                <w:sz w:val="11"/>
                <w:szCs w:val="11"/>
                <w:color w:val="auto"/>
              </w:rPr>
            </w:pPr>
            <w:hyperlink r:id="rId63">
              <w:r>
                <w:rPr>
                  <w:rFonts w:ascii="Calibri" w:cs="Calibri" w:eastAsia="Calibri" w:hAnsi="Calibri"/>
                  <w:sz w:val="11"/>
                  <w:szCs w:val="11"/>
                  <w:color w:val="auto"/>
                </w:rPr>
                <w:t>certain subsidiaries of the Borrower party thereto as guarantors, Bank of America, N.A. as administratve agent, Swingline Lender and L/C</w:t>
              </w:r>
            </w:hyperlink>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6420" w:type="dxa"/>
            <w:vAlign w:val="bottom"/>
            <w:gridSpan w:val="24"/>
          </w:tcPr>
          <w:p>
            <w:pPr>
              <w:spacing w:after="0" w:line="118" w:lineRule="exact"/>
              <w:rPr>
                <w:rFonts w:ascii="Calibri" w:cs="Calibri" w:eastAsia="Calibri" w:hAnsi="Calibri"/>
                <w:sz w:val="11"/>
                <w:szCs w:val="11"/>
                <w:color w:val="auto"/>
              </w:rPr>
            </w:pPr>
            <w:hyperlink r:id="rId63">
              <w:r>
                <w:rPr>
                  <w:rFonts w:ascii="Calibri" w:cs="Calibri" w:eastAsia="Calibri" w:hAnsi="Calibri"/>
                  <w:sz w:val="11"/>
                  <w:szCs w:val="11"/>
                  <w:color w:val="auto"/>
                </w:rPr>
                <w:t>Issuer, Farm Credit West, PCA as Syndicaton Agent, City Natonal Bank and J.P. Morgan Chase Bank, N.A. as co-documentaton agents,</w:t>
              </w:r>
            </w:hyperlink>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6120" w:type="dxa"/>
            <w:vAlign w:val="bottom"/>
            <w:tcBorders>
              <w:top w:val="single" w:sz="8" w:color="auto"/>
              <w:bottom w:val="single" w:sz="8" w:color="auto"/>
            </w:tcBorders>
            <w:gridSpan w:val="20"/>
          </w:tcPr>
          <w:p>
            <w:pPr>
              <w:spacing w:after="0" w:line="107" w:lineRule="exact"/>
              <w:rPr>
                <w:rFonts w:ascii="Calibri" w:cs="Calibri" w:eastAsia="Calibri" w:hAnsi="Calibri"/>
                <w:sz w:val="11"/>
                <w:szCs w:val="11"/>
                <w:color w:val="auto"/>
              </w:rPr>
            </w:pPr>
            <w:hyperlink r:id="rId63">
              <w:r>
                <w:rPr>
                  <w:rFonts w:ascii="Calibri" w:cs="Calibri" w:eastAsia="Calibri" w:hAnsi="Calibri"/>
                  <w:sz w:val="11"/>
                  <w:szCs w:val="11"/>
                  <w:color w:val="auto"/>
                </w:rPr>
                <w:t>Merrill Lynch, Pierce, Fenner &amp; Smith Incorporated and Farm Credit West, PCA as joint lead arrangers and joint bookrunners, and other</w:t>
              </w:r>
            </w:hyperlink>
          </w:p>
        </w:tc>
        <w:tc>
          <w:tcPr>
            <w:tcW w:w="40" w:type="dxa"/>
            <w:vAlign w:val="bottom"/>
            <w:tcBorders>
              <w:bottom w:val="single" w:sz="8" w:color="auto"/>
            </w:tcBorders>
          </w:tcPr>
          <w:p>
            <w:pPr>
              <w:spacing w:after="0"/>
              <w:rPr>
                <w:sz w:val="9"/>
                <w:szCs w:val="9"/>
                <w:color w:val="auto"/>
              </w:rPr>
            </w:pPr>
          </w:p>
        </w:tc>
        <w:tc>
          <w:tcPr>
            <w:tcW w:w="260" w:type="dxa"/>
            <w:vAlign w:val="bottom"/>
            <w:gridSpan w:val="3"/>
          </w:tcPr>
          <w:p>
            <w:pPr>
              <w:spacing w:after="0"/>
              <w:rPr>
                <w:sz w:val="9"/>
                <w:szCs w:val="9"/>
                <w:color w:val="auto"/>
              </w:rPr>
            </w:pPr>
          </w:p>
        </w:tc>
        <w:tc>
          <w:tcPr>
            <w:tcW w:w="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6420" w:type="dxa"/>
            <w:vAlign w:val="bottom"/>
            <w:gridSpan w:val="24"/>
          </w:tcPr>
          <w:p>
            <w:pPr>
              <w:spacing w:after="0" w:line="118" w:lineRule="exact"/>
              <w:rPr>
                <w:rFonts w:ascii="Calibri" w:cs="Calibri" w:eastAsia="Calibri" w:hAnsi="Calibri"/>
                <w:sz w:val="11"/>
                <w:szCs w:val="11"/>
                <w:color w:val="auto"/>
              </w:rPr>
            </w:pPr>
            <w:hyperlink r:id="rId63">
              <w:r>
                <w:rPr>
                  <w:rFonts w:ascii="Calibri" w:cs="Calibri" w:eastAsia="Calibri" w:hAnsi="Calibri"/>
                  <w:sz w:val="11"/>
                  <w:szCs w:val="11"/>
                  <w:color w:val="auto"/>
                </w:rPr>
                <w:t>lenders party thereto</w:t>
              </w:r>
            </w:hyperlink>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40" w:type="dxa"/>
            <w:vAlign w:val="bottom"/>
            <w:tcBorders>
              <w:bottom w:val="single" w:sz="8" w:color="DBDBDB"/>
            </w:tcBorders>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rPr>
              <w:t>10.10#</w:t>
            </w:r>
          </w:p>
        </w:tc>
        <w:tc>
          <w:tcPr>
            <w:tcW w:w="5860" w:type="dxa"/>
            <w:vAlign w:val="bottom"/>
            <w:tcBorders>
              <w:bottom w:val="single" w:sz="8" w:color="auto"/>
            </w:tcBorders>
            <w:gridSpan w:val="17"/>
            <w:shd w:val="clear" w:color="auto" w:fill="DBDBDB"/>
          </w:tcPr>
          <w:p>
            <w:pPr>
              <w:spacing w:after="0" w:line="117" w:lineRule="exact"/>
              <w:rPr>
                <w:rFonts w:ascii="Calibri" w:cs="Calibri" w:eastAsia="Calibri" w:hAnsi="Calibri"/>
                <w:sz w:val="11"/>
                <w:szCs w:val="11"/>
                <w:color w:val="auto"/>
              </w:rPr>
            </w:pPr>
            <w:hyperlink r:id="rId64">
              <w:r>
                <w:rPr>
                  <w:rFonts w:ascii="Calibri" w:cs="Calibri" w:eastAsia="Calibri" w:hAnsi="Calibri"/>
                  <w:sz w:val="11"/>
                  <w:szCs w:val="11"/>
                  <w:color w:val="auto"/>
                </w:rPr>
                <w:t>Form of Amended and Restated Stockholder Agreement, by and among Mission Produce, Inc. and the stockholder party thereto</w:t>
              </w:r>
            </w:hyperlink>
          </w:p>
        </w:tc>
        <w:tc>
          <w:tcPr>
            <w:tcW w:w="560" w:type="dxa"/>
            <w:vAlign w:val="bottom"/>
            <w:tcBorders>
              <w:bottom w:val="single" w:sz="8" w:color="DBDBDB"/>
            </w:tcBorders>
            <w:gridSpan w:val="7"/>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jc w:val="center"/>
              <w:spacing w:after="0" w:line="117" w:lineRule="exact"/>
              <w:rPr>
                <w:sz w:val="20"/>
                <w:szCs w:val="20"/>
                <w:color w:val="auto"/>
              </w:rPr>
            </w:pPr>
            <w:r>
              <w:rPr>
                <w:rFonts w:ascii="Calibri" w:cs="Calibri" w:eastAsia="Calibri" w:hAnsi="Calibri"/>
                <w:sz w:val="11"/>
                <w:szCs w:val="11"/>
                <w:color w:val="auto"/>
                <w:w w:val="97"/>
              </w:rPr>
              <w:t>S-1/A</w:t>
            </w:r>
          </w:p>
        </w:tc>
        <w:tc>
          <w:tcPr>
            <w:tcW w:w="152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9/22/2020</w:t>
            </w:r>
          </w:p>
        </w:tc>
        <w:tc>
          <w:tcPr>
            <w:tcW w:w="74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w w:val="95"/>
              </w:rPr>
              <w:t>10.10</w:t>
            </w:r>
          </w:p>
        </w:tc>
        <w:tc>
          <w:tcPr>
            <w:tcW w:w="102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43"/>
              <w:spacing w:after="0" w:line="117" w:lineRule="exact"/>
              <w:rPr>
                <w:sz w:val="20"/>
                <w:szCs w:val="20"/>
                <w:color w:val="auto"/>
              </w:rPr>
            </w:pPr>
            <w:r>
              <w:rPr>
                <w:rFonts w:ascii="Calibri" w:cs="Calibri" w:eastAsia="Calibri" w:hAnsi="Calibri"/>
                <w:sz w:val="11"/>
                <w:szCs w:val="11"/>
                <w:color w:val="auto"/>
              </w:rPr>
              <w:t>10.11#</w:t>
            </w:r>
          </w:p>
        </w:tc>
        <w:tc>
          <w:tcPr>
            <w:tcW w:w="6420" w:type="dxa"/>
            <w:vAlign w:val="bottom"/>
            <w:gridSpan w:val="24"/>
          </w:tcPr>
          <w:p>
            <w:pPr>
              <w:spacing w:after="0" w:line="117" w:lineRule="exact"/>
              <w:rPr>
                <w:rFonts w:ascii="Calibri" w:cs="Calibri" w:eastAsia="Calibri" w:hAnsi="Calibri"/>
                <w:sz w:val="11"/>
                <w:szCs w:val="11"/>
                <w:color w:val="auto"/>
              </w:rPr>
            </w:pPr>
            <w:hyperlink r:id="rId65">
              <w:r>
                <w:rPr>
                  <w:rFonts w:ascii="Calibri" w:cs="Calibri" w:eastAsia="Calibri" w:hAnsi="Calibri"/>
                  <w:sz w:val="11"/>
                  <w:szCs w:val="11"/>
                  <w:color w:val="auto"/>
                </w:rPr>
                <w:t>Corporate Headquarters Lease Agreement</w:t>
              </w:r>
            </w:hyperlink>
          </w:p>
        </w:tc>
        <w:tc>
          <w:tcPr>
            <w:tcW w:w="640" w:type="dxa"/>
            <w:vAlign w:val="bottom"/>
          </w:tcPr>
          <w:p>
            <w:pPr>
              <w:jc w:val="center"/>
              <w:spacing w:after="0" w:line="117" w:lineRule="exact"/>
              <w:rPr>
                <w:sz w:val="20"/>
                <w:szCs w:val="20"/>
                <w:color w:val="auto"/>
              </w:rPr>
            </w:pPr>
            <w:r>
              <w:rPr>
                <w:rFonts w:ascii="Calibri" w:cs="Calibri" w:eastAsia="Calibri" w:hAnsi="Calibri"/>
                <w:sz w:val="11"/>
                <w:szCs w:val="11"/>
                <w:color w:val="auto"/>
                <w:w w:val="98"/>
              </w:rPr>
              <w:t>10-K</w:t>
            </w:r>
          </w:p>
        </w:tc>
        <w:tc>
          <w:tcPr>
            <w:tcW w:w="152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1/19/2021</w:t>
            </w:r>
          </w:p>
        </w:tc>
        <w:tc>
          <w:tcPr>
            <w:tcW w:w="74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w w:val="95"/>
              </w:rPr>
              <w:t>10.11</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40" w:type="dxa"/>
            <w:vAlign w:val="bottom"/>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w w:val="99"/>
              </w:rPr>
              <w:t>10.13#+</w:t>
            </w:r>
          </w:p>
        </w:tc>
        <w:tc>
          <w:tcPr>
            <w:tcW w:w="6420" w:type="dxa"/>
            <w:vAlign w:val="bottom"/>
            <w:gridSpan w:val="24"/>
            <w:shd w:val="clear" w:color="auto" w:fill="DBDBDB"/>
          </w:tcPr>
          <w:p>
            <w:pPr>
              <w:spacing w:after="0" w:line="117" w:lineRule="exact"/>
              <w:rPr>
                <w:rFonts w:ascii="Calibri" w:cs="Calibri" w:eastAsia="Calibri" w:hAnsi="Calibri"/>
                <w:sz w:val="11"/>
                <w:szCs w:val="11"/>
                <w:color w:val="auto"/>
              </w:rPr>
            </w:pPr>
            <w:hyperlink r:id="rId66">
              <w:r>
                <w:rPr>
                  <w:rFonts w:ascii="Calibri" w:cs="Calibri" w:eastAsia="Calibri" w:hAnsi="Calibri"/>
                  <w:sz w:val="11"/>
                  <w:szCs w:val="11"/>
                  <w:color w:val="auto"/>
                </w:rPr>
                <w:t>Mission Produce Deferred Compensaton Plan</w:t>
              </w:r>
            </w:hyperlink>
          </w:p>
        </w:tc>
        <w:tc>
          <w:tcPr>
            <w:tcW w:w="640" w:type="dxa"/>
            <w:vAlign w:val="bottom"/>
            <w:shd w:val="clear" w:color="auto" w:fill="DBDBDB"/>
          </w:tcPr>
          <w:p>
            <w:pPr>
              <w:jc w:val="center"/>
              <w:spacing w:after="0" w:line="117" w:lineRule="exact"/>
              <w:rPr>
                <w:sz w:val="20"/>
                <w:szCs w:val="20"/>
                <w:color w:val="auto"/>
              </w:rPr>
            </w:pPr>
            <w:r>
              <w:rPr>
                <w:rFonts w:ascii="Calibri" w:cs="Calibri" w:eastAsia="Calibri" w:hAnsi="Calibri"/>
                <w:sz w:val="11"/>
                <w:szCs w:val="11"/>
                <w:color w:val="auto"/>
                <w:w w:val="98"/>
              </w:rPr>
              <w:t>10-K</w:t>
            </w:r>
          </w:p>
        </w:tc>
        <w:tc>
          <w:tcPr>
            <w:tcW w:w="1520" w:type="dxa"/>
            <w:vAlign w:val="bottom"/>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12/22/2021</w:t>
            </w:r>
          </w:p>
        </w:tc>
        <w:tc>
          <w:tcPr>
            <w:tcW w:w="740" w:type="dxa"/>
            <w:vAlign w:val="bottom"/>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w w:val="95"/>
              </w:rPr>
              <w:t>10.13</w:t>
            </w:r>
          </w:p>
        </w:tc>
        <w:tc>
          <w:tcPr>
            <w:tcW w:w="10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Borders>
              <w:top w:val="single" w:sz="8" w:color="DBDBDB"/>
            </w:tcBorders>
          </w:tcPr>
          <w:p>
            <w:pPr>
              <w:jc w:val="center"/>
              <w:ind w:right="43"/>
              <w:spacing w:after="0" w:line="117" w:lineRule="exact"/>
              <w:rPr>
                <w:sz w:val="20"/>
                <w:szCs w:val="20"/>
                <w:color w:val="auto"/>
              </w:rPr>
            </w:pPr>
            <w:r>
              <w:rPr>
                <w:rFonts w:ascii="Calibri" w:cs="Calibri" w:eastAsia="Calibri" w:hAnsi="Calibri"/>
                <w:sz w:val="11"/>
                <w:szCs w:val="11"/>
                <w:color w:val="auto"/>
                <w:w w:val="99"/>
              </w:rPr>
              <w:t>10.14#+</w:t>
            </w:r>
          </w:p>
        </w:tc>
        <w:tc>
          <w:tcPr>
            <w:tcW w:w="2100" w:type="dxa"/>
            <w:vAlign w:val="bottom"/>
            <w:tcBorders>
              <w:top w:val="single" w:sz="8" w:color="auto"/>
            </w:tcBorders>
            <w:gridSpan w:val="7"/>
          </w:tcPr>
          <w:p>
            <w:pPr>
              <w:spacing w:after="0" w:line="117" w:lineRule="exact"/>
              <w:rPr>
                <w:rFonts w:ascii="Calibri" w:cs="Calibri" w:eastAsia="Calibri" w:hAnsi="Calibri"/>
                <w:sz w:val="11"/>
                <w:szCs w:val="11"/>
                <w:color w:val="auto"/>
              </w:rPr>
            </w:pPr>
            <w:hyperlink r:id="rId67">
              <w:r>
                <w:rPr>
                  <w:rFonts w:ascii="Calibri" w:cs="Calibri" w:eastAsia="Calibri" w:hAnsi="Calibri"/>
                  <w:sz w:val="11"/>
                  <w:szCs w:val="11"/>
                  <w:color w:val="auto"/>
                </w:rPr>
                <w:t>Director Equity Deferral Plan</w:t>
              </w:r>
            </w:hyperlink>
          </w:p>
        </w:tc>
        <w:tc>
          <w:tcPr>
            <w:tcW w:w="4320" w:type="dxa"/>
            <w:vAlign w:val="bottom"/>
            <w:tcBorders>
              <w:top w:val="single" w:sz="8" w:color="DBDBDB"/>
            </w:tcBorders>
            <w:gridSpan w:val="17"/>
          </w:tcPr>
          <w:p>
            <w:pPr>
              <w:spacing w:after="0"/>
              <w:rPr>
                <w:sz w:val="10"/>
                <w:szCs w:val="10"/>
                <w:color w:val="auto"/>
              </w:rPr>
            </w:pPr>
          </w:p>
        </w:tc>
        <w:tc>
          <w:tcPr>
            <w:tcW w:w="640" w:type="dxa"/>
            <w:vAlign w:val="bottom"/>
            <w:tcBorders>
              <w:top w:val="single" w:sz="8" w:color="DBDBDB"/>
            </w:tcBorders>
          </w:tcPr>
          <w:p>
            <w:pPr>
              <w:jc w:val="center"/>
              <w:spacing w:after="0" w:line="117" w:lineRule="exact"/>
              <w:rPr>
                <w:sz w:val="20"/>
                <w:szCs w:val="20"/>
                <w:color w:val="auto"/>
              </w:rPr>
            </w:pPr>
            <w:r>
              <w:rPr>
                <w:rFonts w:ascii="Calibri" w:cs="Calibri" w:eastAsia="Calibri" w:hAnsi="Calibri"/>
                <w:sz w:val="11"/>
                <w:szCs w:val="11"/>
                <w:color w:val="auto"/>
                <w:w w:val="98"/>
              </w:rPr>
              <w:t>10-K</w:t>
            </w:r>
          </w:p>
        </w:tc>
        <w:tc>
          <w:tcPr>
            <w:tcW w:w="1520" w:type="dxa"/>
            <w:vAlign w:val="bottom"/>
            <w:tcBorders>
              <w:top w:val="single" w:sz="8" w:color="DBDBDB"/>
            </w:tcBorders>
          </w:tcPr>
          <w:p>
            <w:pPr>
              <w:jc w:val="center"/>
              <w:ind w:right="83"/>
              <w:spacing w:after="0" w:line="117" w:lineRule="exact"/>
              <w:rPr>
                <w:sz w:val="20"/>
                <w:szCs w:val="20"/>
                <w:color w:val="auto"/>
              </w:rPr>
            </w:pPr>
            <w:r>
              <w:rPr>
                <w:rFonts w:ascii="Calibri" w:cs="Calibri" w:eastAsia="Calibri" w:hAnsi="Calibri"/>
                <w:sz w:val="11"/>
                <w:szCs w:val="11"/>
                <w:color w:val="auto"/>
              </w:rPr>
              <w:t>12/22/2021</w:t>
            </w:r>
          </w:p>
        </w:tc>
        <w:tc>
          <w:tcPr>
            <w:tcW w:w="740" w:type="dxa"/>
            <w:vAlign w:val="bottom"/>
            <w:tcBorders>
              <w:top w:val="single" w:sz="8" w:color="DBDBDB"/>
            </w:tcBorders>
          </w:tcPr>
          <w:p>
            <w:pPr>
              <w:jc w:val="center"/>
              <w:ind w:right="83"/>
              <w:spacing w:after="0" w:line="117" w:lineRule="exact"/>
              <w:rPr>
                <w:sz w:val="20"/>
                <w:szCs w:val="20"/>
                <w:color w:val="auto"/>
              </w:rPr>
            </w:pPr>
            <w:r>
              <w:rPr>
                <w:rFonts w:ascii="Calibri" w:cs="Calibri" w:eastAsia="Calibri" w:hAnsi="Calibri"/>
                <w:sz w:val="11"/>
                <w:szCs w:val="11"/>
                <w:color w:val="auto"/>
                <w:w w:val="95"/>
              </w:rPr>
              <w:t>10.14</w:t>
            </w:r>
          </w:p>
        </w:tc>
        <w:tc>
          <w:tcPr>
            <w:tcW w:w="1020" w:type="dxa"/>
            <w:vAlign w:val="bottom"/>
            <w:tcBorders>
              <w:top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rPr>
              <w:t>10.15+</w:t>
            </w:r>
          </w:p>
        </w:tc>
        <w:tc>
          <w:tcPr>
            <w:tcW w:w="6420" w:type="dxa"/>
            <w:vAlign w:val="bottom"/>
            <w:gridSpan w:val="24"/>
            <w:shd w:val="clear" w:color="auto" w:fill="DBDBDB"/>
          </w:tcPr>
          <w:p>
            <w:pPr>
              <w:spacing w:after="0" w:line="117" w:lineRule="exact"/>
              <w:rPr>
                <w:sz w:val="20"/>
                <w:szCs w:val="20"/>
                <w:color w:val="auto"/>
              </w:rPr>
            </w:pPr>
            <w:r>
              <w:rPr>
                <w:rFonts w:ascii="Calibri" w:cs="Calibri" w:eastAsia="Calibri" w:hAnsi="Calibri"/>
                <w:sz w:val="11"/>
                <w:szCs w:val="11"/>
                <w:color w:val="auto"/>
              </w:rPr>
              <w:t>Form of Performance Stock Unit Agreement pursuant to the Mission Produce, Inc. 2020 Incentve Award Plan</w:t>
            </w:r>
          </w:p>
        </w:tc>
        <w:tc>
          <w:tcPr>
            <w:tcW w:w="640" w:type="dxa"/>
            <w:vAlign w:val="bottom"/>
            <w:shd w:val="clear" w:color="auto" w:fill="DBDBDB"/>
          </w:tcPr>
          <w:p>
            <w:pPr>
              <w:spacing w:after="0"/>
              <w:rPr>
                <w:sz w:val="10"/>
                <w:szCs w:val="10"/>
                <w:color w:val="auto"/>
              </w:rPr>
            </w:pPr>
          </w:p>
        </w:tc>
        <w:tc>
          <w:tcPr>
            <w:tcW w:w="15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20" w:type="dxa"/>
            <w:vAlign w:val="bottom"/>
            <w:shd w:val="clear" w:color="auto" w:fill="DBDBDB"/>
          </w:tcPr>
          <w:p>
            <w:pPr>
              <w:jc w:val="center"/>
              <w:ind w:left="63"/>
              <w:spacing w:after="0" w:line="117" w:lineRule="exact"/>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44"/>
        </w:trPr>
        <w:tc>
          <w:tcPr>
            <w:tcW w:w="940" w:type="dxa"/>
            <w:vAlign w:val="bottom"/>
            <w:tcBorders>
              <w:top w:val="single" w:sz="8" w:color="DBDBDB"/>
            </w:tcBorders>
            <w:shd w:val="clear" w:color="auto" w:fill="DBDBDB"/>
          </w:tcPr>
          <w:p>
            <w:pPr>
              <w:spacing w:after="0"/>
              <w:rPr>
                <w:sz w:val="3"/>
                <w:szCs w:val="3"/>
                <w:color w:val="auto"/>
              </w:rPr>
            </w:pPr>
          </w:p>
        </w:tc>
        <w:tc>
          <w:tcPr>
            <w:tcW w:w="980" w:type="dxa"/>
            <w:vAlign w:val="bottom"/>
            <w:tcBorders>
              <w:top w:val="single" w:sz="8" w:color="auto"/>
            </w:tcBorders>
            <w:shd w:val="clear" w:color="auto" w:fill="DBDBDB"/>
          </w:tcPr>
          <w:p>
            <w:pPr>
              <w:spacing w:after="0"/>
              <w:rPr>
                <w:sz w:val="3"/>
                <w:szCs w:val="3"/>
                <w:color w:val="auto"/>
              </w:rPr>
            </w:pPr>
          </w:p>
        </w:tc>
        <w:tc>
          <w:tcPr>
            <w:tcW w:w="280" w:type="dxa"/>
            <w:vAlign w:val="bottom"/>
            <w:tcBorders>
              <w:top w:val="single" w:sz="8" w:color="auto"/>
            </w:tcBorders>
            <w:shd w:val="clear" w:color="auto" w:fill="DBDBDB"/>
          </w:tcPr>
          <w:p>
            <w:pPr>
              <w:spacing w:after="0"/>
              <w:rPr>
                <w:sz w:val="3"/>
                <w:szCs w:val="3"/>
                <w:color w:val="auto"/>
              </w:rPr>
            </w:pPr>
          </w:p>
        </w:tc>
        <w:tc>
          <w:tcPr>
            <w:tcW w:w="40" w:type="dxa"/>
            <w:vAlign w:val="bottom"/>
            <w:tcBorders>
              <w:top w:val="single" w:sz="8" w:color="auto"/>
            </w:tcBorders>
            <w:shd w:val="clear" w:color="auto" w:fill="DBDBDB"/>
          </w:tcPr>
          <w:p>
            <w:pPr>
              <w:spacing w:after="0"/>
              <w:rPr>
                <w:sz w:val="3"/>
                <w:szCs w:val="3"/>
                <w:color w:val="auto"/>
              </w:rPr>
            </w:pPr>
          </w:p>
        </w:tc>
        <w:tc>
          <w:tcPr>
            <w:tcW w:w="120" w:type="dxa"/>
            <w:vAlign w:val="bottom"/>
            <w:tcBorders>
              <w:top w:val="single" w:sz="8" w:color="auto"/>
            </w:tcBorders>
            <w:shd w:val="clear" w:color="auto" w:fill="DBDBDB"/>
          </w:tcPr>
          <w:p>
            <w:pPr>
              <w:spacing w:after="0"/>
              <w:rPr>
                <w:sz w:val="3"/>
                <w:szCs w:val="3"/>
                <w:color w:val="auto"/>
              </w:rPr>
            </w:pPr>
          </w:p>
        </w:tc>
        <w:tc>
          <w:tcPr>
            <w:tcW w:w="160" w:type="dxa"/>
            <w:vAlign w:val="bottom"/>
            <w:tcBorders>
              <w:top w:val="single" w:sz="8" w:color="auto"/>
            </w:tcBorders>
            <w:shd w:val="clear" w:color="auto" w:fill="DBDBDB"/>
          </w:tcPr>
          <w:p>
            <w:pPr>
              <w:spacing w:after="0"/>
              <w:rPr>
                <w:sz w:val="3"/>
                <w:szCs w:val="3"/>
                <w:color w:val="auto"/>
              </w:rPr>
            </w:pPr>
          </w:p>
        </w:tc>
        <w:tc>
          <w:tcPr>
            <w:tcW w:w="360" w:type="dxa"/>
            <w:vAlign w:val="bottom"/>
            <w:tcBorders>
              <w:top w:val="single" w:sz="8" w:color="auto"/>
            </w:tcBorders>
            <w:shd w:val="clear" w:color="auto" w:fill="DBDBDB"/>
          </w:tcPr>
          <w:p>
            <w:pPr>
              <w:spacing w:after="0"/>
              <w:rPr>
                <w:sz w:val="3"/>
                <w:szCs w:val="3"/>
                <w:color w:val="auto"/>
              </w:rPr>
            </w:pPr>
          </w:p>
        </w:tc>
        <w:tc>
          <w:tcPr>
            <w:tcW w:w="160" w:type="dxa"/>
            <w:vAlign w:val="bottom"/>
            <w:tcBorders>
              <w:top w:val="single" w:sz="8" w:color="auto"/>
            </w:tcBorders>
            <w:shd w:val="clear" w:color="auto" w:fill="DBDBDB"/>
          </w:tcPr>
          <w:p>
            <w:pPr>
              <w:spacing w:after="0"/>
              <w:rPr>
                <w:sz w:val="3"/>
                <w:szCs w:val="3"/>
                <w:color w:val="auto"/>
              </w:rPr>
            </w:pPr>
          </w:p>
        </w:tc>
        <w:tc>
          <w:tcPr>
            <w:tcW w:w="120" w:type="dxa"/>
            <w:vAlign w:val="bottom"/>
            <w:tcBorders>
              <w:top w:val="single" w:sz="8" w:color="auto"/>
            </w:tcBorders>
            <w:shd w:val="clear" w:color="auto" w:fill="DBDBDB"/>
          </w:tcPr>
          <w:p>
            <w:pPr>
              <w:spacing w:after="0"/>
              <w:rPr>
                <w:sz w:val="3"/>
                <w:szCs w:val="3"/>
                <w:color w:val="auto"/>
              </w:rPr>
            </w:pPr>
          </w:p>
        </w:tc>
        <w:tc>
          <w:tcPr>
            <w:tcW w:w="120" w:type="dxa"/>
            <w:vAlign w:val="bottom"/>
            <w:tcBorders>
              <w:top w:val="single" w:sz="8" w:color="auto"/>
            </w:tcBorders>
            <w:shd w:val="clear" w:color="auto" w:fill="DBDBDB"/>
          </w:tcPr>
          <w:p>
            <w:pPr>
              <w:spacing w:after="0"/>
              <w:rPr>
                <w:sz w:val="3"/>
                <w:szCs w:val="3"/>
                <w:color w:val="auto"/>
              </w:rPr>
            </w:pPr>
          </w:p>
        </w:tc>
        <w:tc>
          <w:tcPr>
            <w:tcW w:w="940" w:type="dxa"/>
            <w:vAlign w:val="bottom"/>
            <w:tcBorders>
              <w:top w:val="single" w:sz="8" w:color="auto"/>
            </w:tcBorders>
            <w:shd w:val="clear" w:color="auto" w:fill="DBDBDB"/>
          </w:tcPr>
          <w:p>
            <w:pPr>
              <w:spacing w:after="0"/>
              <w:rPr>
                <w:sz w:val="3"/>
                <w:szCs w:val="3"/>
                <w:color w:val="auto"/>
              </w:rPr>
            </w:pPr>
          </w:p>
        </w:tc>
        <w:tc>
          <w:tcPr>
            <w:tcW w:w="820" w:type="dxa"/>
            <w:vAlign w:val="bottom"/>
            <w:tcBorders>
              <w:top w:val="single" w:sz="8" w:color="auto"/>
            </w:tcBorders>
            <w:shd w:val="clear" w:color="auto" w:fill="DBDBDB"/>
          </w:tcPr>
          <w:p>
            <w:pPr>
              <w:spacing w:after="0"/>
              <w:rPr>
                <w:sz w:val="3"/>
                <w:szCs w:val="3"/>
                <w:color w:val="auto"/>
              </w:rPr>
            </w:pPr>
          </w:p>
        </w:tc>
        <w:tc>
          <w:tcPr>
            <w:tcW w:w="400" w:type="dxa"/>
            <w:vAlign w:val="bottom"/>
            <w:tcBorders>
              <w:top w:val="single" w:sz="8" w:color="auto"/>
            </w:tcBorders>
            <w:shd w:val="clear" w:color="auto" w:fill="DBDBDB"/>
          </w:tcPr>
          <w:p>
            <w:pPr>
              <w:spacing w:after="0"/>
              <w:rPr>
                <w:sz w:val="3"/>
                <w:szCs w:val="3"/>
                <w:color w:val="auto"/>
              </w:rPr>
            </w:pPr>
          </w:p>
        </w:tc>
        <w:tc>
          <w:tcPr>
            <w:tcW w:w="360" w:type="dxa"/>
            <w:vAlign w:val="bottom"/>
            <w:tcBorders>
              <w:top w:val="single" w:sz="8" w:color="auto"/>
            </w:tcBorders>
            <w:shd w:val="clear" w:color="auto" w:fill="DBDBDB"/>
          </w:tcPr>
          <w:p>
            <w:pPr>
              <w:spacing w:after="0"/>
              <w:rPr>
                <w:sz w:val="3"/>
                <w:szCs w:val="3"/>
                <w:color w:val="auto"/>
              </w:rPr>
            </w:pPr>
          </w:p>
        </w:tc>
        <w:tc>
          <w:tcPr>
            <w:tcW w:w="140" w:type="dxa"/>
            <w:vAlign w:val="bottom"/>
            <w:tcBorders>
              <w:top w:val="single" w:sz="8" w:color="auto"/>
            </w:tcBorders>
            <w:shd w:val="clear" w:color="auto" w:fill="DBDBDB"/>
          </w:tcPr>
          <w:p>
            <w:pPr>
              <w:spacing w:after="0"/>
              <w:rPr>
                <w:sz w:val="3"/>
                <w:szCs w:val="3"/>
                <w:color w:val="auto"/>
              </w:rPr>
            </w:pPr>
          </w:p>
        </w:tc>
        <w:tc>
          <w:tcPr>
            <w:tcW w:w="540" w:type="dxa"/>
            <w:vAlign w:val="bottom"/>
            <w:tcBorders>
              <w:top w:val="single" w:sz="8" w:color="DBDBDB"/>
            </w:tcBorders>
            <w:shd w:val="clear" w:color="auto" w:fill="DBDBDB"/>
          </w:tcPr>
          <w:p>
            <w:pPr>
              <w:spacing w:after="0"/>
              <w:rPr>
                <w:sz w:val="3"/>
                <w:szCs w:val="3"/>
                <w:color w:val="auto"/>
              </w:rPr>
            </w:pPr>
          </w:p>
        </w:tc>
        <w:tc>
          <w:tcPr>
            <w:tcW w:w="200" w:type="dxa"/>
            <w:vAlign w:val="bottom"/>
            <w:tcBorders>
              <w:top w:val="single" w:sz="8" w:color="DBDBDB"/>
            </w:tcBorders>
            <w:shd w:val="clear" w:color="auto" w:fill="DBDBDB"/>
          </w:tcPr>
          <w:p>
            <w:pPr>
              <w:spacing w:after="0"/>
              <w:rPr>
                <w:sz w:val="3"/>
                <w:szCs w:val="3"/>
                <w:color w:val="auto"/>
              </w:rPr>
            </w:pPr>
          </w:p>
        </w:tc>
        <w:tc>
          <w:tcPr>
            <w:tcW w:w="120" w:type="dxa"/>
            <w:vAlign w:val="bottom"/>
            <w:tcBorders>
              <w:top w:val="single" w:sz="8" w:color="DBDBDB"/>
            </w:tcBorders>
            <w:shd w:val="clear" w:color="auto" w:fill="DBDBDB"/>
          </w:tcPr>
          <w:p>
            <w:pPr>
              <w:spacing w:after="0"/>
              <w:rPr>
                <w:sz w:val="3"/>
                <w:szCs w:val="3"/>
                <w:color w:val="auto"/>
              </w:rPr>
            </w:pPr>
          </w:p>
        </w:tc>
        <w:tc>
          <w:tcPr>
            <w:tcW w:w="120" w:type="dxa"/>
            <w:vAlign w:val="bottom"/>
            <w:tcBorders>
              <w:top w:val="single" w:sz="8" w:color="DBDBDB"/>
            </w:tcBorders>
            <w:shd w:val="clear" w:color="auto" w:fill="DBDBDB"/>
          </w:tcPr>
          <w:p>
            <w:pPr>
              <w:spacing w:after="0"/>
              <w:rPr>
                <w:sz w:val="3"/>
                <w:szCs w:val="3"/>
                <w:color w:val="auto"/>
              </w:rPr>
            </w:pPr>
          </w:p>
        </w:tc>
        <w:tc>
          <w:tcPr>
            <w:tcW w:w="80" w:type="dxa"/>
            <w:vAlign w:val="bottom"/>
            <w:tcBorders>
              <w:top w:val="single" w:sz="8" w:color="DBDBDB"/>
            </w:tcBorders>
            <w:shd w:val="clear" w:color="auto" w:fill="DBDBDB"/>
          </w:tcPr>
          <w:p>
            <w:pPr>
              <w:spacing w:after="0"/>
              <w:rPr>
                <w:sz w:val="3"/>
                <w:szCs w:val="3"/>
                <w:color w:val="auto"/>
              </w:rPr>
            </w:pPr>
          </w:p>
        </w:tc>
        <w:tc>
          <w:tcPr>
            <w:tcW w:w="6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8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140" w:type="dxa"/>
            <w:vAlign w:val="bottom"/>
            <w:tcBorders>
              <w:top w:val="single" w:sz="8" w:color="DBDBDB"/>
            </w:tcBorders>
            <w:shd w:val="clear" w:color="auto" w:fill="DBDBDB"/>
          </w:tcPr>
          <w:p>
            <w:pPr>
              <w:spacing w:after="0"/>
              <w:rPr>
                <w:sz w:val="3"/>
                <w:szCs w:val="3"/>
                <w:color w:val="auto"/>
              </w:rPr>
            </w:pPr>
          </w:p>
        </w:tc>
        <w:tc>
          <w:tcPr>
            <w:tcW w:w="640" w:type="dxa"/>
            <w:vAlign w:val="bottom"/>
            <w:tcBorders>
              <w:top w:val="single" w:sz="8" w:color="DBDBDB"/>
            </w:tcBorders>
            <w:shd w:val="clear" w:color="auto" w:fill="DBDBDB"/>
          </w:tcPr>
          <w:p>
            <w:pPr>
              <w:spacing w:after="0"/>
              <w:rPr>
                <w:sz w:val="3"/>
                <w:szCs w:val="3"/>
                <w:color w:val="auto"/>
              </w:rPr>
            </w:pPr>
          </w:p>
        </w:tc>
        <w:tc>
          <w:tcPr>
            <w:tcW w:w="1520" w:type="dxa"/>
            <w:vAlign w:val="bottom"/>
            <w:tcBorders>
              <w:top w:val="single" w:sz="8" w:color="DBDBDB"/>
            </w:tcBorders>
            <w:shd w:val="clear" w:color="auto" w:fill="DBDBDB"/>
          </w:tcPr>
          <w:p>
            <w:pPr>
              <w:spacing w:after="0"/>
              <w:rPr>
                <w:sz w:val="3"/>
                <w:szCs w:val="3"/>
                <w:color w:val="auto"/>
              </w:rPr>
            </w:pPr>
          </w:p>
        </w:tc>
        <w:tc>
          <w:tcPr>
            <w:tcW w:w="740" w:type="dxa"/>
            <w:vAlign w:val="bottom"/>
            <w:tcBorders>
              <w:top w:val="single" w:sz="8" w:color="DBDBDB"/>
            </w:tcBorders>
            <w:shd w:val="clear" w:color="auto" w:fill="DBDBDB"/>
          </w:tcPr>
          <w:p>
            <w:pPr>
              <w:spacing w:after="0"/>
              <w:rPr>
                <w:sz w:val="3"/>
                <w:szCs w:val="3"/>
                <w:color w:val="auto"/>
              </w:rPr>
            </w:pPr>
          </w:p>
        </w:tc>
        <w:tc>
          <w:tcPr>
            <w:tcW w:w="1020" w:type="dxa"/>
            <w:vAlign w:val="bottom"/>
            <w:tcBorders>
              <w:top w:val="single" w:sz="8" w:color="DBDBDB"/>
            </w:tcBorders>
            <w:shd w:val="clear" w:color="auto" w:fill="DBDBDB"/>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20" w:type="dxa"/>
            <w:vAlign w:val="bottom"/>
          </w:tcPr>
          <w:p>
            <w:pPr>
              <w:ind w:left="200"/>
              <w:spacing w:after="0"/>
              <w:rPr>
                <w:sz w:val="20"/>
                <w:szCs w:val="20"/>
                <w:color w:val="auto"/>
              </w:rPr>
            </w:pPr>
            <w:r>
              <w:rPr>
                <w:rFonts w:ascii="Calibri" w:cs="Calibri" w:eastAsia="Calibri" w:hAnsi="Calibri"/>
                <w:sz w:val="11"/>
                <w:szCs w:val="11"/>
                <w:b w:val="1"/>
                <w:bCs w:val="1"/>
                <w:color w:val="auto"/>
              </w:rPr>
              <w:t>Incorporated by Reference</w:t>
            </w: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940" w:type="dxa"/>
            <w:vAlign w:val="bottom"/>
            <w:vMerge w:val="restart"/>
          </w:tcPr>
          <w:p>
            <w:pPr>
              <w:ind w:left="160"/>
              <w:spacing w:after="0"/>
              <w:rPr>
                <w:sz w:val="20"/>
                <w:szCs w:val="20"/>
                <w:color w:val="auto"/>
              </w:rPr>
            </w:pPr>
            <w:r>
              <w:rPr>
                <w:rFonts w:ascii="Calibri" w:cs="Calibri" w:eastAsia="Calibri" w:hAnsi="Calibri"/>
                <w:sz w:val="11"/>
                <w:szCs w:val="11"/>
                <w:b w:val="1"/>
                <w:bCs w:val="1"/>
                <w:color w:val="auto"/>
              </w:rPr>
              <w:t>Exhibit No.</w:t>
            </w: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vMerge w:val="restart"/>
          </w:tcPr>
          <w:p>
            <w:pPr>
              <w:jc w:val="center"/>
              <w:ind w:left="43"/>
              <w:spacing w:after="0"/>
              <w:rPr>
                <w:sz w:val="20"/>
                <w:szCs w:val="20"/>
                <w:color w:val="auto"/>
              </w:rPr>
            </w:pPr>
            <w:r>
              <w:rPr>
                <w:rFonts w:ascii="Calibri" w:cs="Calibri" w:eastAsia="Calibri" w:hAnsi="Calibri"/>
                <w:sz w:val="11"/>
                <w:szCs w:val="11"/>
                <w:b w:val="1"/>
                <w:bCs w:val="1"/>
                <w:color w:val="auto"/>
              </w:rPr>
              <w:t>Filed</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100" w:type="dxa"/>
            <w:vAlign w:val="bottom"/>
            <w:gridSpan w:val="11"/>
          </w:tcPr>
          <w:p>
            <w:pPr>
              <w:ind w:left="400"/>
              <w:spacing w:after="0"/>
              <w:rPr>
                <w:sz w:val="20"/>
                <w:szCs w:val="20"/>
                <w:color w:val="auto"/>
              </w:rPr>
            </w:pPr>
            <w:r>
              <w:rPr>
                <w:rFonts w:ascii="Calibri" w:cs="Calibri" w:eastAsia="Calibri" w:hAnsi="Calibri"/>
                <w:sz w:val="11"/>
                <w:szCs w:val="11"/>
                <w:b w:val="1"/>
                <w:bCs w:val="1"/>
                <w:color w:val="auto"/>
              </w:rPr>
              <w:t>Exhibit Descripton</w:t>
            </w:r>
          </w:p>
        </w:tc>
        <w:tc>
          <w:tcPr>
            <w:tcW w:w="640" w:type="dxa"/>
            <w:vAlign w:val="bottom"/>
          </w:tcPr>
          <w:p>
            <w:pPr>
              <w:jc w:val="center"/>
              <w:spacing w:after="0"/>
              <w:rPr>
                <w:sz w:val="20"/>
                <w:szCs w:val="20"/>
                <w:color w:val="auto"/>
              </w:rPr>
            </w:pPr>
            <w:r>
              <w:rPr>
                <w:rFonts w:ascii="Calibri" w:cs="Calibri" w:eastAsia="Calibri" w:hAnsi="Calibri"/>
                <w:sz w:val="11"/>
                <w:szCs w:val="11"/>
                <w:b w:val="1"/>
                <w:bCs w:val="1"/>
                <w:color w:val="auto"/>
              </w:rPr>
              <w:t>Form</w:t>
            </w:r>
          </w:p>
        </w:tc>
        <w:tc>
          <w:tcPr>
            <w:tcW w:w="1520" w:type="dxa"/>
            <w:vAlign w:val="bottom"/>
          </w:tcPr>
          <w:p>
            <w:pPr>
              <w:ind w:left="580"/>
              <w:spacing w:after="0"/>
              <w:rPr>
                <w:sz w:val="20"/>
                <w:szCs w:val="20"/>
                <w:color w:val="auto"/>
              </w:rPr>
            </w:pPr>
            <w:r>
              <w:rPr>
                <w:rFonts w:ascii="Calibri" w:cs="Calibri" w:eastAsia="Calibri" w:hAnsi="Calibri"/>
                <w:sz w:val="11"/>
                <w:szCs w:val="11"/>
                <w:b w:val="1"/>
                <w:bCs w:val="1"/>
                <w:color w:val="auto"/>
              </w:rPr>
              <w:t>Date</w:t>
            </w:r>
          </w:p>
        </w:tc>
        <w:tc>
          <w:tcPr>
            <w:tcW w:w="740" w:type="dxa"/>
            <w:vAlign w:val="bottom"/>
          </w:tcPr>
          <w:p>
            <w:pPr>
              <w:ind w:left="100"/>
              <w:spacing w:after="0"/>
              <w:rPr>
                <w:sz w:val="20"/>
                <w:szCs w:val="20"/>
                <w:color w:val="auto"/>
              </w:rPr>
            </w:pPr>
            <w:r>
              <w:rPr>
                <w:rFonts w:ascii="Calibri" w:cs="Calibri" w:eastAsia="Calibri" w:hAnsi="Calibri"/>
                <w:sz w:val="11"/>
                <w:szCs w:val="11"/>
                <w:b w:val="1"/>
                <w:bCs w:val="1"/>
                <w:color w:val="auto"/>
              </w:rPr>
              <w:t>Number</w:t>
            </w:r>
          </w:p>
        </w:tc>
        <w:tc>
          <w:tcPr>
            <w:tcW w:w="102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Herewith</w:t>
            </w:r>
          </w:p>
        </w:tc>
        <w:tc>
          <w:tcPr>
            <w:tcW w:w="0" w:type="dxa"/>
            <w:vAlign w:val="bottom"/>
          </w:tcPr>
          <w:p>
            <w:pPr>
              <w:spacing w:after="0"/>
              <w:rPr>
                <w:sz w:val="1"/>
                <w:szCs w:val="1"/>
                <w:color w:val="auto"/>
              </w:rPr>
            </w:pPr>
          </w:p>
        </w:tc>
      </w:tr>
      <w:tr>
        <w:trPr>
          <w:trHeight w:val="46"/>
        </w:trPr>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940" w:type="dxa"/>
            <w:vAlign w:val="bottom"/>
          </w:tcPr>
          <w:p>
            <w:pPr>
              <w:jc w:val="center"/>
              <w:ind w:right="43"/>
              <w:spacing w:after="0" w:line="107" w:lineRule="exact"/>
              <w:rPr>
                <w:sz w:val="20"/>
                <w:szCs w:val="20"/>
                <w:color w:val="auto"/>
              </w:rPr>
            </w:pPr>
            <w:r>
              <w:rPr>
                <w:rFonts w:ascii="Calibri" w:cs="Calibri" w:eastAsia="Calibri" w:hAnsi="Calibri"/>
                <w:sz w:val="11"/>
                <w:szCs w:val="11"/>
                <w:color w:val="auto"/>
                <w:w w:val="99"/>
              </w:rPr>
              <w:t>10.16#+</w:t>
            </w:r>
          </w:p>
        </w:tc>
        <w:tc>
          <w:tcPr>
            <w:tcW w:w="6420" w:type="dxa"/>
            <w:vAlign w:val="bottom"/>
            <w:gridSpan w:val="18"/>
          </w:tcPr>
          <w:p>
            <w:pPr>
              <w:spacing w:after="0" w:line="107" w:lineRule="exact"/>
              <w:rPr>
                <w:rFonts w:ascii="Calibri" w:cs="Calibri" w:eastAsia="Calibri" w:hAnsi="Calibri"/>
                <w:sz w:val="11"/>
                <w:szCs w:val="11"/>
                <w:color w:val="auto"/>
              </w:rPr>
            </w:pPr>
            <w:hyperlink r:id="rId69">
              <w:r>
                <w:rPr>
                  <w:rFonts w:ascii="Calibri" w:cs="Calibri" w:eastAsia="Calibri" w:hAnsi="Calibri"/>
                  <w:sz w:val="11"/>
                  <w:szCs w:val="11"/>
                  <w:color w:val="auto"/>
                </w:rPr>
                <w:t>Ofer leter dated March 8, 2021 to Joanne Wu</w:t>
              </w:r>
            </w:hyperlink>
          </w:p>
        </w:tc>
        <w:tc>
          <w:tcPr>
            <w:tcW w:w="640" w:type="dxa"/>
            <w:vAlign w:val="bottom"/>
          </w:tcPr>
          <w:p>
            <w:pPr>
              <w:jc w:val="center"/>
              <w:spacing w:after="0" w:line="107" w:lineRule="exact"/>
              <w:rPr>
                <w:sz w:val="20"/>
                <w:szCs w:val="20"/>
                <w:color w:val="auto"/>
              </w:rPr>
            </w:pPr>
            <w:r>
              <w:rPr>
                <w:rFonts w:ascii="Calibri" w:cs="Calibri" w:eastAsia="Calibri" w:hAnsi="Calibri"/>
                <w:sz w:val="11"/>
                <w:szCs w:val="11"/>
                <w:color w:val="auto"/>
                <w:w w:val="98"/>
              </w:rPr>
              <w:t>10-K</w:t>
            </w:r>
          </w:p>
        </w:tc>
        <w:tc>
          <w:tcPr>
            <w:tcW w:w="1520" w:type="dxa"/>
            <w:vAlign w:val="bottom"/>
          </w:tcPr>
          <w:p>
            <w:pPr>
              <w:jc w:val="center"/>
              <w:ind w:right="83"/>
              <w:spacing w:after="0" w:line="107" w:lineRule="exact"/>
              <w:rPr>
                <w:sz w:val="20"/>
                <w:szCs w:val="20"/>
                <w:color w:val="auto"/>
              </w:rPr>
            </w:pPr>
            <w:r>
              <w:rPr>
                <w:rFonts w:ascii="Calibri" w:cs="Calibri" w:eastAsia="Calibri" w:hAnsi="Calibri"/>
                <w:sz w:val="11"/>
                <w:szCs w:val="11"/>
                <w:color w:val="auto"/>
              </w:rPr>
              <w:t>12/22/2021</w:t>
            </w:r>
          </w:p>
        </w:tc>
        <w:tc>
          <w:tcPr>
            <w:tcW w:w="740" w:type="dxa"/>
            <w:vAlign w:val="bottom"/>
          </w:tcPr>
          <w:p>
            <w:pPr>
              <w:jc w:val="center"/>
              <w:ind w:right="83"/>
              <w:spacing w:after="0" w:line="107" w:lineRule="exact"/>
              <w:rPr>
                <w:sz w:val="20"/>
                <w:szCs w:val="20"/>
                <w:color w:val="auto"/>
              </w:rPr>
            </w:pPr>
            <w:r>
              <w:rPr>
                <w:rFonts w:ascii="Calibri" w:cs="Calibri" w:eastAsia="Calibri" w:hAnsi="Calibri"/>
                <w:sz w:val="11"/>
                <w:szCs w:val="11"/>
                <w:color w:val="auto"/>
                <w:w w:val="95"/>
              </w:rPr>
              <w:t>10.16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rPr>
              <w:t>10.17#</w:t>
            </w:r>
          </w:p>
        </w:tc>
        <w:tc>
          <w:tcPr>
            <w:tcW w:w="6420" w:type="dxa"/>
            <w:vAlign w:val="bottom"/>
            <w:gridSpan w:val="18"/>
            <w:shd w:val="clear" w:color="auto" w:fill="DBDBDB"/>
          </w:tcPr>
          <w:p>
            <w:pPr>
              <w:spacing w:after="0" w:line="117" w:lineRule="exact"/>
              <w:rPr>
                <w:rFonts w:ascii="Calibri" w:cs="Calibri" w:eastAsia="Calibri" w:hAnsi="Calibri"/>
                <w:sz w:val="11"/>
                <w:szCs w:val="11"/>
                <w:color w:val="auto"/>
              </w:rPr>
            </w:pPr>
            <w:hyperlink r:id="rId70">
              <w:r>
                <w:rPr>
                  <w:rFonts w:ascii="Calibri" w:cs="Calibri" w:eastAsia="Calibri" w:hAnsi="Calibri"/>
                  <w:sz w:val="11"/>
                  <w:szCs w:val="11"/>
                  <w:color w:val="auto"/>
                </w:rPr>
                <w:t>Second Amendment dated April 26, 2022, to the Credit Agreement dated as of October 11, 2018 and amended on September 18, 2020,</w:t>
              </w:r>
            </w:hyperlink>
          </w:p>
        </w:tc>
        <w:tc>
          <w:tcPr>
            <w:tcW w:w="640" w:type="dxa"/>
            <w:vAlign w:val="bottom"/>
            <w:shd w:val="clear" w:color="auto" w:fill="DBDBDB"/>
          </w:tcPr>
          <w:p>
            <w:pPr>
              <w:jc w:val="center"/>
              <w:spacing w:after="0" w:line="117" w:lineRule="exact"/>
              <w:rPr>
                <w:sz w:val="20"/>
                <w:szCs w:val="20"/>
                <w:color w:val="auto"/>
              </w:rPr>
            </w:pPr>
            <w:r>
              <w:rPr>
                <w:rFonts w:ascii="Calibri" w:cs="Calibri" w:eastAsia="Calibri" w:hAnsi="Calibri"/>
                <w:sz w:val="11"/>
                <w:szCs w:val="11"/>
                <w:color w:val="auto"/>
              </w:rPr>
              <w:t>8-K</w:t>
            </w:r>
          </w:p>
        </w:tc>
        <w:tc>
          <w:tcPr>
            <w:tcW w:w="1520" w:type="dxa"/>
            <w:vAlign w:val="bottom"/>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rPr>
              <w:t>4/26/2022</w:t>
            </w:r>
          </w:p>
        </w:tc>
        <w:tc>
          <w:tcPr>
            <w:tcW w:w="740" w:type="dxa"/>
            <w:vAlign w:val="bottom"/>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w w:val="95"/>
              </w:rPr>
              <w:t>10.17</w:t>
            </w:r>
          </w:p>
        </w:tc>
        <w:tc>
          <w:tcPr>
            <w:tcW w:w="10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DBDBDB"/>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DBDBDB"/>
            </w:tcBorders>
            <w:shd w:val="clear" w:color="auto" w:fill="000000"/>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640" w:type="dxa"/>
            <w:vAlign w:val="bottom"/>
            <w:shd w:val="clear" w:color="auto" w:fill="DBDBDB"/>
          </w:tcPr>
          <w:p>
            <w:pPr>
              <w:spacing w:after="0" w:line="20" w:lineRule="exact"/>
              <w:rPr>
                <w:sz w:val="1"/>
                <w:szCs w:val="1"/>
                <w:color w:val="auto"/>
              </w:rPr>
            </w:pPr>
          </w:p>
        </w:tc>
        <w:tc>
          <w:tcPr>
            <w:tcW w:w="1520" w:type="dxa"/>
            <w:vAlign w:val="bottom"/>
            <w:shd w:val="clear" w:color="auto" w:fill="DBDBDB"/>
          </w:tcPr>
          <w:p>
            <w:pPr>
              <w:spacing w:after="0" w:line="20" w:lineRule="exact"/>
              <w:rPr>
                <w:sz w:val="1"/>
                <w:szCs w:val="1"/>
                <w:color w:val="auto"/>
              </w:rPr>
            </w:pPr>
          </w:p>
        </w:tc>
        <w:tc>
          <w:tcPr>
            <w:tcW w:w="740" w:type="dxa"/>
            <w:vAlign w:val="bottom"/>
            <w:shd w:val="clear" w:color="auto" w:fill="DBDBDB"/>
          </w:tcPr>
          <w:p>
            <w:pPr>
              <w:spacing w:after="0" w:line="20" w:lineRule="exact"/>
              <w:rPr>
                <w:sz w:val="1"/>
                <w:szCs w:val="1"/>
                <w:color w:val="auto"/>
              </w:rPr>
            </w:pPr>
          </w:p>
        </w:tc>
        <w:tc>
          <w:tcPr>
            <w:tcW w:w="102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40" w:type="dxa"/>
            <w:vAlign w:val="bottom"/>
            <w:shd w:val="clear" w:color="auto" w:fill="DBDBDB"/>
          </w:tcPr>
          <w:p>
            <w:pPr>
              <w:spacing w:after="0"/>
              <w:rPr>
                <w:sz w:val="10"/>
                <w:szCs w:val="10"/>
                <w:color w:val="auto"/>
              </w:rPr>
            </w:pPr>
          </w:p>
        </w:tc>
        <w:tc>
          <w:tcPr>
            <w:tcW w:w="6420" w:type="dxa"/>
            <w:vAlign w:val="bottom"/>
            <w:gridSpan w:val="18"/>
            <w:shd w:val="clear" w:color="auto" w:fill="DBDBDB"/>
          </w:tcPr>
          <w:p>
            <w:pPr>
              <w:spacing w:after="0" w:line="118" w:lineRule="exact"/>
              <w:rPr>
                <w:rFonts w:ascii="Calibri" w:cs="Calibri" w:eastAsia="Calibri" w:hAnsi="Calibri"/>
                <w:sz w:val="11"/>
                <w:szCs w:val="11"/>
                <w:color w:val="auto"/>
              </w:rPr>
            </w:pPr>
            <w:hyperlink r:id="rId70">
              <w:r>
                <w:rPr>
                  <w:rFonts w:ascii="Calibri" w:cs="Calibri" w:eastAsia="Calibri" w:hAnsi="Calibri"/>
                  <w:sz w:val="11"/>
                  <w:szCs w:val="11"/>
                  <w:color w:val="auto"/>
                </w:rPr>
                <w:t>by and among Mission Produce, Inc., as Borrower, certain subsidiaries of the Borrower party thereto as guarantors, Bank of America, N.A.</w:t>
              </w:r>
            </w:hyperlink>
          </w:p>
        </w:tc>
        <w:tc>
          <w:tcPr>
            <w:tcW w:w="640" w:type="dxa"/>
            <w:vAlign w:val="bottom"/>
            <w:shd w:val="clear" w:color="auto" w:fill="DBDBDB"/>
          </w:tcPr>
          <w:p>
            <w:pPr>
              <w:spacing w:after="0"/>
              <w:rPr>
                <w:sz w:val="10"/>
                <w:szCs w:val="10"/>
                <w:color w:val="auto"/>
              </w:rPr>
            </w:pPr>
          </w:p>
        </w:tc>
        <w:tc>
          <w:tcPr>
            <w:tcW w:w="15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tcBorders>
              <w:top w:val="single" w:sz="8" w:color="DBDBDB"/>
            </w:tcBorders>
            <w:shd w:val="clear" w:color="auto" w:fill="DBDBDB"/>
          </w:tcPr>
          <w:p>
            <w:pPr>
              <w:spacing w:after="0"/>
              <w:rPr>
                <w:sz w:val="10"/>
                <w:szCs w:val="10"/>
                <w:color w:val="auto"/>
              </w:rPr>
            </w:pPr>
          </w:p>
        </w:tc>
        <w:tc>
          <w:tcPr>
            <w:tcW w:w="6320" w:type="dxa"/>
            <w:vAlign w:val="bottom"/>
            <w:tcBorders>
              <w:top w:val="single" w:sz="8" w:color="auto"/>
              <w:right w:val="single" w:sz="8" w:color="DBDBDB"/>
            </w:tcBorders>
            <w:gridSpan w:val="17"/>
            <w:shd w:val="clear" w:color="auto" w:fill="DBDBDB"/>
          </w:tcPr>
          <w:p>
            <w:pPr>
              <w:spacing w:after="0" w:line="118" w:lineRule="exact"/>
              <w:rPr>
                <w:rFonts w:ascii="Calibri" w:cs="Calibri" w:eastAsia="Calibri" w:hAnsi="Calibri"/>
                <w:sz w:val="11"/>
                <w:szCs w:val="11"/>
                <w:color w:val="auto"/>
              </w:rPr>
            </w:pPr>
            <w:hyperlink r:id="rId70">
              <w:r>
                <w:rPr>
                  <w:rFonts w:ascii="Calibri" w:cs="Calibri" w:eastAsia="Calibri" w:hAnsi="Calibri"/>
                  <w:sz w:val="11"/>
                  <w:szCs w:val="11"/>
                  <w:color w:val="auto"/>
                </w:rPr>
                <w:t>as administratve agent, Swingline Lender and L/C Issuer, Farm Credit West, PCA as Syndicaton Agent, City Natonal Bank and J.P. Morgan</w:t>
              </w:r>
            </w:hyperlink>
          </w:p>
        </w:tc>
        <w:tc>
          <w:tcPr>
            <w:tcW w:w="100" w:type="dxa"/>
            <w:vAlign w:val="bottom"/>
            <w:tcBorders>
              <w:top w:val="single" w:sz="8" w:color="DBDBDB"/>
            </w:tcBorders>
            <w:shd w:val="clear" w:color="auto" w:fill="DBDBDB"/>
          </w:tcPr>
          <w:p>
            <w:pPr>
              <w:spacing w:after="0"/>
              <w:rPr>
                <w:sz w:val="10"/>
                <w:szCs w:val="10"/>
                <w:color w:val="auto"/>
              </w:rPr>
            </w:pPr>
          </w:p>
        </w:tc>
        <w:tc>
          <w:tcPr>
            <w:tcW w:w="640" w:type="dxa"/>
            <w:vAlign w:val="bottom"/>
            <w:tcBorders>
              <w:top w:val="single" w:sz="8" w:color="DBDBDB"/>
            </w:tcBorders>
            <w:shd w:val="clear" w:color="auto" w:fill="DBDBDB"/>
          </w:tcPr>
          <w:p>
            <w:pPr>
              <w:spacing w:after="0"/>
              <w:rPr>
                <w:sz w:val="10"/>
                <w:szCs w:val="10"/>
                <w:color w:val="auto"/>
              </w:rPr>
            </w:pPr>
          </w:p>
        </w:tc>
        <w:tc>
          <w:tcPr>
            <w:tcW w:w="1520" w:type="dxa"/>
            <w:vAlign w:val="bottom"/>
            <w:tcBorders>
              <w:top w:val="single" w:sz="8" w:color="DBDBDB"/>
            </w:tcBorders>
            <w:shd w:val="clear" w:color="auto" w:fill="DBDBDB"/>
          </w:tcPr>
          <w:p>
            <w:pPr>
              <w:spacing w:after="0"/>
              <w:rPr>
                <w:sz w:val="10"/>
                <w:szCs w:val="10"/>
                <w:color w:val="auto"/>
              </w:rPr>
            </w:pPr>
          </w:p>
        </w:tc>
        <w:tc>
          <w:tcPr>
            <w:tcW w:w="740" w:type="dxa"/>
            <w:vAlign w:val="bottom"/>
            <w:tcBorders>
              <w:top w:val="single" w:sz="8" w:color="DBDBDB"/>
            </w:tcBorders>
            <w:shd w:val="clear" w:color="auto" w:fill="DBDBDB"/>
          </w:tcPr>
          <w:p>
            <w:pPr>
              <w:spacing w:after="0"/>
              <w:rPr>
                <w:sz w:val="10"/>
                <w:szCs w:val="10"/>
                <w:color w:val="auto"/>
              </w:rPr>
            </w:pPr>
          </w:p>
        </w:tc>
        <w:tc>
          <w:tcPr>
            <w:tcW w:w="1020" w:type="dxa"/>
            <w:vAlign w:val="bottom"/>
            <w:tcBorders>
              <w:top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tcBorders>
              <w:top w:val="single" w:sz="8" w:color="DBDBDB"/>
              <w:bottom w:val="single" w:sz="8" w:color="DBDBDB"/>
            </w:tcBorders>
            <w:shd w:val="clear" w:color="auto" w:fill="DBDBDB"/>
          </w:tcPr>
          <w:p>
            <w:pPr>
              <w:spacing w:after="0"/>
              <w:rPr>
                <w:sz w:val="9"/>
                <w:szCs w:val="9"/>
                <w:color w:val="auto"/>
              </w:rPr>
            </w:pPr>
          </w:p>
        </w:tc>
        <w:tc>
          <w:tcPr>
            <w:tcW w:w="6100" w:type="dxa"/>
            <w:vAlign w:val="bottom"/>
            <w:tcBorders>
              <w:top w:val="single" w:sz="8" w:color="auto"/>
              <w:bottom w:val="single" w:sz="8" w:color="auto"/>
            </w:tcBorders>
            <w:gridSpan w:val="16"/>
            <w:shd w:val="clear" w:color="auto" w:fill="DBDBDB"/>
          </w:tcPr>
          <w:p>
            <w:pPr>
              <w:spacing w:after="0" w:line="107" w:lineRule="exact"/>
              <w:rPr>
                <w:rFonts w:ascii="Calibri" w:cs="Calibri" w:eastAsia="Calibri" w:hAnsi="Calibri"/>
                <w:sz w:val="11"/>
                <w:szCs w:val="11"/>
                <w:color w:val="auto"/>
              </w:rPr>
            </w:pPr>
            <w:hyperlink r:id="rId70">
              <w:r>
                <w:rPr>
                  <w:rFonts w:ascii="Calibri" w:cs="Calibri" w:eastAsia="Calibri" w:hAnsi="Calibri"/>
                  <w:sz w:val="11"/>
                  <w:szCs w:val="11"/>
                  <w:color w:val="auto"/>
                </w:rPr>
                <w:t>Chase Bank, N.A. as co-documentaton agents, Merrill Lynch, Pierce, Fenner &amp; Smith Incorporated and Farm Credit West, PCA as joint</w:t>
              </w:r>
            </w:hyperlink>
          </w:p>
        </w:tc>
        <w:tc>
          <w:tcPr>
            <w:tcW w:w="220" w:type="dxa"/>
            <w:vAlign w:val="bottom"/>
            <w:tcBorders>
              <w:top w:val="single" w:sz="8" w:color="auto"/>
              <w:bottom w:val="single" w:sz="8" w:color="DBDBDB"/>
              <w:right w:val="single" w:sz="8" w:color="DBDBDB"/>
            </w:tcBorders>
            <w:shd w:val="clear" w:color="auto" w:fill="DBDBDB"/>
          </w:tcPr>
          <w:p>
            <w:pPr>
              <w:spacing w:after="0"/>
              <w:rPr>
                <w:sz w:val="9"/>
                <w:szCs w:val="9"/>
                <w:color w:val="auto"/>
              </w:rPr>
            </w:pPr>
          </w:p>
        </w:tc>
        <w:tc>
          <w:tcPr>
            <w:tcW w:w="100" w:type="dxa"/>
            <w:vAlign w:val="bottom"/>
            <w:tcBorders>
              <w:top w:val="single" w:sz="8" w:color="DBDBDB"/>
              <w:bottom w:val="single" w:sz="8" w:color="DBDBDB"/>
            </w:tcBorders>
            <w:shd w:val="clear" w:color="auto" w:fill="DBDBDB"/>
          </w:tcPr>
          <w:p>
            <w:pPr>
              <w:spacing w:after="0"/>
              <w:rPr>
                <w:sz w:val="9"/>
                <w:szCs w:val="9"/>
                <w:color w:val="auto"/>
              </w:rPr>
            </w:pPr>
          </w:p>
        </w:tc>
        <w:tc>
          <w:tcPr>
            <w:tcW w:w="640" w:type="dxa"/>
            <w:vAlign w:val="bottom"/>
            <w:tcBorders>
              <w:top w:val="single" w:sz="8" w:color="DBDBDB"/>
              <w:bottom w:val="single" w:sz="8" w:color="DBDBDB"/>
            </w:tcBorders>
            <w:shd w:val="clear" w:color="auto" w:fill="DBDBDB"/>
          </w:tcPr>
          <w:p>
            <w:pPr>
              <w:spacing w:after="0"/>
              <w:rPr>
                <w:sz w:val="9"/>
                <w:szCs w:val="9"/>
                <w:color w:val="auto"/>
              </w:rPr>
            </w:pPr>
          </w:p>
        </w:tc>
        <w:tc>
          <w:tcPr>
            <w:tcW w:w="1520" w:type="dxa"/>
            <w:vAlign w:val="bottom"/>
            <w:tcBorders>
              <w:top w:val="single" w:sz="8" w:color="DBDBDB"/>
              <w:bottom w:val="single" w:sz="8" w:color="DBDBDB"/>
            </w:tcBorders>
            <w:shd w:val="clear" w:color="auto" w:fill="DBDBDB"/>
          </w:tcPr>
          <w:p>
            <w:pPr>
              <w:spacing w:after="0"/>
              <w:rPr>
                <w:sz w:val="9"/>
                <w:szCs w:val="9"/>
                <w:color w:val="auto"/>
              </w:rPr>
            </w:pPr>
          </w:p>
        </w:tc>
        <w:tc>
          <w:tcPr>
            <w:tcW w:w="740" w:type="dxa"/>
            <w:vAlign w:val="bottom"/>
            <w:tcBorders>
              <w:top w:val="single" w:sz="8" w:color="DBDBDB"/>
              <w:bottom w:val="single" w:sz="8" w:color="DBDBDB"/>
            </w:tcBorders>
            <w:shd w:val="clear" w:color="auto" w:fill="DBDBDB"/>
          </w:tcPr>
          <w:p>
            <w:pPr>
              <w:spacing w:after="0"/>
              <w:rPr>
                <w:sz w:val="9"/>
                <w:szCs w:val="9"/>
                <w:color w:val="auto"/>
              </w:rPr>
            </w:pPr>
          </w:p>
        </w:tc>
        <w:tc>
          <w:tcPr>
            <w:tcW w:w="1020" w:type="dxa"/>
            <w:vAlign w:val="bottom"/>
            <w:tcBorders>
              <w:top w:val="single" w:sz="8" w:color="DBDBDB"/>
              <w:bottom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DBDBDB"/>
            </w:tcBorders>
            <w:shd w:val="clear" w:color="auto" w:fill="DBDBDB"/>
          </w:tcPr>
          <w:p>
            <w:pPr>
              <w:spacing w:after="0"/>
              <w:rPr>
                <w:sz w:val="14"/>
                <w:szCs w:val="14"/>
                <w:color w:val="auto"/>
              </w:rPr>
            </w:pPr>
          </w:p>
        </w:tc>
        <w:tc>
          <w:tcPr>
            <w:tcW w:w="3240" w:type="dxa"/>
            <w:vAlign w:val="bottom"/>
            <w:tcBorders>
              <w:bottom w:val="single" w:sz="8" w:color="auto"/>
            </w:tcBorders>
            <w:gridSpan w:val="9"/>
            <w:shd w:val="clear" w:color="auto" w:fill="DBDBDB"/>
          </w:tcPr>
          <w:p>
            <w:pPr>
              <w:spacing w:after="0" w:line="118" w:lineRule="exact"/>
              <w:rPr>
                <w:rFonts w:ascii="Calibri" w:cs="Calibri" w:eastAsia="Calibri" w:hAnsi="Calibri"/>
                <w:sz w:val="11"/>
                <w:szCs w:val="11"/>
                <w:color w:val="auto"/>
              </w:rPr>
            </w:pPr>
            <w:hyperlink r:id="rId70">
              <w:r>
                <w:rPr>
                  <w:rFonts w:ascii="Calibri" w:cs="Calibri" w:eastAsia="Calibri" w:hAnsi="Calibri"/>
                  <w:sz w:val="11"/>
                  <w:szCs w:val="11"/>
                  <w:color w:val="auto"/>
                </w:rPr>
                <w:t>lead arrangers and joint bookrunners, and other lenders party thereto.</w:t>
              </w:r>
            </w:hyperlink>
          </w:p>
        </w:tc>
        <w:tc>
          <w:tcPr>
            <w:tcW w:w="3180" w:type="dxa"/>
            <w:vAlign w:val="bottom"/>
            <w:tcBorders>
              <w:bottom w:val="single" w:sz="8" w:color="DBDBDB"/>
            </w:tcBorders>
            <w:gridSpan w:val="9"/>
            <w:shd w:val="clear" w:color="auto" w:fill="DBDBDB"/>
          </w:tcPr>
          <w:p>
            <w:pPr>
              <w:spacing w:after="0"/>
              <w:rPr>
                <w:sz w:val="14"/>
                <w:szCs w:val="14"/>
                <w:color w:val="auto"/>
              </w:rPr>
            </w:pPr>
          </w:p>
        </w:tc>
        <w:tc>
          <w:tcPr>
            <w:tcW w:w="640" w:type="dxa"/>
            <w:vAlign w:val="bottom"/>
            <w:tcBorders>
              <w:bottom w:val="single" w:sz="8" w:color="DBDBDB"/>
            </w:tcBorders>
            <w:shd w:val="clear" w:color="auto" w:fill="DBDBDB"/>
          </w:tcPr>
          <w:p>
            <w:pPr>
              <w:spacing w:after="0"/>
              <w:rPr>
                <w:sz w:val="14"/>
                <w:szCs w:val="14"/>
                <w:color w:val="auto"/>
              </w:rPr>
            </w:pPr>
          </w:p>
        </w:tc>
        <w:tc>
          <w:tcPr>
            <w:tcW w:w="1520" w:type="dxa"/>
            <w:vAlign w:val="bottom"/>
            <w:tcBorders>
              <w:bottom w:val="single" w:sz="8" w:color="DBDBDB"/>
            </w:tcBorders>
            <w:shd w:val="clear" w:color="auto" w:fill="DBDBDB"/>
          </w:tcPr>
          <w:p>
            <w:pPr>
              <w:spacing w:after="0"/>
              <w:rPr>
                <w:sz w:val="14"/>
                <w:szCs w:val="14"/>
                <w:color w:val="auto"/>
              </w:rPr>
            </w:pPr>
          </w:p>
        </w:tc>
        <w:tc>
          <w:tcPr>
            <w:tcW w:w="74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43"/>
              <w:spacing w:after="0" w:line="117" w:lineRule="exact"/>
              <w:rPr>
                <w:sz w:val="20"/>
                <w:szCs w:val="20"/>
                <w:color w:val="auto"/>
              </w:rPr>
            </w:pPr>
            <w:r>
              <w:rPr>
                <w:rFonts w:ascii="Calibri" w:cs="Calibri" w:eastAsia="Calibri" w:hAnsi="Calibri"/>
                <w:sz w:val="11"/>
                <w:szCs w:val="11"/>
                <w:color w:val="auto"/>
                <w:w w:val="99"/>
              </w:rPr>
              <w:t>10.18+#</w:t>
            </w:r>
          </w:p>
        </w:tc>
        <w:tc>
          <w:tcPr>
            <w:tcW w:w="6420" w:type="dxa"/>
            <w:vAlign w:val="bottom"/>
            <w:gridSpan w:val="18"/>
          </w:tcPr>
          <w:p>
            <w:pPr>
              <w:spacing w:after="0" w:line="117" w:lineRule="exact"/>
              <w:rPr>
                <w:rFonts w:ascii="Calibri" w:cs="Calibri" w:eastAsia="Calibri" w:hAnsi="Calibri"/>
                <w:sz w:val="11"/>
                <w:szCs w:val="11"/>
                <w:color w:val="auto"/>
              </w:rPr>
            </w:pPr>
            <w:hyperlink r:id="rId71">
              <w:r>
                <w:rPr>
                  <w:rFonts w:ascii="Calibri" w:cs="Calibri" w:eastAsia="Calibri" w:hAnsi="Calibri"/>
                  <w:sz w:val="11"/>
                  <w:szCs w:val="11"/>
                  <w:color w:val="auto"/>
                </w:rPr>
                <w:t>Amended and Restated Non-Employee Director Compensaton Program</w:t>
              </w:r>
            </w:hyperlink>
          </w:p>
        </w:tc>
        <w:tc>
          <w:tcPr>
            <w:tcW w:w="640" w:type="dxa"/>
            <w:vAlign w:val="bottom"/>
          </w:tcPr>
          <w:p>
            <w:pPr>
              <w:jc w:val="center"/>
              <w:spacing w:after="0" w:line="117" w:lineRule="exact"/>
              <w:rPr>
                <w:sz w:val="20"/>
                <w:szCs w:val="20"/>
                <w:color w:val="auto"/>
              </w:rPr>
            </w:pPr>
            <w:r>
              <w:rPr>
                <w:rFonts w:ascii="Calibri" w:cs="Calibri" w:eastAsia="Calibri" w:hAnsi="Calibri"/>
                <w:sz w:val="11"/>
                <w:szCs w:val="11"/>
                <w:color w:val="auto"/>
              </w:rPr>
              <w:t>10-Q</w:t>
            </w:r>
          </w:p>
        </w:tc>
        <w:tc>
          <w:tcPr>
            <w:tcW w:w="152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w w:val="99"/>
              </w:rPr>
              <w:t>6/8/2022</w:t>
            </w:r>
          </w:p>
        </w:tc>
        <w:tc>
          <w:tcPr>
            <w:tcW w:w="74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w w:val="95"/>
              </w:rPr>
              <w:t>10.18</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40" w:type="dxa"/>
            <w:vAlign w:val="bottom"/>
            <w:tcBorders>
              <w:bottom w:val="single" w:sz="8" w:color="DBDBDB"/>
            </w:tcBorders>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w w:val="99"/>
              </w:rPr>
              <w:t>10.19+#</w:t>
            </w:r>
          </w:p>
        </w:tc>
        <w:tc>
          <w:tcPr>
            <w:tcW w:w="2100" w:type="dxa"/>
            <w:vAlign w:val="bottom"/>
            <w:tcBorders>
              <w:bottom w:val="single" w:sz="8" w:color="auto"/>
            </w:tcBorders>
            <w:gridSpan w:val="5"/>
            <w:shd w:val="clear" w:color="auto" w:fill="DBDBDB"/>
          </w:tcPr>
          <w:p>
            <w:pPr>
              <w:spacing w:after="0" w:line="117" w:lineRule="exact"/>
              <w:rPr>
                <w:rFonts w:ascii="Calibri" w:cs="Calibri" w:eastAsia="Calibri" w:hAnsi="Calibri"/>
                <w:sz w:val="11"/>
                <w:szCs w:val="11"/>
                <w:color w:val="auto"/>
              </w:rPr>
            </w:pPr>
            <w:hyperlink r:id="rId72">
              <w:r>
                <w:rPr>
                  <w:rFonts w:ascii="Calibri" w:cs="Calibri" w:eastAsia="Calibri" w:hAnsi="Calibri"/>
                  <w:sz w:val="11"/>
                  <w:szCs w:val="11"/>
                  <w:color w:val="auto"/>
                </w:rPr>
                <w:t>Ofer leter dated April 26, 2022 to Tim Bulow</w:t>
              </w:r>
            </w:hyperlink>
          </w:p>
        </w:tc>
        <w:tc>
          <w:tcPr>
            <w:tcW w:w="4320" w:type="dxa"/>
            <w:vAlign w:val="bottom"/>
            <w:tcBorders>
              <w:bottom w:val="single" w:sz="8" w:color="DBDBDB"/>
            </w:tcBorders>
            <w:gridSpan w:val="13"/>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jc w:val="center"/>
              <w:spacing w:after="0" w:line="117" w:lineRule="exact"/>
              <w:rPr>
                <w:sz w:val="20"/>
                <w:szCs w:val="20"/>
                <w:color w:val="auto"/>
              </w:rPr>
            </w:pPr>
            <w:r>
              <w:rPr>
                <w:rFonts w:ascii="Calibri" w:cs="Calibri" w:eastAsia="Calibri" w:hAnsi="Calibri"/>
                <w:sz w:val="11"/>
                <w:szCs w:val="11"/>
                <w:color w:val="auto"/>
              </w:rPr>
              <w:t>10-Q</w:t>
            </w:r>
          </w:p>
        </w:tc>
        <w:tc>
          <w:tcPr>
            <w:tcW w:w="152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w w:val="99"/>
              </w:rPr>
              <w:t>6/8/2022</w:t>
            </w:r>
          </w:p>
        </w:tc>
        <w:tc>
          <w:tcPr>
            <w:tcW w:w="740" w:type="dxa"/>
            <w:vAlign w:val="bottom"/>
            <w:tcBorders>
              <w:bottom w:val="single" w:sz="8" w:color="DBDBDB"/>
            </w:tcBorders>
            <w:shd w:val="clear" w:color="auto" w:fill="DBDBDB"/>
          </w:tcPr>
          <w:p>
            <w:pPr>
              <w:jc w:val="center"/>
              <w:ind w:right="83"/>
              <w:spacing w:after="0" w:line="117" w:lineRule="exact"/>
              <w:rPr>
                <w:sz w:val="20"/>
                <w:szCs w:val="20"/>
                <w:color w:val="auto"/>
              </w:rPr>
            </w:pPr>
            <w:r>
              <w:rPr>
                <w:rFonts w:ascii="Calibri" w:cs="Calibri" w:eastAsia="Calibri" w:hAnsi="Calibri"/>
                <w:sz w:val="11"/>
                <w:szCs w:val="11"/>
                <w:color w:val="auto"/>
                <w:w w:val="95"/>
              </w:rPr>
              <w:t>10.19</w:t>
            </w:r>
          </w:p>
        </w:tc>
        <w:tc>
          <w:tcPr>
            <w:tcW w:w="102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43"/>
              <w:spacing w:after="0" w:line="117" w:lineRule="exact"/>
              <w:rPr>
                <w:sz w:val="20"/>
                <w:szCs w:val="20"/>
                <w:color w:val="auto"/>
              </w:rPr>
            </w:pPr>
            <w:r>
              <w:rPr>
                <w:rFonts w:ascii="Calibri" w:cs="Calibri" w:eastAsia="Calibri" w:hAnsi="Calibri"/>
                <w:sz w:val="11"/>
                <w:szCs w:val="11"/>
                <w:color w:val="auto"/>
              </w:rPr>
              <w:t>10.20#</w:t>
            </w:r>
          </w:p>
        </w:tc>
        <w:tc>
          <w:tcPr>
            <w:tcW w:w="6320" w:type="dxa"/>
            <w:vAlign w:val="bottom"/>
            <w:tcBorders>
              <w:bottom w:val="single" w:sz="8" w:color="auto"/>
            </w:tcBorders>
            <w:gridSpan w:val="17"/>
          </w:tcPr>
          <w:p>
            <w:pPr>
              <w:spacing w:after="0" w:line="117" w:lineRule="exact"/>
              <w:rPr>
                <w:rFonts w:ascii="Calibri" w:cs="Calibri" w:eastAsia="Calibri" w:hAnsi="Calibri"/>
                <w:sz w:val="11"/>
                <w:szCs w:val="11"/>
                <w:color w:val="auto"/>
              </w:rPr>
            </w:pPr>
            <w:hyperlink r:id="rId73">
              <w:r>
                <w:rPr>
                  <w:rFonts w:ascii="Calibri" w:cs="Calibri" w:eastAsia="Calibri" w:hAnsi="Calibri"/>
                  <w:sz w:val="11"/>
                  <w:szCs w:val="11"/>
                  <w:color w:val="auto"/>
                </w:rPr>
                <w:t>Third Amendment to the Credit Agreement, dated as of October 11, 2018, as amended on September 18, 2020 and April 26, 2022, by and</w:t>
              </w:r>
            </w:hyperlink>
          </w:p>
        </w:tc>
        <w:tc>
          <w:tcPr>
            <w:tcW w:w="100" w:type="dxa"/>
            <w:vAlign w:val="bottom"/>
          </w:tcPr>
          <w:p>
            <w:pPr>
              <w:spacing w:after="0"/>
              <w:rPr>
                <w:sz w:val="10"/>
                <w:szCs w:val="10"/>
                <w:color w:val="auto"/>
              </w:rPr>
            </w:pPr>
          </w:p>
        </w:tc>
        <w:tc>
          <w:tcPr>
            <w:tcW w:w="640" w:type="dxa"/>
            <w:vAlign w:val="bottom"/>
          </w:tcPr>
          <w:p>
            <w:pPr>
              <w:jc w:val="center"/>
              <w:spacing w:after="0" w:line="117" w:lineRule="exact"/>
              <w:rPr>
                <w:sz w:val="20"/>
                <w:szCs w:val="20"/>
                <w:color w:val="auto"/>
              </w:rPr>
            </w:pPr>
            <w:r>
              <w:rPr>
                <w:rFonts w:ascii="Calibri" w:cs="Calibri" w:eastAsia="Calibri" w:hAnsi="Calibri"/>
                <w:sz w:val="11"/>
                <w:szCs w:val="11"/>
                <w:color w:val="auto"/>
              </w:rPr>
              <w:t>8-K</w:t>
            </w:r>
          </w:p>
        </w:tc>
        <w:tc>
          <w:tcPr>
            <w:tcW w:w="152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rPr>
              <w:t>10/21/2022</w:t>
            </w:r>
          </w:p>
        </w:tc>
        <w:tc>
          <w:tcPr>
            <w:tcW w:w="740" w:type="dxa"/>
            <w:vAlign w:val="bottom"/>
          </w:tcPr>
          <w:p>
            <w:pPr>
              <w:jc w:val="center"/>
              <w:ind w:right="83"/>
              <w:spacing w:after="0" w:line="117" w:lineRule="exact"/>
              <w:rPr>
                <w:sz w:val="20"/>
                <w:szCs w:val="20"/>
                <w:color w:val="auto"/>
              </w:rPr>
            </w:pPr>
            <w:r>
              <w:rPr>
                <w:rFonts w:ascii="Calibri" w:cs="Calibri" w:eastAsia="Calibri" w:hAnsi="Calibri"/>
                <w:sz w:val="11"/>
                <w:szCs w:val="11"/>
                <w:color w:val="auto"/>
                <w:w w:val="95"/>
              </w:rPr>
              <w:t>10.20</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6080" w:type="dxa"/>
            <w:vAlign w:val="bottom"/>
            <w:tcBorders>
              <w:bottom w:val="single" w:sz="8" w:color="auto"/>
            </w:tcBorders>
            <w:gridSpan w:val="15"/>
          </w:tcPr>
          <w:p>
            <w:pPr>
              <w:spacing w:after="0" w:line="118" w:lineRule="exact"/>
              <w:rPr>
                <w:rFonts w:ascii="Calibri" w:cs="Calibri" w:eastAsia="Calibri" w:hAnsi="Calibri"/>
                <w:sz w:val="11"/>
                <w:szCs w:val="11"/>
                <w:color w:val="auto"/>
              </w:rPr>
            </w:pPr>
            <w:hyperlink r:id="rId73">
              <w:r>
                <w:rPr>
                  <w:rFonts w:ascii="Calibri" w:cs="Calibri" w:eastAsia="Calibri" w:hAnsi="Calibri"/>
                  <w:sz w:val="11"/>
                  <w:szCs w:val="11"/>
                  <w:color w:val="auto"/>
                </w:rPr>
                <w:t>among Mission Produce, Inc., as Borrower, certain subsidiaries of the Borrower party thereto as guarantors, Bank of America, N.A. as</w:t>
              </w:r>
            </w:hyperlink>
          </w:p>
        </w:tc>
        <w:tc>
          <w:tcPr>
            <w:tcW w:w="34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6420" w:type="dxa"/>
            <w:vAlign w:val="bottom"/>
            <w:gridSpan w:val="18"/>
          </w:tcPr>
          <w:p>
            <w:pPr>
              <w:spacing w:after="0" w:line="118" w:lineRule="exact"/>
              <w:rPr>
                <w:rFonts w:ascii="Calibri" w:cs="Calibri" w:eastAsia="Calibri" w:hAnsi="Calibri"/>
                <w:sz w:val="11"/>
                <w:szCs w:val="11"/>
                <w:color w:val="auto"/>
              </w:rPr>
            </w:pPr>
            <w:hyperlink r:id="rId73">
              <w:r>
                <w:rPr>
                  <w:rFonts w:ascii="Calibri" w:cs="Calibri" w:eastAsia="Calibri" w:hAnsi="Calibri"/>
                  <w:sz w:val="11"/>
                  <w:szCs w:val="11"/>
                  <w:color w:val="auto"/>
                </w:rPr>
                <w:t>administratve agent, Swingline Lender and L/C Issuer, Farm Credit West, PCA as Syndicaton Agent, City Natonal Bank, Citbank, N.A., and</w:t>
              </w:r>
            </w:hyperlink>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6320" w:type="dxa"/>
            <w:vAlign w:val="bottom"/>
            <w:tcBorders>
              <w:top w:val="single" w:sz="8" w:color="auto"/>
            </w:tcBorders>
            <w:gridSpan w:val="17"/>
          </w:tcPr>
          <w:p>
            <w:pPr>
              <w:spacing w:after="0" w:line="107" w:lineRule="exact"/>
              <w:rPr>
                <w:rFonts w:ascii="Calibri" w:cs="Calibri" w:eastAsia="Calibri" w:hAnsi="Calibri"/>
                <w:sz w:val="11"/>
                <w:szCs w:val="11"/>
                <w:color w:val="auto"/>
              </w:rPr>
            </w:pPr>
            <w:hyperlink r:id="rId73">
              <w:r>
                <w:rPr>
                  <w:rFonts w:ascii="Calibri" w:cs="Calibri" w:eastAsia="Calibri" w:hAnsi="Calibri"/>
                  <w:sz w:val="11"/>
                  <w:szCs w:val="11"/>
                  <w:color w:val="auto"/>
                </w:rPr>
                <w:t>J.P. Morgan Chase Bank, N.A. as co-documentaton agents, BofA Securites, Inc. and Farm Credit West, PCA as joint lead arrangers and</w:t>
              </w:r>
            </w:hyperlink>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6100" w:type="dxa"/>
            <w:vAlign w:val="bottom"/>
            <w:tcBorders>
              <w:top w:val="single" w:sz="8" w:color="auto"/>
            </w:tcBorders>
            <w:gridSpan w:val="16"/>
          </w:tcPr>
          <w:p>
            <w:pPr>
              <w:spacing w:after="0" w:line="118" w:lineRule="exact"/>
              <w:rPr>
                <w:rFonts w:ascii="Calibri" w:cs="Calibri" w:eastAsia="Calibri" w:hAnsi="Calibri"/>
                <w:sz w:val="11"/>
                <w:szCs w:val="11"/>
                <w:color w:val="auto"/>
              </w:rPr>
            </w:pPr>
            <w:hyperlink r:id="rId73">
              <w:r>
                <w:rPr>
                  <w:rFonts w:ascii="Calibri" w:cs="Calibri" w:eastAsia="Calibri" w:hAnsi="Calibri"/>
                  <w:sz w:val="11"/>
                  <w:szCs w:val="11"/>
                  <w:color w:val="auto"/>
                </w:rPr>
                <w:t>joint bookrunners, and other lenders party thereto</w:t>
              </w:r>
            </w:hyperlink>
          </w:p>
        </w:tc>
        <w:tc>
          <w:tcPr>
            <w:tcW w:w="32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w w:val="99"/>
              </w:rPr>
              <w:t>10.21+#</w:t>
            </w:r>
          </w:p>
        </w:tc>
        <w:tc>
          <w:tcPr>
            <w:tcW w:w="6420" w:type="dxa"/>
            <w:vAlign w:val="bottom"/>
            <w:gridSpan w:val="18"/>
            <w:shd w:val="clear" w:color="auto" w:fill="DBDBDB"/>
          </w:tcPr>
          <w:p>
            <w:pPr>
              <w:spacing w:after="0" w:line="117" w:lineRule="exact"/>
              <w:rPr>
                <w:sz w:val="20"/>
                <w:szCs w:val="20"/>
                <w:color w:val="auto"/>
              </w:rPr>
            </w:pPr>
            <w:r>
              <w:rPr>
                <w:rFonts w:ascii="Calibri" w:cs="Calibri" w:eastAsia="Calibri" w:hAnsi="Calibri"/>
                <w:sz w:val="11"/>
                <w:szCs w:val="11"/>
                <w:color w:val="auto"/>
              </w:rPr>
              <w:t>Employee Equity Deferral Plan</w:t>
            </w:r>
          </w:p>
        </w:tc>
        <w:tc>
          <w:tcPr>
            <w:tcW w:w="640" w:type="dxa"/>
            <w:vAlign w:val="bottom"/>
            <w:shd w:val="clear" w:color="auto" w:fill="DBDBDB"/>
          </w:tcPr>
          <w:p>
            <w:pPr>
              <w:spacing w:after="0"/>
              <w:rPr>
                <w:sz w:val="10"/>
                <w:szCs w:val="10"/>
                <w:color w:val="auto"/>
              </w:rPr>
            </w:pPr>
          </w:p>
        </w:tc>
        <w:tc>
          <w:tcPr>
            <w:tcW w:w="15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20" w:type="dxa"/>
            <w:vAlign w:val="bottom"/>
            <w:shd w:val="clear" w:color="auto" w:fill="DBDBDB"/>
          </w:tcPr>
          <w:p>
            <w:pPr>
              <w:jc w:val="center"/>
              <w:ind w:left="63"/>
              <w:spacing w:after="0" w:line="117" w:lineRule="exact"/>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44"/>
        </w:trPr>
        <w:tc>
          <w:tcPr>
            <w:tcW w:w="940" w:type="dxa"/>
            <w:vAlign w:val="bottom"/>
            <w:tcBorders>
              <w:top w:val="single" w:sz="8" w:color="DBDBDB"/>
            </w:tcBorders>
            <w:shd w:val="clear" w:color="auto" w:fill="DBDBDB"/>
          </w:tcPr>
          <w:p>
            <w:pPr>
              <w:spacing w:after="0"/>
              <w:rPr>
                <w:sz w:val="3"/>
                <w:szCs w:val="3"/>
                <w:color w:val="auto"/>
              </w:rPr>
            </w:pPr>
          </w:p>
        </w:tc>
        <w:tc>
          <w:tcPr>
            <w:tcW w:w="840" w:type="dxa"/>
            <w:vAlign w:val="bottom"/>
            <w:tcBorders>
              <w:top w:val="single" w:sz="8" w:color="auto"/>
            </w:tcBorders>
            <w:shd w:val="clear" w:color="auto" w:fill="DBDBDB"/>
          </w:tcPr>
          <w:p>
            <w:pPr>
              <w:spacing w:after="0"/>
              <w:rPr>
                <w:sz w:val="3"/>
                <w:szCs w:val="3"/>
                <w:color w:val="auto"/>
              </w:rPr>
            </w:pPr>
          </w:p>
        </w:tc>
        <w:tc>
          <w:tcPr>
            <w:tcW w:w="540" w:type="dxa"/>
            <w:vAlign w:val="bottom"/>
            <w:tcBorders>
              <w:top w:val="single" w:sz="8" w:color="auto"/>
            </w:tcBorders>
            <w:shd w:val="clear" w:color="auto" w:fill="DBDBDB"/>
          </w:tcPr>
          <w:p>
            <w:pPr>
              <w:spacing w:after="0"/>
              <w:rPr>
                <w:sz w:val="3"/>
                <w:szCs w:val="3"/>
                <w:color w:val="auto"/>
              </w:rPr>
            </w:pPr>
          </w:p>
        </w:tc>
        <w:tc>
          <w:tcPr>
            <w:tcW w:w="80" w:type="dxa"/>
            <w:vAlign w:val="bottom"/>
            <w:tcBorders>
              <w:top w:val="single" w:sz="8" w:color="DBDBDB"/>
            </w:tcBorders>
            <w:shd w:val="clear" w:color="auto" w:fill="DBDBDB"/>
          </w:tcPr>
          <w:p>
            <w:pPr>
              <w:spacing w:after="0"/>
              <w:rPr>
                <w:sz w:val="3"/>
                <w:szCs w:val="3"/>
                <w:color w:val="auto"/>
              </w:rPr>
            </w:pPr>
          </w:p>
        </w:tc>
        <w:tc>
          <w:tcPr>
            <w:tcW w:w="60" w:type="dxa"/>
            <w:vAlign w:val="bottom"/>
            <w:tcBorders>
              <w:top w:val="single" w:sz="8" w:color="DBDBDB"/>
            </w:tcBorders>
            <w:shd w:val="clear" w:color="auto" w:fill="DBDBDB"/>
          </w:tcPr>
          <w:p>
            <w:pPr>
              <w:spacing w:after="0"/>
              <w:rPr>
                <w:sz w:val="3"/>
                <w:szCs w:val="3"/>
                <w:color w:val="auto"/>
              </w:rPr>
            </w:pPr>
          </w:p>
        </w:tc>
        <w:tc>
          <w:tcPr>
            <w:tcW w:w="58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180" w:type="dxa"/>
            <w:vAlign w:val="bottom"/>
            <w:tcBorders>
              <w:top w:val="single" w:sz="8" w:color="DBDBDB"/>
            </w:tcBorders>
            <w:shd w:val="clear" w:color="auto" w:fill="DBDBDB"/>
          </w:tcPr>
          <w:p>
            <w:pPr>
              <w:spacing w:after="0"/>
              <w:rPr>
                <w:sz w:val="3"/>
                <w:szCs w:val="3"/>
                <w:color w:val="auto"/>
              </w:rPr>
            </w:pPr>
          </w:p>
        </w:tc>
        <w:tc>
          <w:tcPr>
            <w:tcW w:w="780" w:type="dxa"/>
            <w:vAlign w:val="bottom"/>
            <w:tcBorders>
              <w:top w:val="single" w:sz="8" w:color="DBDBDB"/>
            </w:tcBorders>
            <w:shd w:val="clear" w:color="auto" w:fill="DBDBDB"/>
          </w:tcPr>
          <w:p>
            <w:pPr>
              <w:spacing w:after="0"/>
              <w:rPr>
                <w:sz w:val="3"/>
                <w:szCs w:val="3"/>
                <w:color w:val="auto"/>
              </w:rPr>
            </w:pPr>
          </w:p>
        </w:tc>
        <w:tc>
          <w:tcPr>
            <w:tcW w:w="14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1140" w:type="dxa"/>
            <w:vAlign w:val="bottom"/>
            <w:tcBorders>
              <w:top w:val="single" w:sz="8" w:color="DBDBDB"/>
            </w:tcBorders>
            <w:shd w:val="clear" w:color="auto" w:fill="DBDBDB"/>
          </w:tcPr>
          <w:p>
            <w:pPr>
              <w:spacing w:after="0"/>
              <w:rPr>
                <w:sz w:val="3"/>
                <w:szCs w:val="3"/>
                <w:color w:val="auto"/>
              </w:rPr>
            </w:pPr>
          </w:p>
        </w:tc>
        <w:tc>
          <w:tcPr>
            <w:tcW w:w="20" w:type="dxa"/>
            <w:vAlign w:val="bottom"/>
            <w:tcBorders>
              <w:top w:val="single" w:sz="8" w:color="DBDBDB"/>
            </w:tcBorders>
            <w:shd w:val="clear" w:color="auto" w:fill="DBDBDB"/>
          </w:tcPr>
          <w:p>
            <w:pPr>
              <w:spacing w:after="0"/>
              <w:rPr>
                <w:sz w:val="3"/>
                <w:szCs w:val="3"/>
                <w:color w:val="auto"/>
              </w:rPr>
            </w:pPr>
          </w:p>
        </w:tc>
        <w:tc>
          <w:tcPr>
            <w:tcW w:w="150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100" w:type="dxa"/>
            <w:vAlign w:val="bottom"/>
            <w:tcBorders>
              <w:top w:val="single" w:sz="8" w:color="DBDBDB"/>
            </w:tcBorders>
            <w:shd w:val="clear" w:color="auto" w:fill="DBDBDB"/>
          </w:tcPr>
          <w:p>
            <w:pPr>
              <w:spacing w:after="0"/>
              <w:rPr>
                <w:sz w:val="3"/>
                <w:szCs w:val="3"/>
                <w:color w:val="auto"/>
              </w:rPr>
            </w:pPr>
          </w:p>
        </w:tc>
        <w:tc>
          <w:tcPr>
            <w:tcW w:w="20" w:type="dxa"/>
            <w:vAlign w:val="bottom"/>
            <w:tcBorders>
              <w:top w:val="single" w:sz="8" w:color="DBDBDB"/>
            </w:tcBorders>
            <w:shd w:val="clear" w:color="auto" w:fill="DBDBDB"/>
          </w:tcPr>
          <w:p>
            <w:pPr>
              <w:spacing w:after="0"/>
              <w:rPr>
                <w:sz w:val="3"/>
                <w:szCs w:val="3"/>
                <w:color w:val="auto"/>
              </w:rPr>
            </w:pPr>
          </w:p>
        </w:tc>
        <w:tc>
          <w:tcPr>
            <w:tcW w:w="220" w:type="dxa"/>
            <w:vAlign w:val="bottom"/>
            <w:tcBorders>
              <w:top w:val="single" w:sz="8" w:color="DBDBDB"/>
              <w:right w:val="single" w:sz="8" w:color="DBDBDB"/>
            </w:tcBorders>
            <w:shd w:val="clear" w:color="auto" w:fill="DBDBDB"/>
          </w:tcPr>
          <w:p>
            <w:pPr>
              <w:spacing w:after="0"/>
              <w:rPr>
                <w:sz w:val="3"/>
                <w:szCs w:val="3"/>
                <w:color w:val="auto"/>
              </w:rPr>
            </w:pPr>
          </w:p>
        </w:tc>
        <w:tc>
          <w:tcPr>
            <w:tcW w:w="100" w:type="dxa"/>
            <w:vAlign w:val="bottom"/>
            <w:tcBorders>
              <w:top w:val="single" w:sz="8" w:color="DBDBDB"/>
            </w:tcBorders>
            <w:shd w:val="clear" w:color="auto" w:fill="DBDBDB"/>
          </w:tcPr>
          <w:p>
            <w:pPr>
              <w:spacing w:after="0"/>
              <w:rPr>
                <w:sz w:val="3"/>
                <w:szCs w:val="3"/>
                <w:color w:val="auto"/>
              </w:rPr>
            </w:pPr>
          </w:p>
        </w:tc>
        <w:tc>
          <w:tcPr>
            <w:tcW w:w="640" w:type="dxa"/>
            <w:vAlign w:val="bottom"/>
            <w:tcBorders>
              <w:top w:val="single" w:sz="8" w:color="DBDBDB"/>
            </w:tcBorders>
            <w:shd w:val="clear" w:color="auto" w:fill="DBDBDB"/>
          </w:tcPr>
          <w:p>
            <w:pPr>
              <w:spacing w:after="0"/>
              <w:rPr>
                <w:sz w:val="3"/>
                <w:szCs w:val="3"/>
                <w:color w:val="auto"/>
              </w:rPr>
            </w:pPr>
          </w:p>
        </w:tc>
        <w:tc>
          <w:tcPr>
            <w:tcW w:w="1520" w:type="dxa"/>
            <w:vAlign w:val="bottom"/>
            <w:tcBorders>
              <w:top w:val="single" w:sz="8" w:color="DBDBDB"/>
            </w:tcBorders>
            <w:shd w:val="clear" w:color="auto" w:fill="DBDBDB"/>
          </w:tcPr>
          <w:p>
            <w:pPr>
              <w:spacing w:after="0"/>
              <w:rPr>
                <w:sz w:val="3"/>
                <w:szCs w:val="3"/>
                <w:color w:val="auto"/>
              </w:rPr>
            </w:pPr>
          </w:p>
        </w:tc>
        <w:tc>
          <w:tcPr>
            <w:tcW w:w="740" w:type="dxa"/>
            <w:vAlign w:val="bottom"/>
            <w:tcBorders>
              <w:top w:val="single" w:sz="8" w:color="DBDBDB"/>
            </w:tcBorders>
            <w:shd w:val="clear" w:color="auto" w:fill="DBDBDB"/>
          </w:tcPr>
          <w:p>
            <w:pPr>
              <w:spacing w:after="0"/>
              <w:rPr>
                <w:sz w:val="3"/>
                <w:szCs w:val="3"/>
                <w:color w:val="auto"/>
              </w:rPr>
            </w:pPr>
          </w:p>
        </w:tc>
        <w:tc>
          <w:tcPr>
            <w:tcW w:w="1020" w:type="dxa"/>
            <w:vAlign w:val="bottom"/>
            <w:tcBorders>
              <w:top w:val="single" w:sz="8" w:color="DBDBDB"/>
            </w:tcBorders>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23"/>
              <w:spacing w:after="0" w:line="117" w:lineRule="exact"/>
              <w:rPr>
                <w:sz w:val="20"/>
                <w:szCs w:val="20"/>
                <w:color w:val="auto"/>
              </w:rPr>
            </w:pPr>
            <w:r>
              <w:rPr>
                <w:rFonts w:ascii="Calibri" w:cs="Calibri" w:eastAsia="Calibri" w:hAnsi="Calibri"/>
                <w:sz w:val="11"/>
                <w:szCs w:val="11"/>
                <w:color w:val="auto"/>
              </w:rPr>
              <w:t>21.1#</w:t>
            </w:r>
          </w:p>
        </w:tc>
        <w:tc>
          <w:tcPr>
            <w:tcW w:w="6420" w:type="dxa"/>
            <w:vAlign w:val="bottom"/>
            <w:gridSpan w:val="18"/>
          </w:tcPr>
          <w:p>
            <w:pPr>
              <w:spacing w:after="0" w:line="117" w:lineRule="exact"/>
              <w:rPr>
                <w:sz w:val="20"/>
                <w:szCs w:val="20"/>
                <w:color w:val="auto"/>
              </w:rPr>
            </w:pPr>
            <w:r>
              <w:rPr>
                <w:rFonts w:ascii="Calibri" w:cs="Calibri" w:eastAsia="Calibri" w:hAnsi="Calibri"/>
                <w:sz w:val="11"/>
                <w:szCs w:val="11"/>
                <w:color w:val="auto"/>
              </w:rPr>
              <w:t>List of Subsidiaries of Registrant</w:t>
            </w:r>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jc w:val="center"/>
              <w:ind w:left="63"/>
              <w:spacing w:after="0" w:line="117" w:lineRule="exact"/>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40" w:type="dxa"/>
            <w:vAlign w:val="bottom"/>
            <w:shd w:val="clear" w:color="auto" w:fill="DBDBDB"/>
          </w:tcPr>
          <w:p>
            <w:pPr>
              <w:jc w:val="center"/>
              <w:ind w:right="43"/>
              <w:spacing w:after="0" w:line="117" w:lineRule="exact"/>
              <w:rPr>
                <w:sz w:val="20"/>
                <w:szCs w:val="20"/>
                <w:color w:val="auto"/>
              </w:rPr>
            </w:pPr>
            <w:r>
              <w:rPr>
                <w:rFonts w:ascii="Calibri" w:cs="Calibri" w:eastAsia="Calibri" w:hAnsi="Calibri"/>
                <w:sz w:val="11"/>
                <w:szCs w:val="11"/>
                <w:color w:val="auto"/>
              </w:rPr>
              <w:t>23.1</w:t>
            </w:r>
          </w:p>
        </w:tc>
        <w:tc>
          <w:tcPr>
            <w:tcW w:w="6420" w:type="dxa"/>
            <w:vAlign w:val="bottom"/>
            <w:gridSpan w:val="18"/>
            <w:shd w:val="clear" w:color="auto" w:fill="DBDBDB"/>
          </w:tcPr>
          <w:p>
            <w:pPr>
              <w:spacing w:after="0" w:line="117" w:lineRule="exact"/>
              <w:rPr>
                <w:sz w:val="20"/>
                <w:szCs w:val="20"/>
                <w:color w:val="auto"/>
              </w:rPr>
            </w:pPr>
            <w:r>
              <w:rPr>
                <w:rFonts w:ascii="Calibri" w:cs="Calibri" w:eastAsia="Calibri" w:hAnsi="Calibri"/>
                <w:sz w:val="11"/>
                <w:szCs w:val="11"/>
                <w:color w:val="auto"/>
              </w:rPr>
              <w:t>Consent of Deloite &amp; Touche LLP</w:t>
            </w:r>
          </w:p>
        </w:tc>
        <w:tc>
          <w:tcPr>
            <w:tcW w:w="64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020" w:type="dxa"/>
            <w:vAlign w:val="bottom"/>
            <w:shd w:val="clear" w:color="auto" w:fill="DBDBDB"/>
          </w:tcPr>
          <w:p>
            <w:pPr>
              <w:jc w:val="center"/>
              <w:ind w:left="63"/>
              <w:spacing w:after="0" w:line="117" w:lineRule="exact"/>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117"/>
        </w:trPr>
        <w:tc>
          <w:tcPr>
            <w:tcW w:w="940" w:type="dxa"/>
            <w:vAlign w:val="bottom"/>
            <w:tcBorders>
              <w:top w:val="single" w:sz="8" w:color="DBDBDB"/>
            </w:tcBorders>
          </w:tcPr>
          <w:p>
            <w:pPr>
              <w:jc w:val="center"/>
              <w:ind w:right="23"/>
              <w:spacing w:after="0" w:line="117" w:lineRule="exact"/>
              <w:rPr>
                <w:sz w:val="20"/>
                <w:szCs w:val="20"/>
                <w:color w:val="auto"/>
              </w:rPr>
            </w:pPr>
            <w:r>
              <w:rPr>
                <w:rFonts w:ascii="Calibri" w:cs="Calibri" w:eastAsia="Calibri" w:hAnsi="Calibri"/>
                <w:sz w:val="11"/>
                <w:szCs w:val="11"/>
                <w:color w:val="auto"/>
              </w:rPr>
              <w:t>24.1#</w:t>
            </w:r>
          </w:p>
        </w:tc>
        <w:tc>
          <w:tcPr>
            <w:tcW w:w="1520" w:type="dxa"/>
            <w:vAlign w:val="bottom"/>
            <w:tcBorders>
              <w:top w:val="single" w:sz="8" w:color="auto"/>
            </w:tcBorders>
            <w:gridSpan w:val="4"/>
          </w:tcPr>
          <w:p>
            <w:pPr>
              <w:spacing w:after="0" w:line="117" w:lineRule="exact"/>
              <w:rPr>
                <w:rFonts w:ascii="Calibri" w:cs="Calibri" w:eastAsia="Calibri" w:hAnsi="Calibri"/>
                <w:sz w:val="11"/>
                <w:szCs w:val="11"/>
                <w:color w:val="auto"/>
              </w:rPr>
            </w:pPr>
            <w:hyperlink r:id="rId74">
              <w:r>
                <w:rPr>
                  <w:rFonts w:ascii="Calibri" w:cs="Calibri" w:eastAsia="Calibri" w:hAnsi="Calibri"/>
                  <w:sz w:val="11"/>
                  <w:szCs w:val="11"/>
                  <w:color w:val="auto"/>
                </w:rPr>
                <w:t>Power of Atorney</w:t>
              </w:r>
            </w:hyperlink>
          </w:p>
        </w:tc>
        <w:tc>
          <w:tcPr>
            <w:tcW w:w="4900" w:type="dxa"/>
            <w:vAlign w:val="bottom"/>
            <w:tcBorders>
              <w:top w:val="single" w:sz="8" w:color="DBDBDB"/>
            </w:tcBorders>
            <w:gridSpan w:val="14"/>
          </w:tcPr>
          <w:p>
            <w:pPr>
              <w:spacing w:after="0"/>
              <w:rPr>
                <w:sz w:val="10"/>
                <w:szCs w:val="10"/>
                <w:color w:val="auto"/>
              </w:rPr>
            </w:pPr>
          </w:p>
        </w:tc>
        <w:tc>
          <w:tcPr>
            <w:tcW w:w="640" w:type="dxa"/>
            <w:vAlign w:val="bottom"/>
            <w:tcBorders>
              <w:top w:val="single" w:sz="8" w:color="DBDBDB"/>
            </w:tcBorders>
          </w:tcPr>
          <w:p>
            <w:pPr>
              <w:jc w:val="center"/>
              <w:spacing w:after="0" w:line="117" w:lineRule="exact"/>
              <w:rPr>
                <w:sz w:val="20"/>
                <w:szCs w:val="20"/>
                <w:color w:val="auto"/>
              </w:rPr>
            </w:pPr>
            <w:r>
              <w:rPr>
                <w:rFonts w:ascii="Calibri" w:cs="Calibri" w:eastAsia="Calibri" w:hAnsi="Calibri"/>
                <w:sz w:val="11"/>
                <w:szCs w:val="11"/>
                <w:color w:val="auto"/>
                <w:w w:val="98"/>
              </w:rPr>
              <w:t>10-K</w:t>
            </w:r>
          </w:p>
        </w:tc>
        <w:tc>
          <w:tcPr>
            <w:tcW w:w="1520" w:type="dxa"/>
            <w:vAlign w:val="bottom"/>
            <w:tcBorders>
              <w:top w:val="single" w:sz="8" w:color="DBDBDB"/>
            </w:tcBorders>
          </w:tcPr>
          <w:p>
            <w:pPr>
              <w:jc w:val="center"/>
              <w:ind w:right="83"/>
              <w:spacing w:after="0" w:line="117" w:lineRule="exact"/>
              <w:rPr>
                <w:sz w:val="20"/>
                <w:szCs w:val="20"/>
                <w:color w:val="auto"/>
              </w:rPr>
            </w:pPr>
            <w:r>
              <w:rPr>
                <w:rFonts w:ascii="Calibri" w:cs="Calibri" w:eastAsia="Calibri" w:hAnsi="Calibri"/>
                <w:sz w:val="11"/>
                <w:szCs w:val="11"/>
                <w:color w:val="auto"/>
              </w:rPr>
              <w:t>1/19/2021</w:t>
            </w:r>
          </w:p>
        </w:tc>
        <w:tc>
          <w:tcPr>
            <w:tcW w:w="740" w:type="dxa"/>
            <w:vAlign w:val="bottom"/>
            <w:tcBorders>
              <w:top w:val="single" w:sz="8" w:color="DBDBDB"/>
            </w:tcBorders>
          </w:tcPr>
          <w:p>
            <w:pPr>
              <w:jc w:val="center"/>
              <w:ind w:right="83"/>
              <w:spacing w:after="0" w:line="117" w:lineRule="exact"/>
              <w:rPr>
                <w:sz w:val="20"/>
                <w:szCs w:val="20"/>
                <w:color w:val="auto"/>
              </w:rPr>
            </w:pPr>
            <w:r>
              <w:rPr>
                <w:rFonts w:ascii="Calibri" w:cs="Calibri" w:eastAsia="Calibri" w:hAnsi="Calibri"/>
                <w:sz w:val="11"/>
                <w:szCs w:val="11"/>
                <w:color w:val="auto"/>
              </w:rPr>
              <w:t>24.1</w:t>
            </w:r>
          </w:p>
        </w:tc>
        <w:tc>
          <w:tcPr>
            <w:tcW w:w="1020" w:type="dxa"/>
            <w:vAlign w:val="bottom"/>
            <w:tcBorders>
              <w:top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tcBorders>
              <w:bottom w:val="single" w:sz="8" w:color="DBDBDB"/>
            </w:tcBorders>
            <w:shd w:val="clear" w:color="auto" w:fill="DBDBDB"/>
          </w:tcPr>
          <w:p>
            <w:pPr>
              <w:jc w:val="center"/>
              <w:ind w:right="23"/>
              <w:spacing w:after="0" w:line="117" w:lineRule="exact"/>
              <w:rPr>
                <w:sz w:val="20"/>
                <w:szCs w:val="20"/>
                <w:color w:val="auto"/>
              </w:rPr>
            </w:pPr>
            <w:r>
              <w:rPr>
                <w:rFonts w:ascii="Calibri" w:cs="Calibri" w:eastAsia="Calibri" w:hAnsi="Calibri"/>
                <w:sz w:val="11"/>
                <w:szCs w:val="11"/>
                <w:color w:val="auto"/>
              </w:rPr>
              <w:t>31.1*</w:t>
            </w:r>
          </w:p>
        </w:tc>
        <w:tc>
          <w:tcPr>
            <w:tcW w:w="5980" w:type="dxa"/>
            <w:vAlign w:val="bottom"/>
            <w:tcBorders>
              <w:bottom w:val="single" w:sz="8" w:color="auto"/>
            </w:tcBorders>
            <w:gridSpan w:val="14"/>
            <w:shd w:val="clear" w:color="auto" w:fill="DBDBDB"/>
          </w:tcPr>
          <w:p>
            <w:pPr>
              <w:spacing w:after="0" w:line="117" w:lineRule="exact"/>
              <w:rPr>
                <w:sz w:val="20"/>
                <w:szCs w:val="20"/>
                <w:color w:val="auto"/>
              </w:rPr>
            </w:pPr>
            <w:r>
              <w:rPr>
                <w:rFonts w:ascii="Calibri" w:cs="Calibri" w:eastAsia="Calibri" w:hAnsi="Calibri"/>
                <w:sz w:val="11"/>
                <w:szCs w:val="11"/>
                <w:color w:val="auto"/>
              </w:rPr>
              <w:t>Certfcaton of Principal Executve Ofcer Pursuant to Rules 13a-14(a) and 15d-14(a) under the Securites Exchange Act of 1934, as</w:t>
            </w:r>
          </w:p>
        </w:tc>
        <w:tc>
          <w:tcPr>
            <w:tcW w:w="440" w:type="dxa"/>
            <w:vAlign w:val="bottom"/>
            <w:tcBorders>
              <w:bottom w:val="single" w:sz="8" w:color="DBDBDB"/>
            </w:tcBorders>
            <w:gridSpan w:val="4"/>
            <w:shd w:val="clear" w:color="auto" w:fill="DBDBDB"/>
          </w:tcPr>
          <w:p>
            <w:pPr>
              <w:spacing w:after="0"/>
              <w:rPr>
                <w:sz w:val="10"/>
                <w:szCs w:val="10"/>
                <w:color w:val="auto"/>
              </w:rPr>
            </w:pPr>
          </w:p>
        </w:tc>
        <w:tc>
          <w:tcPr>
            <w:tcW w:w="640" w:type="dxa"/>
            <w:vAlign w:val="bottom"/>
            <w:tcBorders>
              <w:bottom w:val="single" w:sz="8" w:color="DBDBDB"/>
            </w:tcBorders>
            <w:shd w:val="clear" w:color="auto" w:fill="DBDBDB"/>
          </w:tcPr>
          <w:p>
            <w:pPr>
              <w:spacing w:after="0"/>
              <w:rPr>
                <w:sz w:val="10"/>
                <w:szCs w:val="10"/>
                <w:color w:val="auto"/>
              </w:rPr>
            </w:pPr>
          </w:p>
        </w:tc>
        <w:tc>
          <w:tcPr>
            <w:tcW w:w="1520" w:type="dxa"/>
            <w:vAlign w:val="bottom"/>
            <w:tcBorders>
              <w:bottom w:val="single" w:sz="8" w:color="DBDBDB"/>
            </w:tcBorders>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jc w:val="center"/>
              <w:ind w:left="63"/>
              <w:spacing w:after="0" w:line="117" w:lineRule="exact"/>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118"/>
        </w:trPr>
        <w:tc>
          <w:tcPr>
            <w:tcW w:w="940" w:type="dxa"/>
            <w:vAlign w:val="bottom"/>
            <w:shd w:val="clear" w:color="auto" w:fill="DBDBDB"/>
          </w:tcPr>
          <w:p>
            <w:pPr>
              <w:spacing w:after="0"/>
              <w:rPr>
                <w:sz w:val="10"/>
                <w:szCs w:val="10"/>
                <w:color w:val="auto"/>
              </w:rPr>
            </w:pPr>
          </w:p>
        </w:tc>
        <w:tc>
          <w:tcPr>
            <w:tcW w:w="6420" w:type="dxa"/>
            <w:vAlign w:val="bottom"/>
            <w:gridSpan w:val="18"/>
            <w:shd w:val="clear" w:color="auto" w:fill="DBDBDB"/>
          </w:tcPr>
          <w:p>
            <w:pPr>
              <w:spacing w:after="0" w:line="118" w:lineRule="exact"/>
              <w:rPr>
                <w:sz w:val="20"/>
                <w:szCs w:val="20"/>
                <w:color w:val="auto"/>
              </w:rPr>
            </w:pPr>
            <w:r>
              <w:rPr>
                <w:rFonts w:ascii="Calibri" w:cs="Calibri" w:eastAsia="Calibri" w:hAnsi="Calibri"/>
                <w:sz w:val="11"/>
                <w:szCs w:val="11"/>
                <w:color w:val="auto"/>
              </w:rPr>
              <w:t>Adopted Pursuant to Secton 302 of the Sarbanes-Oxley Act of 2002</w:t>
            </w:r>
          </w:p>
        </w:tc>
        <w:tc>
          <w:tcPr>
            <w:tcW w:w="640" w:type="dxa"/>
            <w:vAlign w:val="bottom"/>
            <w:shd w:val="clear" w:color="auto" w:fill="DBDBDB"/>
          </w:tcPr>
          <w:p>
            <w:pPr>
              <w:spacing w:after="0"/>
              <w:rPr>
                <w:sz w:val="10"/>
                <w:szCs w:val="10"/>
                <w:color w:val="auto"/>
              </w:rPr>
            </w:pPr>
          </w:p>
        </w:tc>
        <w:tc>
          <w:tcPr>
            <w:tcW w:w="152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Borders>
              <w:top w:val="single" w:sz="8" w:color="DBDBDB"/>
            </w:tcBorders>
            <w:shd w:val="clear" w:color="auto" w:fill="DBDBDB"/>
          </w:tcPr>
          <w:p>
            <w:pPr>
              <w:spacing w:after="0"/>
              <w:rPr>
                <w:sz w:val="3"/>
                <w:szCs w:val="3"/>
                <w:color w:val="auto"/>
              </w:rPr>
            </w:pPr>
          </w:p>
        </w:tc>
        <w:tc>
          <w:tcPr>
            <w:tcW w:w="840" w:type="dxa"/>
            <w:vAlign w:val="bottom"/>
            <w:tcBorders>
              <w:top w:val="single" w:sz="8" w:color="auto"/>
            </w:tcBorders>
            <w:shd w:val="clear" w:color="auto" w:fill="DBDBDB"/>
          </w:tcPr>
          <w:p>
            <w:pPr>
              <w:spacing w:after="0"/>
              <w:rPr>
                <w:sz w:val="3"/>
                <w:szCs w:val="3"/>
                <w:color w:val="auto"/>
              </w:rPr>
            </w:pPr>
          </w:p>
        </w:tc>
        <w:tc>
          <w:tcPr>
            <w:tcW w:w="540" w:type="dxa"/>
            <w:vAlign w:val="bottom"/>
            <w:tcBorders>
              <w:top w:val="single" w:sz="8" w:color="auto"/>
            </w:tcBorders>
            <w:shd w:val="clear" w:color="auto" w:fill="DBDBDB"/>
          </w:tcPr>
          <w:p>
            <w:pPr>
              <w:spacing w:after="0"/>
              <w:rPr>
                <w:sz w:val="3"/>
                <w:szCs w:val="3"/>
                <w:color w:val="auto"/>
              </w:rPr>
            </w:pPr>
          </w:p>
        </w:tc>
        <w:tc>
          <w:tcPr>
            <w:tcW w:w="80" w:type="dxa"/>
            <w:vAlign w:val="bottom"/>
            <w:tcBorders>
              <w:top w:val="single" w:sz="8" w:color="auto"/>
            </w:tcBorders>
            <w:shd w:val="clear" w:color="auto" w:fill="DBDBDB"/>
          </w:tcPr>
          <w:p>
            <w:pPr>
              <w:spacing w:after="0"/>
              <w:rPr>
                <w:sz w:val="3"/>
                <w:szCs w:val="3"/>
                <w:color w:val="auto"/>
              </w:rPr>
            </w:pPr>
          </w:p>
        </w:tc>
        <w:tc>
          <w:tcPr>
            <w:tcW w:w="60" w:type="dxa"/>
            <w:vAlign w:val="bottom"/>
            <w:tcBorders>
              <w:top w:val="single" w:sz="8" w:color="auto"/>
            </w:tcBorders>
            <w:shd w:val="clear" w:color="auto" w:fill="DBDBDB"/>
          </w:tcPr>
          <w:p>
            <w:pPr>
              <w:spacing w:after="0"/>
              <w:rPr>
                <w:sz w:val="3"/>
                <w:szCs w:val="3"/>
                <w:color w:val="auto"/>
              </w:rPr>
            </w:pPr>
          </w:p>
        </w:tc>
        <w:tc>
          <w:tcPr>
            <w:tcW w:w="580" w:type="dxa"/>
            <w:vAlign w:val="bottom"/>
            <w:tcBorders>
              <w:top w:val="single" w:sz="8" w:color="auto"/>
            </w:tcBorders>
            <w:shd w:val="clear" w:color="auto" w:fill="DBDBDB"/>
          </w:tcPr>
          <w:p>
            <w:pPr>
              <w:spacing w:after="0"/>
              <w:rPr>
                <w:sz w:val="3"/>
                <w:szCs w:val="3"/>
                <w:color w:val="auto"/>
              </w:rPr>
            </w:pPr>
          </w:p>
        </w:tc>
        <w:tc>
          <w:tcPr>
            <w:tcW w:w="40" w:type="dxa"/>
            <w:vAlign w:val="bottom"/>
            <w:tcBorders>
              <w:top w:val="single" w:sz="8" w:color="auto"/>
            </w:tcBorders>
            <w:shd w:val="clear" w:color="auto" w:fill="DBDBDB"/>
          </w:tcPr>
          <w:p>
            <w:pPr>
              <w:spacing w:after="0"/>
              <w:rPr>
                <w:sz w:val="3"/>
                <w:szCs w:val="3"/>
                <w:color w:val="auto"/>
              </w:rPr>
            </w:pPr>
          </w:p>
        </w:tc>
        <w:tc>
          <w:tcPr>
            <w:tcW w:w="180" w:type="dxa"/>
            <w:vAlign w:val="bottom"/>
            <w:tcBorders>
              <w:top w:val="single" w:sz="8" w:color="auto"/>
            </w:tcBorders>
            <w:shd w:val="clear" w:color="auto" w:fill="DBDBDB"/>
          </w:tcPr>
          <w:p>
            <w:pPr>
              <w:spacing w:after="0"/>
              <w:rPr>
                <w:sz w:val="3"/>
                <w:szCs w:val="3"/>
                <w:color w:val="auto"/>
              </w:rPr>
            </w:pPr>
          </w:p>
        </w:tc>
        <w:tc>
          <w:tcPr>
            <w:tcW w:w="780" w:type="dxa"/>
            <w:vAlign w:val="bottom"/>
            <w:tcBorders>
              <w:top w:val="single" w:sz="8" w:color="auto"/>
            </w:tcBorders>
            <w:shd w:val="clear" w:color="auto" w:fill="DBDBDB"/>
          </w:tcPr>
          <w:p>
            <w:pPr>
              <w:spacing w:after="0"/>
              <w:rPr>
                <w:sz w:val="3"/>
                <w:szCs w:val="3"/>
                <w:color w:val="auto"/>
              </w:rPr>
            </w:pPr>
          </w:p>
        </w:tc>
        <w:tc>
          <w:tcPr>
            <w:tcW w:w="14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1140" w:type="dxa"/>
            <w:vAlign w:val="bottom"/>
            <w:tcBorders>
              <w:top w:val="single" w:sz="8" w:color="DBDBDB"/>
            </w:tcBorders>
            <w:shd w:val="clear" w:color="auto" w:fill="DBDBDB"/>
          </w:tcPr>
          <w:p>
            <w:pPr>
              <w:spacing w:after="0"/>
              <w:rPr>
                <w:sz w:val="3"/>
                <w:szCs w:val="3"/>
                <w:color w:val="auto"/>
              </w:rPr>
            </w:pPr>
          </w:p>
        </w:tc>
        <w:tc>
          <w:tcPr>
            <w:tcW w:w="20" w:type="dxa"/>
            <w:vAlign w:val="bottom"/>
            <w:tcBorders>
              <w:top w:val="single" w:sz="8" w:color="DBDBDB"/>
            </w:tcBorders>
            <w:shd w:val="clear" w:color="auto" w:fill="DBDBDB"/>
          </w:tcPr>
          <w:p>
            <w:pPr>
              <w:spacing w:after="0"/>
              <w:rPr>
                <w:sz w:val="3"/>
                <w:szCs w:val="3"/>
                <w:color w:val="auto"/>
              </w:rPr>
            </w:pPr>
          </w:p>
        </w:tc>
        <w:tc>
          <w:tcPr>
            <w:tcW w:w="1500" w:type="dxa"/>
            <w:vAlign w:val="bottom"/>
            <w:tcBorders>
              <w:top w:val="single" w:sz="8" w:color="DBDBDB"/>
            </w:tcBorders>
            <w:shd w:val="clear" w:color="auto" w:fill="DBDBDB"/>
          </w:tcPr>
          <w:p>
            <w:pPr>
              <w:spacing w:after="0"/>
              <w:rPr>
                <w:sz w:val="3"/>
                <w:szCs w:val="3"/>
                <w:color w:val="auto"/>
              </w:rPr>
            </w:pPr>
          </w:p>
        </w:tc>
        <w:tc>
          <w:tcPr>
            <w:tcW w:w="40" w:type="dxa"/>
            <w:vAlign w:val="bottom"/>
            <w:tcBorders>
              <w:top w:val="single" w:sz="8" w:color="DBDBDB"/>
            </w:tcBorders>
            <w:shd w:val="clear" w:color="auto" w:fill="DBDBDB"/>
          </w:tcPr>
          <w:p>
            <w:pPr>
              <w:spacing w:after="0"/>
              <w:rPr>
                <w:sz w:val="3"/>
                <w:szCs w:val="3"/>
                <w:color w:val="auto"/>
              </w:rPr>
            </w:pPr>
          </w:p>
        </w:tc>
        <w:tc>
          <w:tcPr>
            <w:tcW w:w="100" w:type="dxa"/>
            <w:vAlign w:val="bottom"/>
            <w:tcBorders>
              <w:top w:val="single" w:sz="8" w:color="DBDBDB"/>
            </w:tcBorders>
            <w:shd w:val="clear" w:color="auto" w:fill="DBDBDB"/>
          </w:tcPr>
          <w:p>
            <w:pPr>
              <w:spacing w:after="0"/>
              <w:rPr>
                <w:sz w:val="3"/>
                <w:szCs w:val="3"/>
                <w:color w:val="auto"/>
              </w:rPr>
            </w:pPr>
          </w:p>
        </w:tc>
        <w:tc>
          <w:tcPr>
            <w:tcW w:w="20" w:type="dxa"/>
            <w:vAlign w:val="bottom"/>
            <w:tcBorders>
              <w:top w:val="single" w:sz="8" w:color="DBDBDB"/>
            </w:tcBorders>
            <w:shd w:val="clear" w:color="auto" w:fill="DBDBDB"/>
          </w:tcPr>
          <w:p>
            <w:pPr>
              <w:spacing w:after="0"/>
              <w:rPr>
                <w:sz w:val="3"/>
                <w:szCs w:val="3"/>
                <w:color w:val="auto"/>
              </w:rPr>
            </w:pPr>
          </w:p>
        </w:tc>
        <w:tc>
          <w:tcPr>
            <w:tcW w:w="220" w:type="dxa"/>
            <w:vAlign w:val="bottom"/>
            <w:tcBorders>
              <w:top w:val="single" w:sz="8" w:color="DBDBDB"/>
              <w:right w:val="single" w:sz="8" w:color="DBDBDB"/>
            </w:tcBorders>
            <w:shd w:val="clear" w:color="auto" w:fill="DBDBDB"/>
          </w:tcPr>
          <w:p>
            <w:pPr>
              <w:spacing w:after="0"/>
              <w:rPr>
                <w:sz w:val="3"/>
                <w:szCs w:val="3"/>
                <w:color w:val="auto"/>
              </w:rPr>
            </w:pPr>
          </w:p>
        </w:tc>
        <w:tc>
          <w:tcPr>
            <w:tcW w:w="100" w:type="dxa"/>
            <w:vAlign w:val="bottom"/>
            <w:tcBorders>
              <w:top w:val="single" w:sz="8" w:color="DBDBDB"/>
            </w:tcBorders>
            <w:shd w:val="clear" w:color="auto" w:fill="DBDBDB"/>
          </w:tcPr>
          <w:p>
            <w:pPr>
              <w:spacing w:after="0"/>
              <w:rPr>
                <w:sz w:val="3"/>
                <w:szCs w:val="3"/>
                <w:color w:val="auto"/>
              </w:rPr>
            </w:pPr>
          </w:p>
        </w:tc>
        <w:tc>
          <w:tcPr>
            <w:tcW w:w="640" w:type="dxa"/>
            <w:vAlign w:val="bottom"/>
            <w:tcBorders>
              <w:top w:val="single" w:sz="8" w:color="DBDBDB"/>
            </w:tcBorders>
            <w:shd w:val="clear" w:color="auto" w:fill="DBDBDB"/>
          </w:tcPr>
          <w:p>
            <w:pPr>
              <w:spacing w:after="0"/>
              <w:rPr>
                <w:sz w:val="3"/>
                <w:szCs w:val="3"/>
                <w:color w:val="auto"/>
              </w:rPr>
            </w:pPr>
          </w:p>
        </w:tc>
        <w:tc>
          <w:tcPr>
            <w:tcW w:w="1520" w:type="dxa"/>
            <w:vAlign w:val="bottom"/>
            <w:tcBorders>
              <w:top w:val="single" w:sz="8" w:color="DBDBDB"/>
            </w:tcBorders>
            <w:shd w:val="clear" w:color="auto" w:fill="DBDBDB"/>
          </w:tcPr>
          <w:p>
            <w:pPr>
              <w:spacing w:after="0"/>
              <w:rPr>
                <w:sz w:val="3"/>
                <w:szCs w:val="3"/>
                <w:color w:val="auto"/>
              </w:rPr>
            </w:pPr>
          </w:p>
        </w:tc>
        <w:tc>
          <w:tcPr>
            <w:tcW w:w="740" w:type="dxa"/>
            <w:vAlign w:val="bottom"/>
            <w:tcBorders>
              <w:top w:val="single" w:sz="8" w:color="DBDBDB"/>
            </w:tcBorders>
            <w:shd w:val="clear" w:color="auto" w:fill="DBDBDB"/>
          </w:tcPr>
          <w:p>
            <w:pPr>
              <w:spacing w:after="0"/>
              <w:rPr>
                <w:sz w:val="3"/>
                <w:szCs w:val="3"/>
                <w:color w:val="auto"/>
              </w:rPr>
            </w:pPr>
          </w:p>
        </w:tc>
        <w:tc>
          <w:tcPr>
            <w:tcW w:w="1020" w:type="dxa"/>
            <w:vAlign w:val="bottom"/>
            <w:tcBorders>
              <w:top w:val="single" w:sz="8" w:color="DBDBDB"/>
            </w:tcBorders>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940" w:type="dxa"/>
            <w:vAlign w:val="bottom"/>
          </w:tcPr>
          <w:p>
            <w:pPr>
              <w:jc w:val="center"/>
              <w:ind w:right="23"/>
              <w:spacing w:after="0" w:line="117" w:lineRule="exact"/>
              <w:rPr>
                <w:sz w:val="20"/>
                <w:szCs w:val="20"/>
                <w:color w:val="auto"/>
              </w:rPr>
            </w:pPr>
            <w:r>
              <w:rPr>
                <w:rFonts w:ascii="Calibri" w:cs="Calibri" w:eastAsia="Calibri" w:hAnsi="Calibri"/>
                <w:sz w:val="11"/>
                <w:szCs w:val="11"/>
                <w:color w:val="auto"/>
              </w:rPr>
              <w:t>31.2*</w:t>
            </w:r>
          </w:p>
        </w:tc>
        <w:tc>
          <w:tcPr>
            <w:tcW w:w="6420" w:type="dxa"/>
            <w:vAlign w:val="bottom"/>
            <w:gridSpan w:val="18"/>
          </w:tcPr>
          <w:p>
            <w:pPr>
              <w:spacing w:after="0" w:line="117" w:lineRule="exact"/>
              <w:rPr>
                <w:sz w:val="20"/>
                <w:szCs w:val="20"/>
                <w:color w:val="auto"/>
              </w:rPr>
            </w:pPr>
            <w:r>
              <w:rPr>
                <w:rFonts w:ascii="Calibri" w:cs="Calibri" w:eastAsia="Calibri" w:hAnsi="Calibri"/>
                <w:sz w:val="11"/>
                <w:szCs w:val="11"/>
                <w:color w:val="auto"/>
              </w:rPr>
              <w:t>Certfcaton of Principal Financial Ofcer Pursuant to Rules 13a-14(a) and 15d-14(a) under the Securites Exchange Act of 1934, as</w:t>
            </w:r>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jc w:val="center"/>
              <w:ind w:left="63"/>
              <w:spacing w:after="0" w:line="117" w:lineRule="exact"/>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118"/>
        </w:trPr>
        <w:tc>
          <w:tcPr>
            <w:tcW w:w="940" w:type="dxa"/>
            <w:vAlign w:val="bottom"/>
          </w:tcPr>
          <w:p>
            <w:pPr>
              <w:spacing w:after="0"/>
              <w:rPr>
                <w:sz w:val="10"/>
                <w:szCs w:val="10"/>
                <w:color w:val="auto"/>
              </w:rPr>
            </w:pPr>
          </w:p>
        </w:tc>
        <w:tc>
          <w:tcPr>
            <w:tcW w:w="5940" w:type="dxa"/>
            <w:vAlign w:val="bottom"/>
            <w:tcBorders>
              <w:top w:val="single" w:sz="8" w:color="auto"/>
            </w:tcBorders>
            <w:gridSpan w:val="13"/>
          </w:tcPr>
          <w:p>
            <w:pPr>
              <w:spacing w:after="0" w:line="118" w:lineRule="exact"/>
              <w:rPr>
                <w:sz w:val="20"/>
                <w:szCs w:val="20"/>
                <w:color w:val="auto"/>
              </w:rPr>
            </w:pPr>
            <w:r>
              <w:rPr>
                <w:rFonts w:ascii="Calibri" w:cs="Calibri" w:eastAsia="Calibri" w:hAnsi="Calibri"/>
                <w:sz w:val="11"/>
                <w:szCs w:val="11"/>
                <w:color w:val="auto"/>
              </w:rPr>
              <w:t>Adopted Pursuant to Secton 302 of the Sarbanes-Oxley Act of 2002</w:t>
            </w:r>
          </w:p>
        </w:tc>
        <w:tc>
          <w:tcPr>
            <w:tcW w:w="480" w:type="dxa"/>
            <w:vAlign w:val="bottom"/>
            <w:gridSpan w:val="5"/>
          </w:tcPr>
          <w:p>
            <w:pPr>
              <w:spacing w:after="0"/>
              <w:rPr>
                <w:sz w:val="10"/>
                <w:szCs w:val="10"/>
                <w:color w:val="auto"/>
              </w:rPr>
            </w:pPr>
          </w:p>
        </w:tc>
        <w:tc>
          <w:tcPr>
            <w:tcW w:w="6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940" w:type="dxa"/>
            <w:vAlign w:val="bottom"/>
            <w:shd w:val="clear" w:color="auto" w:fill="DBDBDB"/>
          </w:tcPr>
          <w:p>
            <w:pPr>
              <w:jc w:val="center"/>
              <w:ind w:right="23"/>
              <w:spacing w:after="0" w:line="117" w:lineRule="exact"/>
              <w:rPr>
                <w:sz w:val="20"/>
                <w:szCs w:val="20"/>
                <w:color w:val="auto"/>
              </w:rPr>
            </w:pPr>
            <w:r>
              <w:rPr>
                <w:rFonts w:ascii="Calibri" w:cs="Calibri" w:eastAsia="Calibri" w:hAnsi="Calibri"/>
                <w:sz w:val="11"/>
                <w:szCs w:val="11"/>
                <w:color w:val="auto"/>
              </w:rPr>
              <w:t>32.1*</w:t>
            </w:r>
          </w:p>
        </w:tc>
        <w:tc>
          <w:tcPr>
            <w:tcW w:w="6420" w:type="dxa"/>
            <w:vAlign w:val="bottom"/>
            <w:gridSpan w:val="18"/>
            <w:shd w:val="clear" w:color="auto" w:fill="DBDBDB"/>
          </w:tcPr>
          <w:p>
            <w:pPr>
              <w:spacing w:after="0" w:line="117" w:lineRule="exact"/>
              <w:rPr>
                <w:sz w:val="20"/>
                <w:szCs w:val="20"/>
                <w:color w:val="auto"/>
              </w:rPr>
            </w:pPr>
            <w:r>
              <w:rPr>
                <w:rFonts w:ascii="Calibri" w:cs="Calibri" w:eastAsia="Calibri" w:hAnsi="Calibri"/>
                <w:sz w:val="11"/>
                <w:szCs w:val="11"/>
                <w:color w:val="auto"/>
              </w:rPr>
              <w:t>Certfcaton of Chief Executve Ofcer pursuant to Secton 906 of the Sarbanes-Oxley Act of 2002</w:t>
            </w:r>
          </w:p>
        </w:tc>
        <w:tc>
          <w:tcPr>
            <w:tcW w:w="64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020" w:type="dxa"/>
            <w:vAlign w:val="bottom"/>
            <w:shd w:val="clear" w:color="auto" w:fill="DBDBDB"/>
          </w:tcPr>
          <w:p>
            <w:pPr>
              <w:jc w:val="center"/>
              <w:ind w:left="63"/>
              <w:spacing w:after="0" w:line="117" w:lineRule="exact"/>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117"/>
        </w:trPr>
        <w:tc>
          <w:tcPr>
            <w:tcW w:w="940" w:type="dxa"/>
            <w:vAlign w:val="bottom"/>
            <w:tcBorders>
              <w:top w:val="single" w:sz="8" w:color="DBDBDB"/>
            </w:tcBorders>
          </w:tcPr>
          <w:p>
            <w:pPr>
              <w:jc w:val="center"/>
              <w:ind w:right="23"/>
              <w:spacing w:after="0" w:line="117" w:lineRule="exact"/>
              <w:rPr>
                <w:sz w:val="20"/>
                <w:szCs w:val="20"/>
                <w:color w:val="auto"/>
              </w:rPr>
            </w:pPr>
            <w:r>
              <w:rPr>
                <w:rFonts w:ascii="Calibri" w:cs="Calibri" w:eastAsia="Calibri" w:hAnsi="Calibri"/>
                <w:sz w:val="11"/>
                <w:szCs w:val="11"/>
                <w:color w:val="auto"/>
              </w:rPr>
              <w:t>32.2*</w:t>
            </w:r>
          </w:p>
        </w:tc>
        <w:tc>
          <w:tcPr>
            <w:tcW w:w="4440" w:type="dxa"/>
            <w:vAlign w:val="bottom"/>
            <w:tcBorders>
              <w:top w:val="single" w:sz="8" w:color="auto"/>
            </w:tcBorders>
            <w:gridSpan w:val="12"/>
          </w:tcPr>
          <w:p>
            <w:pPr>
              <w:spacing w:after="0" w:line="117" w:lineRule="exact"/>
              <w:rPr>
                <w:sz w:val="20"/>
                <w:szCs w:val="20"/>
                <w:color w:val="auto"/>
              </w:rPr>
            </w:pPr>
            <w:r>
              <w:rPr>
                <w:rFonts w:ascii="Calibri" w:cs="Calibri" w:eastAsia="Calibri" w:hAnsi="Calibri"/>
                <w:sz w:val="11"/>
                <w:szCs w:val="11"/>
                <w:color w:val="auto"/>
              </w:rPr>
              <w:t>Certfcaton of Chief Financial Ofcer pursuant to Secton 906 of the Sarbanes-Oxley Act of 2002</w:t>
            </w:r>
          </w:p>
        </w:tc>
        <w:tc>
          <w:tcPr>
            <w:tcW w:w="1980" w:type="dxa"/>
            <w:vAlign w:val="bottom"/>
            <w:tcBorders>
              <w:top w:val="single" w:sz="8" w:color="DBDBDB"/>
            </w:tcBorders>
            <w:gridSpan w:val="6"/>
          </w:tcPr>
          <w:p>
            <w:pPr>
              <w:spacing w:after="0"/>
              <w:rPr>
                <w:sz w:val="10"/>
                <w:szCs w:val="10"/>
                <w:color w:val="auto"/>
              </w:rPr>
            </w:pPr>
          </w:p>
        </w:tc>
        <w:tc>
          <w:tcPr>
            <w:tcW w:w="640" w:type="dxa"/>
            <w:vAlign w:val="bottom"/>
            <w:tcBorders>
              <w:top w:val="single" w:sz="8" w:color="DBDBDB"/>
            </w:tcBorders>
          </w:tcPr>
          <w:p>
            <w:pPr>
              <w:spacing w:after="0"/>
              <w:rPr>
                <w:sz w:val="10"/>
                <w:szCs w:val="10"/>
                <w:color w:val="auto"/>
              </w:rPr>
            </w:pPr>
          </w:p>
        </w:tc>
        <w:tc>
          <w:tcPr>
            <w:tcW w:w="1520" w:type="dxa"/>
            <w:vAlign w:val="bottom"/>
            <w:tcBorders>
              <w:top w:val="single" w:sz="8" w:color="DBDBDB"/>
            </w:tcBorders>
          </w:tcPr>
          <w:p>
            <w:pPr>
              <w:spacing w:after="0"/>
              <w:rPr>
                <w:sz w:val="10"/>
                <w:szCs w:val="10"/>
                <w:color w:val="auto"/>
              </w:rPr>
            </w:pPr>
          </w:p>
        </w:tc>
        <w:tc>
          <w:tcPr>
            <w:tcW w:w="740" w:type="dxa"/>
            <w:vAlign w:val="bottom"/>
            <w:tcBorders>
              <w:top w:val="single" w:sz="8" w:color="DBDBDB"/>
            </w:tcBorders>
          </w:tcPr>
          <w:p>
            <w:pPr>
              <w:spacing w:after="0"/>
              <w:rPr>
                <w:sz w:val="10"/>
                <w:szCs w:val="10"/>
                <w:color w:val="auto"/>
              </w:rPr>
            </w:pPr>
          </w:p>
        </w:tc>
        <w:tc>
          <w:tcPr>
            <w:tcW w:w="1020" w:type="dxa"/>
            <w:vAlign w:val="bottom"/>
            <w:tcBorders>
              <w:top w:val="single" w:sz="8" w:color="DBDBDB"/>
            </w:tcBorders>
          </w:tcPr>
          <w:p>
            <w:pPr>
              <w:jc w:val="center"/>
              <w:ind w:left="63"/>
              <w:spacing w:after="0" w:line="117" w:lineRule="exact"/>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DBDBDB"/>
          </w:tcPr>
          <w:p>
            <w:pPr>
              <w:jc w:val="center"/>
              <w:ind w:right="23"/>
              <w:spacing w:after="0"/>
              <w:rPr>
                <w:sz w:val="20"/>
                <w:szCs w:val="20"/>
                <w:color w:val="auto"/>
              </w:rPr>
            </w:pPr>
            <w:r>
              <w:rPr>
                <w:rFonts w:ascii="Calibri" w:cs="Calibri" w:eastAsia="Calibri" w:hAnsi="Calibri"/>
                <w:sz w:val="11"/>
                <w:szCs w:val="11"/>
                <w:color w:val="auto"/>
              </w:rPr>
              <w:t>101</w:t>
            </w:r>
          </w:p>
        </w:tc>
        <w:tc>
          <w:tcPr>
            <w:tcW w:w="6420" w:type="dxa"/>
            <w:vAlign w:val="bottom"/>
            <w:gridSpan w:val="18"/>
            <w:shd w:val="clear" w:color="auto" w:fill="DBDBDB"/>
          </w:tcPr>
          <w:p>
            <w:pPr>
              <w:spacing w:after="0"/>
              <w:rPr>
                <w:sz w:val="20"/>
                <w:szCs w:val="20"/>
                <w:color w:val="auto"/>
              </w:rPr>
            </w:pPr>
            <w:r>
              <w:rPr>
                <w:rFonts w:ascii="Calibri" w:cs="Calibri" w:eastAsia="Calibri" w:hAnsi="Calibri"/>
                <w:sz w:val="11"/>
                <w:szCs w:val="11"/>
                <w:color w:val="auto"/>
              </w:rPr>
              <w:t>The following fnancial statements from the Company's Annual Report on Form 10-K for the year ended October 31, 2022 formated in</w:t>
            </w:r>
          </w:p>
        </w:tc>
        <w:tc>
          <w:tcPr>
            <w:tcW w:w="640" w:type="dxa"/>
            <w:vAlign w:val="bottom"/>
            <w:shd w:val="clear" w:color="auto" w:fill="DBDBDB"/>
          </w:tcPr>
          <w:p>
            <w:pPr>
              <w:spacing w:after="0"/>
              <w:rPr>
                <w:sz w:val="11"/>
                <w:szCs w:val="11"/>
                <w:color w:val="auto"/>
              </w:rPr>
            </w:pPr>
          </w:p>
        </w:tc>
        <w:tc>
          <w:tcPr>
            <w:tcW w:w="152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1020" w:type="dxa"/>
            <w:vAlign w:val="bottom"/>
            <w:shd w:val="clear" w:color="auto" w:fill="DBDBDB"/>
          </w:tcPr>
          <w:p>
            <w:pPr>
              <w:jc w:val="center"/>
              <w:ind w:left="63"/>
              <w:spacing w:after="0"/>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137"/>
        </w:trPr>
        <w:tc>
          <w:tcPr>
            <w:tcW w:w="940" w:type="dxa"/>
            <w:vAlign w:val="bottom"/>
            <w:shd w:val="clear" w:color="auto" w:fill="DBDBDB"/>
          </w:tcPr>
          <w:p>
            <w:pPr>
              <w:spacing w:after="0"/>
              <w:rPr>
                <w:sz w:val="11"/>
                <w:szCs w:val="11"/>
                <w:color w:val="auto"/>
              </w:rPr>
            </w:pPr>
          </w:p>
        </w:tc>
        <w:tc>
          <w:tcPr>
            <w:tcW w:w="6420" w:type="dxa"/>
            <w:vAlign w:val="bottom"/>
            <w:gridSpan w:val="18"/>
            <w:shd w:val="clear" w:color="auto" w:fill="DBDBDB"/>
          </w:tcPr>
          <w:p>
            <w:pPr>
              <w:spacing w:after="0"/>
              <w:rPr>
                <w:sz w:val="20"/>
                <w:szCs w:val="20"/>
                <w:color w:val="auto"/>
              </w:rPr>
            </w:pPr>
            <w:r>
              <w:rPr>
                <w:rFonts w:ascii="Calibri" w:cs="Calibri" w:eastAsia="Calibri" w:hAnsi="Calibri"/>
                <w:sz w:val="11"/>
                <w:szCs w:val="11"/>
                <w:color w:val="auto"/>
              </w:rPr>
              <w:t>Inline XBRL: (i) Consolidated Balance Sheets, (ii) Consolidated Statements of (Loss) Income, (iii) Consolidated Statements of</w:t>
            </w:r>
          </w:p>
        </w:tc>
        <w:tc>
          <w:tcPr>
            <w:tcW w:w="640" w:type="dxa"/>
            <w:vAlign w:val="bottom"/>
            <w:shd w:val="clear" w:color="auto" w:fill="DBDBDB"/>
          </w:tcPr>
          <w:p>
            <w:pPr>
              <w:spacing w:after="0"/>
              <w:rPr>
                <w:sz w:val="11"/>
                <w:szCs w:val="11"/>
                <w:color w:val="auto"/>
              </w:rPr>
            </w:pPr>
          </w:p>
        </w:tc>
        <w:tc>
          <w:tcPr>
            <w:tcW w:w="152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40" w:type="dxa"/>
            <w:vAlign w:val="bottom"/>
            <w:shd w:val="clear" w:color="auto" w:fill="DBDBDB"/>
          </w:tcPr>
          <w:p>
            <w:pPr>
              <w:spacing w:after="0"/>
              <w:rPr>
                <w:sz w:val="11"/>
                <w:szCs w:val="11"/>
                <w:color w:val="auto"/>
              </w:rPr>
            </w:pPr>
          </w:p>
        </w:tc>
        <w:tc>
          <w:tcPr>
            <w:tcW w:w="6420" w:type="dxa"/>
            <w:vAlign w:val="bottom"/>
            <w:gridSpan w:val="18"/>
            <w:shd w:val="clear" w:color="auto" w:fill="DBDBDB"/>
          </w:tcPr>
          <w:p>
            <w:pPr>
              <w:spacing w:after="0" w:line="131" w:lineRule="exact"/>
              <w:rPr>
                <w:sz w:val="20"/>
                <w:szCs w:val="20"/>
                <w:color w:val="auto"/>
              </w:rPr>
            </w:pPr>
            <w:r>
              <w:rPr>
                <w:rFonts w:ascii="Calibri" w:cs="Calibri" w:eastAsia="Calibri" w:hAnsi="Calibri"/>
                <w:sz w:val="11"/>
                <w:szCs w:val="11"/>
                <w:color w:val="auto"/>
              </w:rPr>
              <w:t>Comprehensive (Loss) Income, (iv) Consolidated Statements of Changes in Equity, (v) Consolidated Statements of Cash Flows, and (vi)</w:t>
            </w:r>
          </w:p>
        </w:tc>
        <w:tc>
          <w:tcPr>
            <w:tcW w:w="640" w:type="dxa"/>
            <w:vAlign w:val="bottom"/>
            <w:shd w:val="clear" w:color="auto" w:fill="DBDBDB"/>
          </w:tcPr>
          <w:p>
            <w:pPr>
              <w:spacing w:after="0"/>
              <w:rPr>
                <w:sz w:val="11"/>
                <w:szCs w:val="11"/>
                <w:color w:val="auto"/>
              </w:rPr>
            </w:pPr>
          </w:p>
        </w:tc>
        <w:tc>
          <w:tcPr>
            <w:tcW w:w="1520" w:type="dxa"/>
            <w:vAlign w:val="bottom"/>
            <w:shd w:val="clear" w:color="auto" w:fill="DBDBDB"/>
          </w:tcPr>
          <w:p>
            <w:pPr>
              <w:spacing w:after="0"/>
              <w:rPr>
                <w:sz w:val="11"/>
                <w:szCs w:val="11"/>
                <w:color w:val="auto"/>
              </w:rPr>
            </w:pPr>
          </w:p>
        </w:tc>
        <w:tc>
          <w:tcPr>
            <w:tcW w:w="74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40" w:type="dxa"/>
            <w:vAlign w:val="bottom"/>
            <w:tcBorders>
              <w:bottom w:val="single" w:sz="8" w:color="DBDBDB"/>
            </w:tcBorders>
            <w:shd w:val="clear" w:color="auto" w:fill="DBDBDB"/>
          </w:tcPr>
          <w:p>
            <w:pPr>
              <w:spacing w:after="0"/>
              <w:rPr>
                <w:sz w:val="14"/>
                <w:szCs w:val="14"/>
                <w:color w:val="auto"/>
              </w:rPr>
            </w:pPr>
          </w:p>
        </w:tc>
        <w:tc>
          <w:tcPr>
            <w:tcW w:w="6420" w:type="dxa"/>
            <w:vAlign w:val="bottom"/>
            <w:tcBorders>
              <w:bottom w:val="single" w:sz="8" w:color="DBDBDB"/>
            </w:tcBorders>
            <w:gridSpan w:val="18"/>
            <w:shd w:val="clear" w:color="auto" w:fill="DBDBDB"/>
          </w:tcPr>
          <w:p>
            <w:pPr>
              <w:spacing w:after="0"/>
              <w:rPr>
                <w:sz w:val="20"/>
                <w:szCs w:val="20"/>
                <w:color w:val="auto"/>
              </w:rPr>
            </w:pPr>
            <w:r>
              <w:rPr>
                <w:rFonts w:ascii="Calibri" w:cs="Calibri" w:eastAsia="Calibri" w:hAnsi="Calibri"/>
                <w:sz w:val="11"/>
                <w:szCs w:val="11"/>
                <w:color w:val="auto"/>
              </w:rPr>
              <w:t>Notes to Consolidated Financial Statements, tagged as blocks of text and including detailed tags.</w:t>
            </w:r>
          </w:p>
        </w:tc>
        <w:tc>
          <w:tcPr>
            <w:tcW w:w="640" w:type="dxa"/>
            <w:vAlign w:val="bottom"/>
            <w:tcBorders>
              <w:bottom w:val="single" w:sz="8" w:color="DBDBDB"/>
            </w:tcBorders>
            <w:shd w:val="clear" w:color="auto" w:fill="DBDBDB"/>
          </w:tcPr>
          <w:p>
            <w:pPr>
              <w:spacing w:after="0"/>
              <w:rPr>
                <w:sz w:val="14"/>
                <w:szCs w:val="14"/>
                <w:color w:val="auto"/>
              </w:rPr>
            </w:pPr>
          </w:p>
        </w:tc>
        <w:tc>
          <w:tcPr>
            <w:tcW w:w="1520" w:type="dxa"/>
            <w:vAlign w:val="bottom"/>
            <w:tcBorders>
              <w:bottom w:val="single" w:sz="8" w:color="DBDBDB"/>
            </w:tcBorders>
            <w:shd w:val="clear" w:color="auto" w:fill="DBDBDB"/>
          </w:tcPr>
          <w:p>
            <w:pPr>
              <w:spacing w:after="0"/>
              <w:rPr>
                <w:sz w:val="14"/>
                <w:szCs w:val="14"/>
                <w:color w:val="auto"/>
              </w:rPr>
            </w:pPr>
          </w:p>
        </w:tc>
        <w:tc>
          <w:tcPr>
            <w:tcW w:w="74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940" w:type="dxa"/>
            <w:vAlign w:val="bottom"/>
          </w:tcPr>
          <w:p>
            <w:pPr>
              <w:jc w:val="center"/>
              <w:ind w:right="23"/>
              <w:spacing w:after="0"/>
              <w:rPr>
                <w:sz w:val="20"/>
                <w:szCs w:val="20"/>
                <w:color w:val="auto"/>
              </w:rPr>
            </w:pPr>
            <w:r>
              <w:rPr>
                <w:rFonts w:ascii="Calibri" w:cs="Calibri" w:eastAsia="Calibri" w:hAnsi="Calibri"/>
                <w:sz w:val="11"/>
                <w:szCs w:val="11"/>
                <w:color w:val="auto"/>
              </w:rPr>
              <w:t>104</w:t>
            </w:r>
          </w:p>
        </w:tc>
        <w:tc>
          <w:tcPr>
            <w:tcW w:w="6420" w:type="dxa"/>
            <w:vAlign w:val="bottom"/>
            <w:gridSpan w:val="18"/>
          </w:tcPr>
          <w:p>
            <w:pPr>
              <w:spacing w:after="0"/>
              <w:rPr>
                <w:sz w:val="20"/>
                <w:szCs w:val="20"/>
                <w:color w:val="auto"/>
              </w:rPr>
            </w:pPr>
            <w:r>
              <w:rPr>
                <w:rFonts w:ascii="Calibri" w:cs="Calibri" w:eastAsia="Calibri" w:hAnsi="Calibri"/>
                <w:sz w:val="11"/>
                <w:szCs w:val="11"/>
                <w:color w:val="auto"/>
              </w:rPr>
              <w:t>Cover Page Interactve Data File (formated as Inline XBRL and contained in Exhibit 101)</w:t>
            </w:r>
          </w:p>
        </w:tc>
        <w:tc>
          <w:tcPr>
            <w:tcW w:w="6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jc w:val="center"/>
              <w:ind w:left="63"/>
              <w:spacing w:after="0"/>
              <w:rPr>
                <w:sz w:val="20"/>
                <w:szCs w:val="20"/>
                <w:color w:val="auto"/>
              </w:rPr>
            </w:pPr>
            <w:r>
              <w:rPr>
                <w:rFonts w:ascii="Calibri" w:cs="Calibri" w:eastAsia="Calibri" w:hAnsi="Calibri"/>
                <w:sz w:val="11"/>
                <w:szCs w:val="11"/>
                <w:color w:val="auto"/>
              </w:rPr>
              <w:t>X</w:t>
            </w:r>
          </w:p>
        </w:tc>
        <w:tc>
          <w:tcPr>
            <w:tcW w:w="0" w:type="dxa"/>
            <w:vAlign w:val="bottom"/>
          </w:tcPr>
          <w:p>
            <w:pPr>
              <w:spacing w:after="0"/>
              <w:rPr>
                <w:sz w:val="1"/>
                <w:szCs w:val="1"/>
                <w:color w:val="auto"/>
              </w:rPr>
            </w:pPr>
          </w:p>
        </w:tc>
      </w:tr>
      <w:tr>
        <w:trPr>
          <w:trHeight w:val="46"/>
        </w:trPr>
        <w:tc>
          <w:tcPr>
            <w:tcW w:w="9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60" w:hanging="210"/>
        <w:spacing w:after="0"/>
        <w:tabs>
          <w:tab w:leader="none" w:pos="360" w:val="left"/>
        </w:tabs>
        <w:numPr>
          <w:ilvl w:val="0"/>
          <w:numId w:val="12"/>
        </w:numPr>
        <w:rPr>
          <w:rFonts w:ascii="Calibri" w:cs="Calibri" w:eastAsia="Calibri" w:hAnsi="Calibri"/>
          <w:sz w:val="10"/>
          <w:szCs w:val="10"/>
          <w:color w:val="auto"/>
        </w:rPr>
      </w:pPr>
      <w:r>
        <w:rPr>
          <w:rFonts w:ascii="Calibri" w:cs="Calibri" w:eastAsia="Calibri" w:hAnsi="Calibri"/>
          <w:sz w:val="10"/>
          <w:szCs w:val="10"/>
          <w:color w:val="auto"/>
        </w:rPr>
        <w:t>Previously fled</w:t>
      </w:r>
    </w:p>
    <w:p>
      <w:pPr>
        <w:ind w:left="360" w:hanging="214"/>
        <w:spacing w:after="0" w:line="199" w:lineRule="auto"/>
        <w:tabs>
          <w:tab w:leader="none" w:pos="360" w:val="left"/>
        </w:tabs>
        <w:numPr>
          <w:ilvl w:val="0"/>
          <w:numId w:val="13"/>
        </w:numPr>
        <w:rPr>
          <w:rFonts w:ascii="Arial" w:cs="Arial" w:eastAsia="Arial" w:hAnsi="Arial"/>
          <w:sz w:val="20"/>
          <w:szCs w:val="20"/>
          <w:color w:val="auto"/>
          <w:vertAlign w:val="superscript"/>
        </w:rPr>
      </w:pPr>
      <w:r>
        <w:rPr>
          <w:rFonts w:ascii="Calibri" w:cs="Calibri" w:eastAsia="Calibri" w:hAnsi="Calibri"/>
          <w:sz w:val="10"/>
          <w:szCs w:val="10"/>
          <w:color w:val="auto"/>
        </w:rPr>
        <w:t>Indicates management contract or compensatory plan.</w:t>
      </w:r>
    </w:p>
    <w:p>
      <w:pPr>
        <w:spacing w:after="0" w:line="78" w:lineRule="exact"/>
        <w:rPr>
          <w:sz w:val="20"/>
          <w:szCs w:val="20"/>
          <w:color w:val="auto"/>
        </w:rPr>
      </w:pPr>
    </w:p>
    <w:p>
      <w:pPr>
        <w:ind w:left="360" w:right="160" w:hanging="205"/>
        <w:spacing w:after="0" w:line="205" w:lineRule="auto"/>
        <w:tabs>
          <w:tab w:leader="none" w:pos="360" w:val="left"/>
        </w:tabs>
        <w:numPr>
          <w:ilvl w:val="0"/>
          <w:numId w:val="14"/>
        </w:numPr>
        <w:rPr>
          <w:rFonts w:ascii="Arial" w:cs="Arial" w:eastAsia="Arial" w:hAnsi="Arial"/>
          <w:sz w:val="10"/>
          <w:szCs w:val="10"/>
          <w:color w:val="auto"/>
        </w:rPr>
      </w:pPr>
      <w:r>
        <w:rPr>
          <w:rFonts w:ascii="Calibri" w:cs="Calibri" w:eastAsia="Calibri" w:hAnsi="Calibri"/>
          <w:sz w:val="10"/>
          <w:szCs w:val="10"/>
          <w:color w:val="auto"/>
        </w:rPr>
        <w:t>These certfcatons are being furnished solely to accompany this annual report pursuant to 18 U.S.C. Secton 1350, and are not being fled for purposes of Secton 18 of the Securites Exchange Act of 1934 and are not to be incorporated by reference into any fling of the Registrant, whether made before or afer the date hereof, regardless of any general incorporaton language in such fling.</w:t>
      </w:r>
    </w:p>
    <w:p>
      <w:pPr>
        <w:spacing w:after="0" w:line="342"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18"/>
          <w:szCs w:val="18"/>
          <w:b w:val="1"/>
          <w:bCs w:val="1"/>
          <w:color w:val="auto"/>
        </w:rPr>
        <w:t>Item 16.</w:t>
      </w:r>
      <w:r>
        <w:rPr>
          <w:sz w:val="20"/>
          <w:szCs w:val="20"/>
          <w:color w:val="auto"/>
        </w:rPr>
        <w:tab/>
      </w:r>
      <w:r>
        <w:rPr>
          <w:rFonts w:ascii="Calibri" w:cs="Calibri" w:eastAsia="Calibri" w:hAnsi="Calibri"/>
          <w:sz w:val="18"/>
          <w:szCs w:val="18"/>
          <w:b w:val="1"/>
          <w:bCs w:val="1"/>
          <w:color w:val="auto"/>
        </w:rPr>
        <w:t>Form 10-K Summary</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37" w:name="page38"/>
    <w:bookmarkEnd w:id="37"/>
    <w:p>
      <w:pPr>
        <w:jc w:val="center"/>
        <w:ind w:right="-59"/>
        <w:spacing w:after="0"/>
        <w:rPr>
          <w:sz w:val="20"/>
          <w:szCs w:val="20"/>
          <w:color w:val="auto"/>
        </w:rPr>
      </w:pPr>
      <w:r>
        <w:rPr>
          <w:rFonts w:ascii="Calibri" w:cs="Calibri" w:eastAsia="Calibri" w:hAnsi="Calibri"/>
          <w:sz w:val="18"/>
          <w:szCs w:val="18"/>
          <w:b w:val="1"/>
          <w:bCs w:val="1"/>
          <w:color w:val="auto"/>
        </w:rPr>
        <w:t>SIGNATURES</w:t>
      </w:r>
    </w:p>
    <w:p>
      <w:pPr>
        <w:spacing w:after="0" w:line="187" w:lineRule="exact"/>
        <w:rPr>
          <w:sz w:val="20"/>
          <w:szCs w:val="20"/>
          <w:color w:val="auto"/>
        </w:rPr>
      </w:pPr>
    </w:p>
    <w:p>
      <w:pPr>
        <w:ind w:right="320" w:firstLine="509"/>
        <w:spacing w:after="0" w:line="225" w:lineRule="auto"/>
        <w:rPr>
          <w:sz w:val="20"/>
          <w:szCs w:val="20"/>
          <w:color w:val="auto"/>
        </w:rPr>
      </w:pPr>
      <w:r>
        <w:rPr>
          <w:rFonts w:ascii="Calibri" w:cs="Calibri" w:eastAsia="Calibri" w:hAnsi="Calibri"/>
          <w:sz w:val="13"/>
          <w:szCs w:val="13"/>
          <w:color w:val="auto"/>
        </w:rPr>
        <w:t>Pursuant to the requirements of Secton 13 or 15(d) of the Securites Exchange Act of 1934, the registrant has duly caused this annual report to be signed on its behalf by the undersigned, thereunto duly authorized, on December 22, 2022.</w:t>
      </w:r>
    </w:p>
    <w:p>
      <w:pPr>
        <w:spacing w:after="0" w:line="234" w:lineRule="exact"/>
        <w:rPr>
          <w:sz w:val="20"/>
          <w:szCs w:val="20"/>
          <w:color w:val="auto"/>
        </w:rPr>
      </w:pPr>
    </w:p>
    <w:p>
      <w:pPr>
        <w:jc w:val="center"/>
        <w:ind w:left="7080"/>
        <w:spacing w:after="0"/>
        <w:rPr>
          <w:sz w:val="20"/>
          <w:szCs w:val="20"/>
          <w:color w:val="auto"/>
        </w:rPr>
      </w:pPr>
      <w:r>
        <w:rPr>
          <w:rFonts w:ascii="Calibri" w:cs="Calibri" w:eastAsia="Calibri" w:hAnsi="Calibri"/>
          <w:sz w:val="13"/>
          <w:szCs w:val="13"/>
          <w:b w:val="1"/>
          <w:bCs w:val="1"/>
          <w:color w:val="auto"/>
        </w:rPr>
        <w:t>MISSION PRODUCE, INC.</w:t>
      </w:r>
    </w:p>
    <w:p>
      <w:pPr>
        <w:spacing w:after="0" w:line="97" w:lineRule="exact"/>
        <w:rPr>
          <w:sz w:val="20"/>
          <w:szCs w:val="20"/>
          <w:color w:val="auto"/>
        </w:rPr>
      </w:pPr>
    </w:p>
    <w:p>
      <w:pPr>
        <w:ind w:left="8680"/>
        <w:spacing w:after="0"/>
        <w:rPr>
          <w:sz w:val="20"/>
          <w:szCs w:val="20"/>
          <w:color w:val="auto"/>
        </w:rPr>
      </w:pPr>
      <w:r>
        <w:rPr>
          <w:rFonts w:ascii="Calibri" w:cs="Calibri" w:eastAsia="Calibri" w:hAnsi="Calibri"/>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22860</wp:posOffset>
            </wp:positionV>
            <wp:extent cx="266128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2661285" cy="6985"/>
                    </a:xfrm>
                    <a:prstGeom prst="rect">
                      <a:avLst/>
                    </a:prstGeom>
                    <a:noFill/>
                  </pic:spPr>
                </pic:pic>
              </a:graphicData>
            </a:graphic>
          </wp:anchor>
        </w:drawing>
      </w:r>
    </w:p>
    <w:p>
      <w:pPr>
        <w:spacing w:after="0" w:line="26" w:lineRule="exact"/>
        <w:rPr>
          <w:sz w:val="20"/>
          <w:szCs w:val="20"/>
          <w:color w:val="auto"/>
        </w:rPr>
      </w:pPr>
    </w:p>
    <w:p>
      <w:pPr>
        <w:ind w:left="8760"/>
        <w:spacing w:after="0"/>
        <w:rPr>
          <w:sz w:val="20"/>
          <w:szCs w:val="20"/>
          <w:color w:val="auto"/>
        </w:rPr>
      </w:pPr>
      <w:r>
        <w:rPr>
          <w:rFonts w:ascii="Calibri" w:cs="Calibri" w:eastAsia="Calibri" w:hAnsi="Calibri"/>
          <w:sz w:val="11"/>
          <w:szCs w:val="11"/>
          <w:color w:val="auto"/>
        </w:rPr>
        <w:t>Stephen J. Barnard</w:t>
      </w:r>
    </w:p>
    <w:p>
      <w:pPr>
        <w:spacing w:after="0" w:line="35" w:lineRule="exact"/>
        <w:rPr>
          <w:sz w:val="20"/>
          <w:szCs w:val="20"/>
          <w:color w:val="auto"/>
        </w:rPr>
      </w:pPr>
    </w:p>
    <w:p>
      <w:pPr>
        <w:ind w:left="8380"/>
        <w:spacing w:after="0"/>
        <w:rPr>
          <w:sz w:val="20"/>
          <w:szCs w:val="20"/>
          <w:color w:val="auto"/>
        </w:rPr>
      </w:pPr>
      <w:r>
        <w:rPr>
          <w:rFonts w:ascii="Calibri" w:cs="Calibri" w:eastAsia="Calibri" w:hAnsi="Calibri"/>
          <w:sz w:val="11"/>
          <w:szCs w:val="11"/>
          <w:i w:val="1"/>
          <w:iCs w:val="1"/>
          <w:color w:val="auto"/>
        </w:rPr>
        <w:t>Chief Executve Ofcer and Director</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Calibri" w:cs="Calibri" w:eastAsia="Calibri" w:hAnsi="Calibri"/>
          <w:sz w:val="16"/>
          <w:szCs w:val="16"/>
          <w:b w:val="1"/>
          <w:bCs w:val="1"/>
          <w:color w:val="auto"/>
        </w:rPr>
        <w:t>POWER OF ATTORNEY</w:t>
      </w:r>
    </w:p>
    <w:p>
      <w:pPr>
        <w:spacing w:after="0" w:line="182" w:lineRule="exact"/>
        <w:rPr>
          <w:sz w:val="20"/>
          <w:szCs w:val="20"/>
          <w:color w:val="auto"/>
        </w:rPr>
      </w:pPr>
    </w:p>
    <w:p>
      <w:pPr>
        <w:ind w:right="80" w:firstLine="509"/>
        <w:spacing w:after="0" w:line="230" w:lineRule="auto"/>
        <w:rPr>
          <w:sz w:val="20"/>
          <w:szCs w:val="20"/>
          <w:color w:val="auto"/>
        </w:rPr>
      </w:pPr>
      <w:r>
        <w:rPr>
          <w:rFonts w:ascii="Calibri" w:cs="Calibri" w:eastAsia="Calibri" w:hAnsi="Calibri"/>
          <w:sz w:val="13"/>
          <w:szCs w:val="13"/>
          <w:color w:val="auto"/>
        </w:rPr>
        <w:t>KNOW ALL PERSONS BY THESE PRESENTS, that each person whose signature appears below consttutes and appoints Stephen J. Barnard and Bryan E. Giles, or either of them, his or her atorneys-in-fact, each with the power of substtuton, for him or her in any and all capacites, to sign any amendments to this Annual Report on Form 10-K and to fle the same, with Exhibits thereto and other documents in connecton therewith with the Securites and Exchange Commission, hereby ratfying and confrming all that each of said atorneys-in-fact, or substtute or substtutes may do or cause to be done by virtue hereof.</w:t>
      </w:r>
    </w:p>
    <w:p>
      <w:pPr>
        <w:spacing w:after="0" w:line="159" w:lineRule="exact"/>
        <w:rPr>
          <w:sz w:val="20"/>
          <w:szCs w:val="20"/>
          <w:color w:val="auto"/>
        </w:rPr>
      </w:pPr>
    </w:p>
    <w:p>
      <w:pPr>
        <w:ind w:firstLine="509"/>
        <w:spacing w:after="0" w:line="225" w:lineRule="auto"/>
        <w:rPr>
          <w:sz w:val="20"/>
          <w:szCs w:val="20"/>
          <w:color w:val="auto"/>
        </w:rPr>
      </w:pPr>
      <w:r>
        <w:rPr>
          <w:rFonts w:ascii="Calibri" w:cs="Calibri" w:eastAsia="Calibri" w:hAnsi="Calibri"/>
          <w:sz w:val="13"/>
          <w:szCs w:val="13"/>
          <w:color w:val="auto"/>
        </w:rPr>
        <w:t>Pursuant to the requirements of the Securites Exchange Act of 1934, this annual report has been signed below on December 22, 2022, by the following persons on behalf of the registrant and in the capacites and on the dates indicated.</w:t>
      </w:r>
    </w:p>
    <w:p>
      <w:pPr>
        <w:spacing w:after="0" w:line="384" w:lineRule="exact"/>
        <w:rPr>
          <w:sz w:val="20"/>
          <w:szCs w:val="20"/>
          <w:color w:val="auto"/>
        </w:rPr>
      </w:pPr>
    </w:p>
    <w:tbl>
      <w:tblPr>
        <w:tblLayout w:type="fixed"/>
        <w:tblInd w:w="520" w:type="dxa"/>
        <w:tblCellMar>
          <w:top w:w="0" w:type="dxa"/>
          <w:left w:w="0" w:type="dxa"/>
          <w:bottom w:w="0" w:type="dxa"/>
          <w:right w:w="0" w:type="dxa"/>
        </w:tblCellMar>
      </w:tblPr>
      <w:tr>
        <w:trPr>
          <w:trHeight w:val="135"/>
        </w:trPr>
        <w:tc>
          <w:tcPr>
            <w:tcW w:w="3640" w:type="dxa"/>
            <w:vAlign w:val="bottom"/>
          </w:tcPr>
          <w:p>
            <w:pPr>
              <w:jc w:val="center"/>
              <w:spacing w:after="0"/>
              <w:rPr>
                <w:sz w:val="20"/>
                <w:szCs w:val="20"/>
                <w:color w:val="auto"/>
              </w:rPr>
            </w:pPr>
            <w:r>
              <w:rPr>
                <w:rFonts w:ascii="Calibri" w:cs="Calibri" w:eastAsia="Calibri" w:hAnsi="Calibri"/>
                <w:sz w:val="11"/>
                <w:szCs w:val="11"/>
                <w:b w:val="1"/>
                <w:bCs w:val="1"/>
                <w:color w:val="auto"/>
              </w:rPr>
              <w:t>Signature</w:t>
            </w:r>
          </w:p>
        </w:tc>
        <w:tc>
          <w:tcPr>
            <w:tcW w:w="5260" w:type="dxa"/>
            <w:vAlign w:val="bottom"/>
          </w:tcPr>
          <w:p>
            <w:pPr>
              <w:jc w:val="center"/>
              <w:ind w:left="2203"/>
              <w:spacing w:after="0"/>
              <w:rPr>
                <w:sz w:val="20"/>
                <w:szCs w:val="20"/>
                <w:color w:val="auto"/>
              </w:rPr>
            </w:pPr>
            <w:r>
              <w:rPr>
                <w:rFonts w:ascii="Calibri" w:cs="Calibri" w:eastAsia="Calibri" w:hAnsi="Calibri"/>
                <w:sz w:val="11"/>
                <w:szCs w:val="11"/>
                <w:b w:val="1"/>
                <w:bCs w:val="1"/>
                <w:color w:val="auto"/>
                <w:w w:val="98"/>
              </w:rPr>
              <w:t>Title</w:t>
            </w:r>
          </w:p>
        </w:tc>
        <w:tc>
          <w:tcPr>
            <w:tcW w:w="0" w:type="dxa"/>
            <w:vAlign w:val="bottom"/>
          </w:tcPr>
          <w:p>
            <w:pPr>
              <w:spacing w:after="0"/>
              <w:rPr>
                <w:sz w:val="1"/>
                <w:szCs w:val="1"/>
                <w:color w:val="auto"/>
              </w:rPr>
            </w:pPr>
          </w:p>
        </w:tc>
      </w:tr>
      <w:tr>
        <w:trPr>
          <w:trHeight w:val="509"/>
        </w:trPr>
        <w:tc>
          <w:tcPr>
            <w:tcW w:w="3640" w:type="dxa"/>
            <w:vAlign w:val="bottom"/>
          </w:tcPr>
          <w:p>
            <w:pPr>
              <w:jc w:val="center"/>
              <w:spacing w:after="0"/>
              <w:rPr>
                <w:sz w:val="20"/>
                <w:szCs w:val="20"/>
                <w:color w:val="auto"/>
              </w:rPr>
            </w:pPr>
            <w:r>
              <w:rPr>
                <w:rFonts w:ascii="Calibri" w:cs="Calibri" w:eastAsia="Calibri" w:hAnsi="Calibri"/>
                <w:sz w:val="11"/>
                <w:szCs w:val="11"/>
                <w:color w:val="auto"/>
              </w:rPr>
              <w:t>/s/ Stephen J. Barnard</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3640" w:type="dxa"/>
            <w:vAlign w:val="bottom"/>
            <w:tcBorders>
              <w:bottom w:val="single" w:sz="8" w:color="auto"/>
            </w:tcBorders>
          </w:tcPr>
          <w:p>
            <w:pPr>
              <w:spacing w:after="0"/>
              <w:rPr>
                <w:sz w:val="3"/>
                <w:szCs w:val="3"/>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rPr>
              <w:t>Chief Executve Ofcer and Director (Principal Executve Ofcer)</w:t>
            </w:r>
          </w:p>
        </w:tc>
        <w:tc>
          <w:tcPr>
            <w:tcW w:w="0" w:type="dxa"/>
            <w:vAlign w:val="bottom"/>
          </w:tcPr>
          <w:p>
            <w:pPr>
              <w:spacing w:after="0"/>
              <w:rPr>
                <w:sz w:val="1"/>
                <w:szCs w:val="1"/>
                <w:color w:val="auto"/>
              </w:rPr>
            </w:pPr>
          </w:p>
        </w:tc>
      </w:tr>
      <w:tr>
        <w:trPr>
          <w:trHeight w:val="125"/>
        </w:trPr>
        <w:tc>
          <w:tcPr>
            <w:tcW w:w="3640" w:type="dxa"/>
            <w:vAlign w:val="bottom"/>
          </w:tcPr>
          <w:p>
            <w:pPr>
              <w:jc w:val="center"/>
              <w:spacing w:after="0" w:line="126" w:lineRule="exact"/>
              <w:rPr>
                <w:sz w:val="20"/>
                <w:szCs w:val="20"/>
                <w:color w:val="auto"/>
              </w:rPr>
            </w:pPr>
            <w:r>
              <w:rPr>
                <w:rFonts w:ascii="Calibri" w:cs="Calibri" w:eastAsia="Calibri" w:hAnsi="Calibri"/>
                <w:sz w:val="11"/>
                <w:szCs w:val="11"/>
                <w:color w:val="auto"/>
              </w:rPr>
              <w:t>Stephen J. Barnard</w:t>
            </w:r>
          </w:p>
        </w:tc>
        <w:tc>
          <w:tcPr>
            <w:tcW w:w="5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Bryan E. Giles</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rPr>
              <w:t>Chief Financial Ofcer (Principal Financial and Accountng Ofcer)</w:t>
            </w:r>
          </w:p>
        </w:tc>
        <w:tc>
          <w:tcPr>
            <w:tcW w:w="0" w:type="dxa"/>
            <w:vAlign w:val="bottom"/>
          </w:tcPr>
          <w:p>
            <w:pPr>
              <w:spacing w:after="0"/>
              <w:rPr>
                <w:sz w:val="1"/>
                <w:szCs w:val="1"/>
                <w:color w:val="auto"/>
              </w:rPr>
            </w:pPr>
          </w:p>
        </w:tc>
      </w:tr>
      <w:tr>
        <w:trPr>
          <w:trHeight w:val="284"/>
        </w:trPr>
        <w:tc>
          <w:tcPr>
            <w:tcW w:w="3640" w:type="dxa"/>
            <w:vAlign w:val="bottom"/>
          </w:tcPr>
          <w:p>
            <w:pPr>
              <w:jc w:val="center"/>
              <w:spacing w:after="0"/>
              <w:rPr>
                <w:sz w:val="20"/>
                <w:szCs w:val="20"/>
                <w:color w:val="auto"/>
              </w:rPr>
            </w:pPr>
            <w:r>
              <w:rPr>
                <w:rFonts w:ascii="Calibri" w:cs="Calibri" w:eastAsia="Calibri" w:hAnsi="Calibri"/>
                <w:sz w:val="11"/>
                <w:szCs w:val="11"/>
                <w:color w:val="auto"/>
              </w:rPr>
              <w:t>Bryan E. Giles</w:t>
            </w:r>
          </w:p>
        </w:tc>
        <w:tc>
          <w:tcPr>
            <w:tcW w:w="5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Stephen A. Beebe</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w w:val="98"/>
              </w:rPr>
              <w:t>Director</w:t>
            </w:r>
          </w:p>
        </w:tc>
        <w:tc>
          <w:tcPr>
            <w:tcW w:w="0" w:type="dxa"/>
            <w:vAlign w:val="bottom"/>
          </w:tcPr>
          <w:p>
            <w:pPr>
              <w:spacing w:after="0"/>
              <w:rPr>
                <w:sz w:val="1"/>
                <w:szCs w:val="1"/>
                <w:color w:val="auto"/>
              </w:rPr>
            </w:pPr>
          </w:p>
        </w:tc>
      </w:tr>
      <w:tr>
        <w:trPr>
          <w:trHeight w:val="188"/>
        </w:trPr>
        <w:tc>
          <w:tcPr>
            <w:tcW w:w="3640" w:type="dxa"/>
            <w:vAlign w:val="bottom"/>
            <w:vMerge w:val="restart"/>
          </w:tcPr>
          <w:p>
            <w:pPr>
              <w:jc w:val="center"/>
              <w:spacing w:after="0"/>
              <w:rPr>
                <w:sz w:val="20"/>
                <w:szCs w:val="20"/>
                <w:color w:val="auto"/>
              </w:rPr>
            </w:pPr>
            <w:r>
              <w:rPr>
                <w:rFonts w:ascii="Calibri" w:cs="Calibri" w:eastAsia="Calibri" w:hAnsi="Calibri"/>
                <w:sz w:val="11"/>
                <w:szCs w:val="11"/>
                <w:color w:val="auto"/>
              </w:rPr>
              <w:t>Steve A. Beebe</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Stephen W. Bershad</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w w:val="98"/>
              </w:rPr>
              <w:t>Director</w:t>
            </w:r>
          </w:p>
        </w:tc>
        <w:tc>
          <w:tcPr>
            <w:tcW w:w="0" w:type="dxa"/>
            <w:vAlign w:val="bottom"/>
          </w:tcPr>
          <w:p>
            <w:pPr>
              <w:spacing w:after="0"/>
              <w:rPr>
                <w:sz w:val="1"/>
                <w:szCs w:val="1"/>
                <w:color w:val="auto"/>
              </w:rPr>
            </w:pPr>
          </w:p>
        </w:tc>
      </w:tr>
      <w:tr>
        <w:trPr>
          <w:trHeight w:val="188"/>
        </w:trPr>
        <w:tc>
          <w:tcPr>
            <w:tcW w:w="3640" w:type="dxa"/>
            <w:vAlign w:val="bottom"/>
            <w:vMerge w:val="restart"/>
          </w:tcPr>
          <w:p>
            <w:pPr>
              <w:jc w:val="center"/>
              <w:spacing w:after="0"/>
              <w:rPr>
                <w:sz w:val="20"/>
                <w:szCs w:val="20"/>
                <w:color w:val="auto"/>
              </w:rPr>
            </w:pPr>
            <w:r>
              <w:rPr>
                <w:rFonts w:ascii="Calibri" w:cs="Calibri" w:eastAsia="Calibri" w:hAnsi="Calibri"/>
                <w:sz w:val="11"/>
                <w:szCs w:val="11"/>
                <w:color w:val="auto"/>
              </w:rPr>
              <w:t>Stephen W. Bershad</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Luis A. Gonzalez</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w w:val="98"/>
              </w:rPr>
              <w:t>Director</w:t>
            </w:r>
          </w:p>
        </w:tc>
        <w:tc>
          <w:tcPr>
            <w:tcW w:w="0" w:type="dxa"/>
            <w:vAlign w:val="bottom"/>
          </w:tcPr>
          <w:p>
            <w:pPr>
              <w:spacing w:after="0"/>
              <w:rPr>
                <w:sz w:val="1"/>
                <w:szCs w:val="1"/>
                <w:color w:val="auto"/>
              </w:rPr>
            </w:pPr>
          </w:p>
        </w:tc>
      </w:tr>
      <w:tr>
        <w:trPr>
          <w:trHeight w:val="188"/>
        </w:trPr>
        <w:tc>
          <w:tcPr>
            <w:tcW w:w="3640" w:type="dxa"/>
            <w:vAlign w:val="bottom"/>
            <w:vMerge w:val="restart"/>
          </w:tcPr>
          <w:p>
            <w:pPr>
              <w:jc w:val="center"/>
              <w:spacing w:after="0"/>
              <w:rPr>
                <w:sz w:val="20"/>
                <w:szCs w:val="20"/>
                <w:color w:val="auto"/>
              </w:rPr>
            </w:pPr>
            <w:r>
              <w:rPr>
                <w:rFonts w:ascii="Calibri" w:cs="Calibri" w:eastAsia="Calibri" w:hAnsi="Calibri"/>
                <w:sz w:val="11"/>
                <w:szCs w:val="11"/>
                <w:color w:val="auto"/>
              </w:rPr>
              <w:t>Luis A. Gonzalez</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Bonnie C. Lind</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w w:val="98"/>
              </w:rPr>
              <w:t>Director</w:t>
            </w:r>
          </w:p>
        </w:tc>
        <w:tc>
          <w:tcPr>
            <w:tcW w:w="0" w:type="dxa"/>
            <w:vAlign w:val="bottom"/>
          </w:tcPr>
          <w:p>
            <w:pPr>
              <w:spacing w:after="0"/>
              <w:rPr>
                <w:sz w:val="1"/>
                <w:szCs w:val="1"/>
                <w:color w:val="auto"/>
              </w:rPr>
            </w:pPr>
          </w:p>
        </w:tc>
      </w:tr>
      <w:tr>
        <w:trPr>
          <w:trHeight w:val="188"/>
        </w:trPr>
        <w:tc>
          <w:tcPr>
            <w:tcW w:w="3640" w:type="dxa"/>
            <w:vAlign w:val="bottom"/>
            <w:vMerge w:val="restart"/>
          </w:tcPr>
          <w:p>
            <w:pPr>
              <w:jc w:val="center"/>
              <w:spacing w:after="0"/>
              <w:rPr>
                <w:sz w:val="20"/>
                <w:szCs w:val="20"/>
                <w:color w:val="auto"/>
              </w:rPr>
            </w:pPr>
            <w:r>
              <w:rPr>
                <w:rFonts w:ascii="Calibri" w:cs="Calibri" w:eastAsia="Calibri" w:hAnsi="Calibri"/>
                <w:sz w:val="11"/>
                <w:szCs w:val="11"/>
                <w:color w:val="auto"/>
              </w:rPr>
              <w:t>Bonnie C. Lind</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Jay A. Pack</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w w:val="98"/>
              </w:rPr>
              <w:t>Director</w:t>
            </w:r>
          </w:p>
        </w:tc>
        <w:tc>
          <w:tcPr>
            <w:tcW w:w="0" w:type="dxa"/>
            <w:vAlign w:val="bottom"/>
          </w:tcPr>
          <w:p>
            <w:pPr>
              <w:spacing w:after="0"/>
              <w:rPr>
                <w:sz w:val="1"/>
                <w:szCs w:val="1"/>
                <w:color w:val="auto"/>
              </w:rPr>
            </w:pPr>
          </w:p>
        </w:tc>
      </w:tr>
      <w:tr>
        <w:trPr>
          <w:trHeight w:val="188"/>
        </w:trPr>
        <w:tc>
          <w:tcPr>
            <w:tcW w:w="3640" w:type="dxa"/>
            <w:vAlign w:val="bottom"/>
            <w:vMerge w:val="restart"/>
          </w:tcPr>
          <w:p>
            <w:pPr>
              <w:jc w:val="center"/>
              <w:spacing w:after="0"/>
              <w:rPr>
                <w:sz w:val="20"/>
                <w:szCs w:val="20"/>
                <w:color w:val="auto"/>
              </w:rPr>
            </w:pPr>
            <w:r>
              <w:rPr>
                <w:rFonts w:ascii="Calibri" w:cs="Calibri" w:eastAsia="Calibri" w:hAnsi="Calibri"/>
                <w:sz w:val="11"/>
                <w:szCs w:val="11"/>
                <w:color w:val="auto"/>
              </w:rPr>
              <w:t>Jay A. Pack</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Bruce C. Taylor</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w w:val="98"/>
              </w:rPr>
              <w:t>Director</w:t>
            </w:r>
          </w:p>
        </w:tc>
        <w:tc>
          <w:tcPr>
            <w:tcW w:w="0" w:type="dxa"/>
            <w:vAlign w:val="bottom"/>
          </w:tcPr>
          <w:p>
            <w:pPr>
              <w:spacing w:after="0"/>
              <w:rPr>
                <w:sz w:val="1"/>
                <w:szCs w:val="1"/>
                <w:color w:val="auto"/>
              </w:rPr>
            </w:pPr>
          </w:p>
        </w:tc>
      </w:tr>
      <w:tr>
        <w:trPr>
          <w:trHeight w:val="188"/>
        </w:trPr>
        <w:tc>
          <w:tcPr>
            <w:tcW w:w="3640" w:type="dxa"/>
            <w:vAlign w:val="bottom"/>
            <w:vMerge w:val="restart"/>
          </w:tcPr>
          <w:p>
            <w:pPr>
              <w:jc w:val="center"/>
              <w:spacing w:after="0"/>
              <w:rPr>
                <w:sz w:val="20"/>
                <w:szCs w:val="20"/>
                <w:color w:val="auto"/>
              </w:rPr>
            </w:pPr>
            <w:r>
              <w:rPr>
                <w:rFonts w:ascii="Calibri" w:cs="Calibri" w:eastAsia="Calibri" w:hAnsi="Calibri"/>
                <w:sz w:val="11"/>
                <w:szCs w:val="11"/>
                <w:color w:val="auto"/>
              </w:rPr>
              <w:t>Bruce C. Taylor</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Linda B. Segre</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w w:val="98"/>
              </w:rPr>
              <w:t>Director</w:t>
            </w:r>
          </w:p>
        </w:tc>
        <w:tc>
          <w:tcPr>
            <w:tcW w:w="0" w:type="dxa"/>
            <w:vAlign w:val="bottom"/>
          </w:tcPr>
          <w:p>
            <w:pPr>
              <w:spacing w:after="0"/>
              <w:rPr>
                <w:sz w:val="1"/>
                <w:szCs w:val="1"/>
                <w:color w:val="auto"/>
              </w:rPr>
            </w:pPr>
          </w:p>
        </w:tc>
      </w:tr>
      <w:tr>
        <w:trPr>
          <w:trHeight w:val="188"/>
        </w:trPr>
        <w:tc>
          <w:tcPr>
            <w:tcW w:w="3640" w:type="dxa"/>
            <w:vAlign w:val="bottom"/>
            <w:vMerge w:val="restart"/>
          </w:tcPr>
          <w:p>
            <w:pPr>
              <w:jc w:val="center"/>
              <w:spacing w:after="0"/>
              <w:rPr>
                <w:sz w:val="20"/>
                <w:szCs w:val="20"/>
                <w:color w:val="auto"/>
              </w:rPr>
            </w:pPr>
            <w:r>
              <w:rPr>
                <w:rFonts w:ascii="Calibri" w:cs="Calibri" w:eastAsia="Calibri" w:hAnsi="Calibri"/>
                <w:sz w:val="11"/>
                <w:szCs w:val="11"/>
                <w:color w:val="auto"/>
              </w:rPr>
              <w:t>Linda B. Segre</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3640" w:type="dxa"/>
            <w:vAlign w:val="bottom"/>
          </w:tcPr>
          <w:p>
            <w:pPr>
              <w:jc w:val="center"/>
              <w:spacing w:after="0"/>
              <w:rPr>
                <w:sz w:val="20"/>
                <w:szCs w:val="20"/>
                <w:color w:val="auto"/>
              </w:rPr>
            </w:pPr>
            <w:r>
              <w:rPr>
                <w:rFonts w:ascii="Calibri" w:cs="Calibri" w:eastAsia="Calibri" w:hAnsi="Calibri"/>
                <w:sz w:val="11"/>
                <w:szCs w:val="11"/>
                <w:color w:val="auto"/>
              </w:rPr>
              <w:t>/s/ Shaunte Mears-Watkins</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5260" w:type="dxa"/>
            <w:vAlign w:val="bottom"/>
            <w:vMerge w:val="restart"/>
          </w:tcPr>
          <w:p>
            <w:pPr>
              <w:jc w:val="center"/>
              <w:ind w:left="2203"/>
              <w:spacing w:after="0"/>
              <w:rPr>
                <w:sz w:val="20"/>
                <w:szCs w:val="20"/>
                <w:color w:val="auto"/>
              </w:rPr>
            </w:pPr>
            <w:r>
              <w:rPr>
                <w:rFonts w:ascii="Calibri" w:cs="Calibri" w:eastAsia="Calibri" w:hAnsi="Calibri"/>
                <w:sz w:val="11"/>
                <w:szCs w:val="11"/>
                <w:color w:val="auto"/>
                <w:w w:val="98"/>
              </w:rPr>
              <w:t>Director</w:t>
            </w:r>
          </w:p>
        </w:tc>
        <w:tc>
          <w:tcPr>
            <w:tcW w:w="0" w:type="dxa"/>
            <w:vAlign w:val="bottom"/>
          </w:tcPr>
          <w:p>
            <w:pPr>
              <w:spacing w:after="0"/>
              <w:rPr>
                <w:sz w:val="1"/>
                <w:szCs w:val="1"/>
                <w:color w:val="auto"/>
              </w:rPr>
            </w:pPr>
          </w:p>
        </w:tc>
      </w:tr>
      <w:tr>
        <w:trPr>
          <w:trHeight w:val="188"/>
        </w:trPr>
        <w:tc>
          <w:tcPr>
            <w:tcW w:w="3640" w:type="dxa"/>
            <w:vAlign w:val="bottom"/>
            <w:vMerge w:val="restart"/>
          </w:tcPr>
          <w:p>
            <w:pPr>
              <w:jc w:val="center"/>
              <w:spacing w:after="0"/>
              <w:rPr>
                <w:sz w:val="20"/>
                <w:szCs w:val="20"/>
                <w:color w:val="auto"/>
              </w:rPr>
            </w:pPr>
            <w:r>
              <w:rPr>
                <w:rFonts w:ascii="Calibri" w:cs="Calibri" w:eastAsia="Calibri" w:hAnsi="Calibri"/>
                <w:sz w:val="11"/>
                <w:szCs w:val="11"/>
                <w:color w:val="auto"/>
              </w:rPr>
              <w:t>Shaunte Mears-Watkins</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500"/>
        <w:spacing w:after="0"/>
        <w:rPr>
          <w:sz w:val="20"/>
          <w:szCs w:val="20"/>
          <w:color w:val="auto"/>
        </w:rPr>
      </w:pPr>
      <w:r>
        <w:rPr>
          <w:rFonts w:ascii="Calibri" w:cs="Calibri" w:eastAsia="Calibri" w:hAnsi="Calibri"/>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61" w:right="359" w:bottom="1440" w:gutter="0" w:footer="0" w:header="0"/>
        </w:sectPr>
      </w:pPr>
    </w:p>
    <w:bookmarkStart w:id="38" w:name="page39"/>
    <w:bookmarkEnd w:id="38"/>
    <w:p>
      <w:pPr>
        <w:jc w:val="center"/>
        <w:ind w:left="1420"/>
        <w:spacing w:after="0"/>
        <w:rPr>
          <w:sz w:val="20"/>
          <w:szCs w:val="20"/>
          <w:color w:val="auto"/>
        </w:rPr>
      </w:pPr>
      <w:r>
        <w:rPr>
          <w:rFonts w:ascii="Calibri" w:cs="Calibri" w:eastAsia="Calibri" w:hAnsi="Calibri"/>
          <w:sz w:val="20"/>
          <w:szCs w:val="20"/>
          <w:b w:val="1"/>
          <w:bCs w:val="1"/>
          <w:color w:val="auto"/>
        </w:rPr>
        <w:t>MISSION PRODUCE, INC.</w:t>
      </w:r>
    </w:p>
    <w:p>
      <w:pPr>
        <w:spacing w:after="0" w:line="63" w:lineRule="exact"/>
        <w:rPr>
          <w:sz w:val="20"/>
          <w:szCs w:val="20"/>
          <w:color w:val="auto"/>
        </w:rPr>
      </w:pPr>
    </w:p>
    <w:p>
      <w:pPr>
        <w:jc w:val="center"/>
        <w:ind w:left="1420"/>
        <w:spacing w:after="0"/>
        <w:rPr>
          <w:sz w:val="20"/>
          <w:szCs w:val="20"/>
          <w:color w:val="auto"/>
        </w:rPr>
      </w:pPr>
      <w:r>
        <w:rPr>
          <w:rFonts w:ascii="Calibri" w:cs="Calibri" w:eastAsia="Calibri" w:hAnsi="Calibri"/>
          <w:sz w:val="19"/>
          <w:szCs w:val="19"/>
          <w:b w:val="1"/>
          <w:bCs w:val="1"/>
          <w:color w:val="auto"/>
        </w:rPr>
        <w:t>INDEX TO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 xml:space="preserve">Report of Independent Registered Public Accountng Firm </w:t>
      </w:r>
      <w:r>
        <w:rPr>
          <w:rFonts w:ascii="Calibri" w:cs="Calibri" w:eastAsia="Calibri" w:hAnsi="Calibri"/>
          <w:sz w:val="13"/>
          <w:szCs w:val="13"/>
          <w:i w:val="1"/>
          <w:iCs w:val="1"/>
          <w:u w:val="single" w:color="auto"/>
          <w:color w:val="auto"/>
        </w:rPr>
        <w:t>(PCAOB Issued Audit Firm Identfer #34)</w:t>
      </w:r>
    </w:p>
    <w:p>
      <w:pPr>
        <w:spacing w:after="0" w:line="32"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Consolidated Balance Sheets</w:t>
      </w:r>
    </w:p>
    <w:p>
      <w:pPr>
        <w:spacing w:after="0" w:line="32"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Consolidated Statements of (Loss) Income</w:t>
      </w:r>
    </w:p>
    <w:p>
      <w:pPr>
        <w:spacing w:after="0" w:line="32"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Consolidated Statements of Comprehensive (Loss) Income</w:t>
      </w:r>
    </w:p>
    <w:p>
      <w:pPr>
        <w:spacing w:after="0" w:line="32"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Consolidated Statements of Changes in Equity</w:t>
      </w:r>
    </w:p>
    <w:p>
      <w:pPr>
        <w:spacing w:after="0" w:line="32"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Consolidated Statements of Cash Flows</w:t>
      </w:r>
    </w:p>
    <w:p>
      <w:pPr>
        <w:spacing w:after="0" w:line="32"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0"/>
        <w:spacing w:after="0"/>
        <w:rPr>
          <w:sz w:val="20"/>
          <w:szCs w:val="20"/>
          <w:color w:val="auto"/>
        </w:rPr>
      </w:pPr>
      <w:r>
        <w:rPr>
          <w:rFonts w:ascii="Calibri" w:cs="Calibri" w:eastAsia="Calibri" w:hAnsi="Calibri"/>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48895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Page</w:t>
      </w:r>
    </w:p>
    <w:p>
      <w:pPr>
        <w:spacing w:after="0" w:line="48"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F-5</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F-6</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F-7</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F-8</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F-9</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F-11</w:t>
      </w:r>
    </w:p>
    <w:p>
      <w:pPr>
        <w:sectPr>
          <w:pgSz w:w="11900" w:h="16838" w:orient="portrait"/>
          <w:cols w:equalWidth="0" w:num="2">
            <w:col w:w="9820" w:space="720"/>
            <w:col w:w="240"/>
          </w:cols>
          <w:pgMar w:left="320" w:top="919" w:right="799"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16"/>
          <w:szCs w:val="16"/>
          <w:b w:val="1"/>
          <w:bCs w:val="1"/>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Calibri" w:cs="Calibri" w:eastAsia="Calibri" w:hAnsi="Calibri"/>
          <w:sz w:val="13"/>
          <w:szCs w:val="13"/>
          <w:color w:val="auto"/>
        </w:rPr>
        <w:t>To the shareholders and the Board of Directors of Mission Produce, Inc.</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Opinion on Internal Control over Financial Reportng</w:t>
      </w:r>
    </w:p>
    <w:p>
      <w:pPr>
        <w:spacing w:after="0" w:line="158" w:lineRule="exact"/>
        <w:rPr>
          <w:sz w:val="20"/>
          <w:szCs w:val="20"/>
          <w:color w:val="auto"/>
        </w:rPr>
      </w:pPr>
    </w:p>
    <w:p>
      <w:pPr>
        <w:jc w:val="both"/>
        <w:ind w:right="200" w:firstLine="509"/>
        <w:spacing w:after="0" w:line="225" w:lineRule="auto"/>
        <w:rPr>
          <w:sz w:val="20"/>
          <w:szCs w:val="20"/>
          <w:color w:val="auto"/>
        </w:rPr>
      </w:pPr>
      <w:r>
        <w:rPr>
          <w:rFonts w:ascii="Calibri" w:cs="Calibri" w:eastAsia="Calibri" w:hAnsi="Calibri"/>
          <w:sz w:val="13"/>
          <w:szCs w:val="13"/>
          <w:color w:val="auto"/>
        </w:rPr>
        <w:t>We have audited the internal control over fnancial reportng of Mission Produce, Inc and subsidiaries (the “Company”) as of October 31, 2022, based on criteria established in Internal Control — Integrated Framework (2013) issued by the Commitee of Sponsoring Organizatons of the Treadway Commission (COSO). In our opinion, the Company maintained, in all material respects, efectve internal control over fnancial reportng as of October 31, 2022, based on criteria established in Internal Control — Integrated Framework (2013) issued by COSO.</w:t>
      </w:r>
    </w:p>
    <w:p>
      <w:pPr>
        <w:spacing w:after="0" w:line="169" w:lineRule="exact"/>
        <w:rPr>
          <w:sz w:val="20"/>
          <w:szCs w:val="20"/>
          <w:color w:val="auto"/>
        </w:rPr>
      </w:pPr>
    </w:p>
    <w:p>
      <w:pPr>
        <w:ind w:right="40" w:firstLine="509"/>
        <w:spacing w:after="0" w:line="225" w:lineRule="auto"/>
        <w:rPr>
          <w:sz w:val="20"/>
          <w:szCs w:val="20"/>
          <w:color w:val="auto"/>
        </w:rPr>
      </w:pPr>
      <w:r>
        <w:rPr>
          <w:rFonts w:ascii="Calibri" w:cs="Calibri" w:eastAsia="Calibri" w:hAnsi="Calibri"/>
          <w:sz w:val="13"/>
          <w:szCs w:val="13"/>
          <w:color w:val="auto"/>
        </w:rPr>
        <w:t>We have also audited, in accordance with the standards of the Public Company Accountng Oversight Board (United States) (PCAOB), the consolidated fnancial statements as of and for the year ended October 31, 2022, of the Company and our report dated December 22, 2022, expressed an unqualifed opinion on those fnancial statements and included an explanatory paragraph regarding the Company’s adopton new accountng standards.</w:t>
      </w:r>
    </w:p>
    <w:p>
      <w:pPr>
        <w:spacing w:after="0" w:line="158" w:lineRule="exact"/>
        <w:rPr>
          <w:sz w:val="20"/>
          <w:szCs w:val="20"/>
          <w:color w:val="auto"/>
        </w:rPr>
      </w:pPr>
    </w:p>
    <w:p>
      <w:pPr>
        <w:jc w:val="both"/>
        <w:ind w:right="60" w:firstLine="509"/>
        <w:spacing w:after="0" w:line="230" w:lineRule="auto"/>
        <w:rPr>
          <w:sz w:val="20"/>
          <w:szCs w:val="20"/>
          <w:color w:val="auto"/>
        </w:rPr>
      </w:pPr>
      <w:r>
        <w:rPr>
          <w:rFonts w:ascii="Calibri" w:cs="Calibri" w:eastAsia="Calibri" w:hAnsi="Calibri"/>
          <w:sz w:val="13"/>
          <w:szCs w:val="13"/>
          <w:color w:val="auto"/>
        </w:rPr>
        <w:t>As described in Management’s Annual Report on Internal Control Over Financial Reportng, management excluded from its assessment the internal control over fnancial reportng at Moruga S.A.C., which was acquired on May 1, 2022, and whose fnancial statements consttute 10% of total assets and 1% of revenues of the consolidated fnancial statement amounts as of and for the year ended October 31, 2022. Accordingly, our audit did not include the internal control over fnancial reportng at Moruga S.A.C.</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Basis for Opinion</w:t>
      </w:r>
    </w:p>
    <w:p>
      <w:pPr>
        <w:spacing w:after="0" w:line="158" w:lineRule="exact"/>
        <w:rPr>
          <w:sz w:val="20"/>
          <w:szCs w:val="20"/>
          <w:color w:val="auto"/>
        </w:rPr>
      </w:pPr>
    </w:p>
    <w:p>
      <w:pPr>
        <w:ind w:right="20" w:firstLine="509"/>
        <w:spacing w:after="0" w:line="229" w:lineRule="auto"/>
        <w:rPr>
          <w:sz w:val="20"/>
          <w:szCs w:val="20"/>
          <w:color w:val="auto"/>
        </w:rPr>
      </w:pPr>
      <w:r>
        <w:rPr>
          <w:rFonts w:ascii="Calibri" w:cs="Calibri" w:eastAsia="Calibri" w:hAnsi="Calibri"/>
          <w:sz w:val="13"/>
          <w:szCs w:val="13"/>
          <w:color w:val="auto"/>
        </w:rPr>
        <w:t>The Company’s management is responsible for maintaining efectve internal control over fnancial reportng and for its assessment of the efectveness of internal control over fnancial reportng, included in the accompanying Management’s Annual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58" w:lineRule="exact"/>
        <w:rPr>
          <w:sz w:val="20"/>
          <w:szCs w:val="20"/>
          <w:color w:val="auto"/>
        </w:rPr>
      </w:pPr>
    </w:p>
    <w:p>
      <w:pPr>
        <w:ind w:right="140" w:firstLine="509"/>
        <w:spacing w:after="0" w:line="229" w:lineRule="auto"/>
        <w:rPr>
          <w:sz w:val="20"/>
          <w:szCs w:val="20"/>
          <w:color w:val="auto"/>
        </w:rPr>
      </w:pPr>
      <w:r>
        <w:rPr>
          <w:rFonts w:ascii="Calibri" w:cs="Calibri" w:eastAsia="Calibri" w:hAnsi="Calibri"/>
          <w:sz w:val="13"/>
          <w:szCs w:val="13"/>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 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Defniton and Limitatons of Internal Control over Financial Reportng</w:t>
      </w:r>
    </w:p>
    <w:p>
      <w:pPr>
        <w:spacing w:after="0" w:line="158"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59" w:lineRule="exact"/>
        <w:rPr>
          <w:sz w:val="20"/>
          <w:szCs w:val="20"/>
          <w:color w:val="auto"/>
        </w:rPr>
      </w:pPr>
    </w:p>
    <w:p>
      <w:pPr>
        <w:ind w:right="40" w:firstLine="509"/>
        <w:spacing w:after="0" w:line="233" w:lineRule="auto"/>
        <w:rPr>
          <w:sz w:val="20"/>
          <w:szCs w:val="20"/>
          <w:color w:val="auto"/>
        </w:rPr>
      </w:pPr>
      <w:r>
        <w:rPr>
          <w:rFonts w:ascii="Calibri" w:cs="Calibri" w:eastAsia="Calibri" w:hAnsi="Calibri"/>
          <w:sz w:val="13"/>
          <w:szCs w:val="13"/>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/s/ Deloite &amp; Touche LLP</w:t>
      </w:r>
    </w:p>
    <w:p>
      <w:pPr>
        <w:spacing w:after="0" w:line="181" w:lineRule="exact"/>
        <w:rPr>
          <w:sz w:val="20"/>
          <w:szCs w:val="20"/>
          <w:color w:val="auto"/>
        </w:rPr>
      </w:pPr>
    </w:p>
    <w:p>
      <w:pPr>
        <w:spacing w:after="0"/>
        <w:rPr>
          <w:sz w:val="20"/>
          <w:szCs w:val="20"/>
          <w:color w:val="auto"/>
        </w:rPr>
      </w:pPr>
      <w:r>
        <w:rPr>
          <w:rFonts w:ascii="Calibri" w:cs="Calibri" w:eastAsia="Calibri" w:hAnsi="Calibri"/>
          <w:sz w:val="13"/>
          <w:szCs w:val="13"/>
          <w:color w:val="auto"/>
        </w:rPr>
        <w:t>Los Angeles, California</w:t>
      </w:r>
    </w:p>
    <w:p>
      <w:pPr>
        <w:spacing w:after="0"/>
        <w:rPr>
          <w:sz w:val="20"/>
          <w:szCs w:val="20"/>
          <w:color w:val="auto"/>
        </w:rPr>
      </w:pPr>
      <w:r>
        <w:rPr>
          <w:rFonts w:ascii="Calibri" w:cs="Calibri" w:eastAsia="Calibri" w:hAnsi="Calibri"/>
          <w:sz w:val="13"/>
          <w:szCs w:val="13"/>
          <w:color w:val="auto"/>
        </w:rPr>
        <w:t>December 22,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6" w:right="319" w:bottom="1440" w:gutter="0" w:footer="0" w:header="0"/>
        </w:sectPr>
      </w:pPr>
    </w:p>
    <w:bookmarkStart w:id="40" w:name="page41"/>
    <w:bookmarkEnd w:id="40"/>
    <w:p>
      <w:pPr>
        <w:jc w:val="center"/>
        <w:ind w:right="-19"/>
        <w:spacing w:after="0"/>
        <w:rPr>
          <w:sz w:val="20"/>
          <w:szCs w:val="20"/>
          <w:color w:val="auto"/>
        </w:rPr>
      </w:pPr>
      <w:r>
        <w:rPr>
          <w:rFonts w:ascii="Calibri" w:cs="Calibri" w:eastAsia="Calibri" w:hAnsi="Calibri"/>
          <w:sz w:val="16"/>
          <w:szCs w:val="16"/>
          <w:b w:val="1"/>
          <w:bCs w:val="1"/>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Calibri" w:cs="Calibri" w:eastAsia="Calibri" w:hAnsi="Calibri"/>
          <w:sz w:val="13"/>
          <w:szCs w:val="13"/>
          <w:color w:val="auto"/>
        </w:rPr>
        <w:t>To the shareholders and the Board of Directors of Mission Produce, Inc.</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Opinion on the Financial Statements</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We have audited the accompanying consolidated balance sheets of Mission Produce, Inc. and subsidiaries (the "Company") as of October 31, 2022 and 2021, the related consolidated statements of (loss) income, comprehensive (loss) income, changes in equity, and cash fows, for each of the three years in the period ended October 31, 2022, and the related notes (collectvely referred to as the "fnancial statements"). In our opinion, the fnancial statements present fairly, in all material respects, the fnancial positon of the Company as of October 31, 2022 and 2021, and the results of its operatons and its cash fows for each of the three years in the period ended October 31, 2022, in conformity with accountng principles generally accepted in the United States of America.</w:t>
      </w:r>
    </w:p>
    <w:p>
      <w:pPr>
        <w:spacing w:after="0" w:line="158" w:lineRule="exact"/>
        <w:rPr>
          <w:sz w:val="20"/>
          <w:szCs w:val="20"/>
          <w:color w:val="auto"/>
        </w:rPr>
      </w:pPr>
    </w:p>
    <w:p>
      <w:pPr>
        <w:ind w:right="160" w:firstLine="509"/>
        <w:spacing w:after="0" w:line="230" w:lineRule="auto"/>
        <w:rPr>
          <w:sz w:val="20"/>
          <w:szCs w:val="20"/>
          <w:color w:val="auto"/>
        </w:rPr>
      </w:pPr>
      <w:r>
        <w:rPr>
          <w:rFonts w:ascii="Calibri" w:cs="Calibri" w:eastAsia="Calibri" w:hAnsi="Calibri"/>
          <w:sz w:val="13"/>
          <w:szCs w:val="13"/>
          <w:color w:val="auto"/>
        </w:rPr>
        <w:t>We have also audited, in accordance with the standards of the Public Company Accountng Oversight Board (United States) (PCAOB), the Company's internal control over fnancial reportng as of October 31, 2022, based on criteria established in Internal Control — Integrated Framework (2013) issued by the Commitee of Sponsoring Organizatons of the Treadway Commission and our report dated December 22, 2022, expressed an unqualifed opinion on the Company's internal control over fnancial reportng.</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Basis for Opinion</w:t>
      </w:r>
    </w:p>
    <w:p>
      <w:pPr>
        <w:spacing w:after="0" w:line="158" w:lineRule="exact"/>
        <w:rPr>
          <w:sz w:val="20"/>
          <w:szCs w:val="20"/>
          <w:color w:val="auto"/>
        </w:rPr>
      </w:pPr>
    </w:p>
    <w:p>
      <w:pPr>
        <w:ind w:right="100" w:firstLine="509"/>
        <w:spacing w:after="0" w:line="230" w:lineRule="auto"/>
        <w:rPr>
          <w:sz w:val="20"/>
          <w:szCs w:val="20"/>
          <w:color w:val="auto"/>
        </w:rPr>
      </w:pPr>
      <w:r>
        <w:rPr>
          <w:rFonts w:ascii="Calibri" w:cs="Calibri" w:eastAsia="Calibri" w:hAnsi="Calibri"/>
          <w:sz w:val="13"/>
          <w:szCs w:val="13"/>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59" w:lineRule="exact"/>
        <w:rPr>
          <w:sz w:val="20"/>
          <w:szCs w:val="20"/>
          <w:color w:val="auto"/>
        </w:rPr>
      </w:pPr>
    </w:p>
    <w:p>
      <w:pPr>
        <w:ind w:right="120" w:firstLine="509"/>
        <w:spacing w:after="0" w:line="231" w:lineRule="auto"/>
        <w:rPr>
          <w:sz w:val="20"/>
          <w:szCs w:val="20"/>
          <w:color w:val="auto"/>
        </w:rPr>
      </w:pPr>
      <w:r>
        <w:rPr>
          <w:rFonts w:ascii="Calibri" w:cs="Calibri" w:eastAsia="Calibri" w:hAnsi="Calibri"/>
          <w:sz w:val="13"/>
          <w:szCs w:val="13"/>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Critcal Audit Mater</w:t>
      </w:r>
    </w:p>
    <w:p>
      <w:pPr>
        <w:spacing w:after="0" w:line="158" w:lineRule="exact"/>
        <w:rPr>
          <w:sz w:val="20"/>
          <w:szCs w:val="20"/>
          <w:color w:val="auto"/>
        </w:rPr>
      </w:pPr>
    </w:p>
    <w:p>
      <w:pPr>
        <w:jc w:val="both"/>
        <w:ind w:right="40" w:firstLine="509"/>
        <w:spacing w:after="0" w:line="229" w:lineRule="auto"/>
        <w:rPr>
          <w:sz w:val="20"/>
          <w:szCs w:val="20"/>
          <w:color w:val="auto"/>
        </w:rPr>
      </w:pPr>
      <w:r>
        <w:rPr>
          <w:rFonts w:ascii="Calibri" w:cs="Calibri" w:eastAsia="Calibri" w:hAnsi="Calibri"/>
          <w:sz w:val="13"/>
          <w:szCs w:val="13"/>
          <w:color w:val="auto"/>
        </w:rPr>
        <w:t>The critcal audit mater communicated below is a mater arising from the current-period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critcal audit maters does not alter in any way our opinion on the fnancial statements, taken as a whole, and we are not, by communicatng the critcal audit maters below, providing a separate opinion on the critcal audit mater or on the accounts or disclosures to which it relates.</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Goodwill – Peruvian Farming Reportng Unit— Refer to Note 2 and Note 4 to the fnancial statements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Critcal Audit Mater Descripton</w:t>
      </w:r>
    </w:p>
    <w:p>
      <w:pPr>
        <w:spacing w:after="0" w:line="158" w:lineRule="exact"/>
        <w:rPr>
          <w:sz w:val="20"/>
          <w:szCs w:val="20"/>
          <w:color w:val="auto"/>
        </w:rPr>
      </w:pPr>
    </w:p>
    <w:p>
      <w:pPr>
        <w:ind w:right="160" w:firstLine="509"/>
        <w:spacing w:after="0" w:line="225" w:lineRule="auto"/>
        <w:rPr>
          <w:sz w:val="20"/>
          <w:szCs w:val="20"/>
          <w:color w:val="auto"/>
        </w:rPr>
      </w:pPr>
      <w:r>
        <w:rPr>
          <w:rFonts w:ascii="Calibri" w:cs="Calibri" w:eastAsia="Calibri" w:hAnsi="Calibri"/>
          <w:sz w:val="13"/>
          <w:szCs w:val="13"/>
          <w:color w:val="auto"/>
        </w:rPr>
        <w:t>The Company’s goodwill is tested annually for impairment during the fourth quarter of each year, and more frequently if events and circumstances indicate that the assets might be impaired. The Company’s evaluaton of goodwill for impairment involves the comparison of the fair value of each reportng unit to its carrying value.</w:t>
      </w:r>
    </w:p>
    <w:p>
      <w:pPr>
        <w:spacing w:after="0" w:line="159" w:lineRule="exact"/>
        <w:rPr>
          <w:sz w:val="20"/>
          <w:szCs w:val="20"/>
          <w:color w:val="auto"/>
        </w:rPr>
      </w:pPr>
    </w:p>
    <w:p>
      <w:pPr>
        <w:ind w:right="20" w:firstLine="509"/>
        <w:spacing w:after="0" w:line="230" w:lineRule="auto"/>
        <w:rPr>
          <w:sz w:val="20"/>
          <w:szCs w:val="20"/>
          <w:color w:val="auto"/>
        </w:rPr>
      </w:pPr>
      <w:r>
        <w:rPr>
          <w:rFonts w:ascii="Calibri" w:cs="Calibri" w:eastAsia="Calibri" w:hAnsi="Calibri"/>
          <w:sz w:val="13"/>
          <w:szCs w:val="13"/>
          <w:color w:val="auto"/>
        </w:rPr>
        <w:t>The Company determines the fair value of its reportng units based upon the discounted cash fow method and the guideline publicly-traded companies method based on marketplace multples to determine the fair value of its reportng units when it is more-likely-than-not that the fair value of a reportng unit is less than its carrying balance. The fair value determinaton using the discounted cash fow method requires management to make signifcant estmates and assumptons related to forecasts of future revenues and earnings before interest, taxes, depreciaton, and amortzaton (EBITDA), gross margins, and the discount rate. The determinaton of the fair value using the public company guideline method requires management to make signifcant assumptons related to marketplace EBITDA multples from within a peer public company group. The goodwill balance was $88.9 million as of July 31, 2022, of which $76.4 million was allocated to the Peruvian farming reportng unit within Internatonal Farming segment. The fair value of the Peruvian farming reportng unit was lower than its carrying value as of the measurement date, and as a result, management recorded a $49.5 million impairment charge related to the reportng unit goodwill.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6" w:right="319" w:bottom="1440" w:gutter="0" w:footer="0" w:header="0"/>
        </w:sectPr>
      </w:pPr>
    </w:p>
    <w:bookmarkStart w:id="41" w:name="page42"/>
    <w:bookmarkEnd w:id="41"/>
    <w:p>
      <w:pPr>
        <w:ind w:right="100" w:firstLine="509"/>
        <w:spacing w:after="0" w:line="225" w:lineRule="auto"/>
        <w:rPr>
          <w:sz w:val="20"/>
          <w:szCs w:val="20"/>
          <w:color w:val="auto"/>
        </w:rPr>
      </w:pPr>
      <w:r>
        <w:rPr>
          <w:rFonts w:ascii="Calibri" w:cs="Calibri" w:eastAsia="Calibri" w:hAnsi="Calibri"/>
          <w:sz w:val="13"/>
          <w:szCs w:val="13"/>
          <w:color w:val="auto"/>
        </w:rPr>
        <w:t>Given the signifcant judgments made by management to estmate the fair value of Peruvian farming reportng unit, performing audit procedures to evaluate the reasonableness of management’s estmates and assumptons related to forecasts of future revenues and EBITDA, as well as selecton of the discount rate and selecton of multples applied to management's forecasted revenues and EBITDA estmates for the reportng unit, required a high degree of auditor judgment and an increased extent of efort, including the need to involve our fair value specialists.</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How the Critcal Audit Mater Was Addressed in the Audit</w:t>
      </w:r>
    </w:p>
    <w:p>
      <w:pPr>
        <w:spacing w:after="0" w:line="158" w:lineRule="exact"/>
        <w:rPr>
          <w:sz w:val="20"/>
          <w:szCs w:val="20"/>
          <w:color w:val="auto"/>
        </w:rPr>
      </w:pPr>
    </w:p>
    <w:p>
      <w:pPr>
        <w:ind w:left="520"/>
        <w:spacing w:after="0"/>
        <w:rPr>
          <w:sz w:val="20"/>
          <w:szCs w:val="20"/>
          <w:color w:val="auto"/>
        </w:rPr>
      </w:pPr>
      <w:r>
        <w:rPr>
          <w:rFonts w:ascii="Calibri" w:cs="Calibri" w:eastAsia="Calibri" w:hAnsi="Calibri"/>
          <w:sz w:val="12"/>
          <w:szCs w:val="12"/>
          <w:color w:val="auto"/>
        </w:rPr>
        <w:t>Our audit procedures related to the forecasts of future revenues and EBITDA ("forecasts"), and the selecton of the discount rate and selecton of multples applied to management's forecasted revenues and</w:t>
      </w:r>
    </w:p>
    <w:p>
      <w:pPr>
        <w:spacing w:after="0" w:line="229" w:lineRule="auto"/>
        <w:rPr>
          <w:sz w:val="20"/>
          <w:szCs w:val="20"/>
          <w:color w:val="auto"/>
        </w:rPr>
      </w:pPr>
      <w:r>
        <w:rPr>
          <w:rFonts w:ascii="Calibri" w:cs="Calibri" w:eastAsia="Calibri" w:hAnsi="Calibri"/>
          <w:sz w:val="13"/>
          <w:szCs w:val="13"/>
          <w:color w:val="auto"/>
        </w:rPr>
        <w:t>EBITDA estmates ("market multples") for this reportng unit included the following, among others:</w:t>
      </w:r>
    </w:p>
    <w:p>
      <w:pPr>
        <w:spacing w:after="0" w:line="158" w:lineRule="exact"/>
        <w:rPr>
          <w:sz w:val="20"/>
          <w:szCs w:val="20"/>
          <w:color w:val="auto"/>
        </w:rPr>
      </w:pPr>
    </w:p>
    <w:p>
      <w:pPr>
        <w:ind w:left="520" w:right="140" w:hanging="260"/>
        <w:spacing w:after="0" w:line="233" w:lineRule="auto"/>
        <w:tabs>
          <w:tab w:leader="none" w:pos="520" w:val="left"/>
        </w:tabs>
        <w:numPr>
          <w:ilvl w:val="0"/>
          <w:numId w:val="15"/>
        </w:numPr>
        <w:rPr>
          <w:rFonts w:ascii="Calibri" w:cs="Calibri" w:eastAsia="Calibri" w:hAnsi="Calibri"/>
          <w:sz w:val="13"/>
          <w:szCs w:val="13"/>
          <w:color w:val="auto"/>
        </w:rPr>
      </w:pPr>
      <w:r>
        <w:rPr>
          <w:rFonts w:ascii="Calibri" w:cs="Calibri" w:eastAsia="Calibri" w:hAnsi="Calibri"/>
          <w:sz w:val="13"/>
          <w:szCs w:val="13"/>
          <w:color w:val="auto"/>
        </w:rPr>
        <w:t>We tested the efectveness of controls over management's goodwill impairment evaluaton, including those over the determinaton of the fair value of the Peruvian farming reportng unit, such as controls related to management's forecasts and the selecton of the discount rate and market multples used.</w:t>
      </w:r>
    </w:p>
    <w:p>
      <w:pPr>
        <w:spacing w:after="0" w:line="149" w:lineRule="exact"/>
        <w:rPr>
          <w:rFonts w:ascii="Calibri" w:cs="Calibri" w:eastAsia="Calibri" w:hAnsi="Calibri"/>
          <w:sz w:val="13"/>
          <w:szCs w:val="13"/>
          <w:color w:val="auto"/>
        </w:rPr>
      </w:pPr>
    </w:p>
    <w:p>
      <w:pPr>
        <w:ind w:left="520" w:hanging="260"/>
        <w:spacing w:after="0"/>
        <w:tabs>
          <w:tab w:leader="none" w:pos="520" w:val="left"/>
        </w:tabs>
        <w:numPr>
          <w:ilvl w:val="0"/>
          <w:numId w:val="15"/>
        </w:numPr>
        <w:rPr>
          <w:rFonts w:ascii="Calibri" w:cs="Calibri" w:eastAsia="Calibri" w:hAnsi="Calibri"/>
          <w:sz w:val="13"/>
          <w:szCs w:val="13"/>
          <w:color w:val="auto"/>
        </w:rPr>
      </w:pPr>
      <w:r>
        <w:rPr>
          <w:rFonts w:ascii="Calibri" w:cs="Calibri" w:eastAsia="Calibri" w:hAnsi="Calibri"/>
          <w:sz w:val="13"/>
          <w:szCs w:val="13"/>
          <w:color w:val="auto"/>
        </w:rPr>
        <w:t>We evaluated management’s ability to accurately forecast by comparing actual results to management’s historical forecasts.</w:t>
      </w:r>
    </w:p>
    <w:p>
      <w:pPr>
        <w:spacing w:after="0" w:line="158" w:lineRule="exact"/>
        <w:rPr>
          <w:rFonts w:ascii="Calibri" w:cs="Calibri" w:eastAsia="Calibri" w:hAnsi="Calibri"/>
          <w:sz w:val="13"/>
          <w:szCs w:val="13"/>
          <w:color w:val="auto"/>
        </w:rPr>
      </w:pPr>
    </w:p>
    <w:p>
      <w:pPr>
        <w:ind w:left="520" w:hanging="260"/>
        <w:spacing w:after="0"/>
        <w:tabs>
          <w:tab w:leader="none" w:pos="520" w:val="left"/>
        </w:tabs>
        <w:numPr>
          <w:ilvl w:val="0"/>
          <w:numId w:val="15"/>
        </w:numPr>
        <w:rPr>
          <w:rFonts w:ascii="Calibri" w:cs="Calibri" w:eastAsia="Calibri" w:hAnsi="Calibri"/>
          <w:sz w:val="12"/>
          <w:szCs w:val="12"/>
          <w:color w:val="auto"/>
        </w:rPr>
      </w:pPr>
      <w:r>
        <w:rPr>
          <w:rFonts w:ascii="Calibri" w:cs="Calibri" w:eastAsia="Calibri" w:hAnsi="Calibri"/>
          <w:sz w:val="12"/>
          <w:szCs w:val="12"/>
          <w:color w:val="auto"/>
        </w:rPr>
        <w:t>We evaluated the reasonableness of management's forecasts by comparing the forecasts to (1) historical results, (2) internal communicatons to management, 3) inquiry with non-management personnel and</w:t>
      </w:r>
    </w:p>
    <w:p>
      <w:pPr>
        <w:spacing w:after="0" w:line="3" w:lineRule="exact"/>
        <w:rPr>
          <w:rFonts w:ascii="Calibri" w:cs="Calibri" w:eastAsia="Calibri" w:hAnsi="Calibri"/>
          <w:sz w:val="12"/>
          <w:szCs w:val="12"/>
          <w:color w:val="auto"/>
        </w:rPr>
      </w:pPr>
    </w:p>
    <w:p>
      <w:pPr>
        <w:ind w:left="520"/>
        <w:spacing w:after="0" w:line="224" w:lineRule="auto"/>
        <w:rPr>
          <w:rFonts w:ascii="Calibri" w:cs="Calibri" w:eastAsia="Calibri" w:hAnsi="Calibri"/>
          <w:sz w:val="12"/>
          <w:szCs w:val="12"/>
          <w:color w:val="auto"/>
        </w:rPr>
      </w:pPr>
      <w:r>
        <w:rPr>
          <w:rFonts w:ascii="Calibri" w:cs="Calibri" w:eastAsia="Calibri" w:hAnsi="Calibri"/>
          <w:sz w:val="13"/>
          <w:szCs w:val="13"/>
          <w:color w:val="auto"/>
        </w:rPr>
        <w:t>(4) forecasted informaton included in industry reports that the reportng unit operates within.</w:t>
      </w:r>
    </w:p>
    <w:p>
      <w:pPr>
        <w:spacing w:after="0" w:line="158" w:lineRule="exact"/>
        <w:rPr>
          <w:rFonts w:ascii="Calibri" w:cs="Calibri" w:eastAsia="Calibri" w:hAnsi="Calibri"/>
          <w:sz w:val="12"/>
          <w:szCs w:val="12"/>
          <w:color w:val="auto"/>
        </w:rPr>
      </w:pPr>
    </w:p>
    <w:p>
      <w:pPr>
        <w:ind w:left="520" w:right="20" w:hanging="260"/>
        <w:spacing w:after="0" w:line="233" w:lineRule="auto"/>
        <w:tabs>
          <w:tab w:leader="none" w:pos="520" w:val="left"/>
        </w:tabs>
        <w:numPr>
          <w:ilvl w:val="0"/>
          <w:numId w:val="15"/>
        </w:numPr>
        <w:rPr>
          <w:rFonts w:ascii="Calibri" w:cs="Calibri" w:eastAsia="Calibri" w:hAnsi="Calibri"/>
          <w:sz w:val="13"/>
          <w:szCs w:val="13"/>
          <w:color w:val="auto"/>
        </w:rPr>
      </w:pPr>
      <w:r>
        <w:rPr>
          <w:rFonts w:ascii="Calibri" w:cs="Calibri" w:eastAsia="Calibri" w:hAnsi="Calibri"/>
          <w:sz w:val="13"/>
          <w:szCs w:val="13"/>
          <w:color w:val="auto"/>
        </w:rPr>
        <w:t>With the assistance of our fair value specialists, we evaluated (1) the valuaton methodologies used, (2) the marketplace multples selected by management, and (3) the discount rate, used in determining the present value of the expected cash fows by developing a range of independent estmates and comparing those to the rate selected by management.</w:t>
      </w:r>
    </w:p>
    <w:p>
      <w:pPr>
        <w:spacing w:after="0" w:line="149" w:lineRule="exact"/>
        <w:rPr>
          <w:rFonts w:ascii="Calibri" w:cs="Calibri" w:eastAsia="Calibri" w:hAnsi="Calibri"/>
          <w:sz w:val="13"/>
          <w:szCs w:val="13"/>
          <w:color w:val="auto"/>
        </w:rPr>
      </w:pPr>
    </w:p>
    <w:p>
      <w:pPr>
        <w:ind w:left="520" w:hanging="260"/>
        <w:spacing w:after="0"/>
        <w:tabs>
          <w:tab w:leader="none" w:pos="520" w:val="left"/>
        </w:tabs>
        <w:numPr>
          <w:ilvl w:val="0"/>
          <w:numId w:val="15"/>
        </w:numPr>
        <w:rPr>
          <w:rFonts w:ascii="Calibri" w:cs="Calibri" w:eastAsia="Calibri" w:hAnsi="Calibri"/>
          <w:sz w:val="13"/>
          <w:szCs w:val="13"/>
          <w:color w:val="auto"/>
        </w:rPr>
      </w:pPr>
      <w:r>
        <w:rPr>
          <w:rFonts w:ascii="Calibri" w:cs="Calibri" w:eastAsia="Calibri" w:hAnsi="Calibri"/>
          <w:sz w:val="13"/>
          <w:szCs w:val="13"/>
          <w:color w:val="auto"/>
        </w:rPr>
        <w:t>We considered the impact of changes in the industry on management's forecasts.</w:t>
      </w:r>
    </w:p>
    <w:p>
      <w:pPr>
        <w:spacing w:after="0" w:line="340"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/s/ Deloite &amp; Touche LLP</w:t>
      </w:r>
    </w:p>
    <w:p>
      <w:pPr>
        <w:spacing w:after="0" w:line="181" w:lineRule="exact"/>
        <w:rPr>
          <w:sz w:val="20"/>
          <w:szCs w:val="20"/>
          <w:color w:val="auto"/>
        </w:rPr>
      </w:pPr>
    </w:p>
    <w:p>
      <w:pPr>
        <w:spacing w:after="0"/>
        <w:rPr>
          <w:sz w:val="20"/>
          <w:szCs w:val="20"/>
          <w:color w:val="auto"/>
        </w:rPr>
      </w:pPr>
      <w:r>
        <w:rPr>
          <w:rFonts w:ascii="Calibri" w:cs="Calibri" w:eastAsia="Calibri" w:hAnsi="Calibri"/>
          <w:sz w:val="13"/>
          <w:szCs w:val="13"/>
          <w:color w:val="auto"/>
        </w:rPr>
        <w:t>Los Angeles, California</w:t>
      </w:r>
    </w:p>
    <w:p>
      <w:pPr>
        <w:spacing w:after="0"/>
        <w:rPr>
          <w:sz w:val="20"/>
          <w:szCs w:val="20"/>
          <w:color w:val="auto"/>
        </w:rPr>
      </w:pPr>
      <w:r>
        <w:rPr>
          <w:rFonts w:ascii="Calibri" w:cs="Calibri" w:eastAsia="Calibri" w:hAnsi="Calibri"/>
          <w:sz w:val="13"/>
          <w:szCs w:val="13"/>
          <w:color w:val="auto"/>
        </w:rPr>
        <w:t>December 22, 2022</w:t>
      </w:r>
    </w:p>
    <w:p>
      <w:pPr>
        <w:spacing w:after="0" w:line="149" w:lineRule="exact"/>
        <w:rPr>
          <w:sz w:val="20"/>
          <w:szCs w:val="20"/>
          <w:color w:val="auto"/>
        </w:rPr>
      </w:pPr>
    </w:p>
    <w:p>
      <w:pPr>
        <w:spacing w:after="0"/>
        <w:rPr>
          <w:sz w:val="20"/>
          <w:szCs w:val="20"/>
          <w:color w:val="auto"/>
        </w:rPr>
      </w:pPr>
      <w:r>
        <w:rPr>
          <w:rFonts w:ascii="Calibri" w:cs="Calibri" w:eastAsia="Calibri" w:hAnsi="Calibri"/>
          <w:sz w:val="13"/>
          <w:szCs w:val="13"/>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Calibri" w:cs="Calibri" w:eastAsia="Calibri" w:hAnsi="Calibri"/>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049" w:right="419" w:bottom="1440" w:gutter="0" w:footer="0" w:header="0"/>
        </w:sectPr>
      </w:pPr>
    </w:p>
    <w:bookmarkStart w:id="42" w:name="page43"/>
    <w:bookmarkEnd w:id="42"/>
    <w:p>
      <w:pPr>
        <w:jc w:val="center"/>
        <w:spacing w:after="0"/>
        <w:rPr>
          <w:sz w:val="20"/>
          <w:szCs w:val="20"/>
          <w:color w:val="auto"/>
        </w:rPr>
      </w:pPr>
      <w:r>
        <w:rPr>
          <w:rFonts w:ascii="Calibri" w:cs="Calibri" w:eastAsia="Calibri" w:hAnsi="Calibri"/>
          <w:sz w:val="16"/>
          <w:szCs w:val="16"/>
          <w:b w:val="1"/>
          <w:bCs w:val="1"/>
          <w:color w:val="auto"/>
        </w:rPr>
        <w:t>MISSION PRODUCE, INC.</w:t>
      </w:r>
    </w:p>
    <w:p>
      <w:pPr>
        <w:spacing w:after="0" w:line="2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BALANCE SHEETS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0" w:type="dxa"/>
            <w:vAlign w:val="bottom"/>
            <w:gridSpan w:val="2"/>
          </w:tcPr>
          <w:p>
            <w:pPr>
              <w:jc w:val="right"/>
              <w:ind w:right="531"/>
              <w:spacing w:after="0"/>
              <w:rPr>
                <w:sz w:val="20"/>
                <w:szCs w:val="20"/>
                <w:color w:val="auto"/>
              </w:rPr>
            </w:pPr>
            <w:r>
              <w:rPr>
                <w:rFonts w:ascii="Calibri" w:cs="Calibri" w:eastAsia="Calibri" w:hAnsi="Calibri"/>
                <w:sz w:val="10"/>
                <w:szCs w:val="10"/>
                <w:b w:val="1"/>
                <w:bCs w:val="1"/>
                <w:color w:val="auto"/>
              </w:rPr>
              <w:t>October 31,</w:t>
            </w:r>
          </w:p>
        </w:tc>
        <w:tc>
          <w:tcPr>
            <w:tcW w:w="840" w:type="dxa"/>
            <w:vAlign w:val="bottom"/>
          </w:tcPr>
          <w:p>
            <w:pPr>
              <w:spacing w:after="0"/>
              <w:rPr>
                <w:sz w:val="10"/>
                <w:szCs w:val="10"/>
                <w:color w:val="auto"/>
              </w:rPr>
            </w:pPr>
          </w:p>
        </w:tc>
      </w:tr>
      <w:tr>
        <w:trPr>
          <w:trHeight w:val="29"/>
        </w:trPr>
        <w:tc>
          <w:tcPr>
            <w:tcW w:w="7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21"/>
        </w:trPr>
        <w:tc>
          <w:tcPr>
            <w:tcW w:w="7980" w:type="dxa"/>
            <w:vAlign w:val="bottom"/>
          </w:tcPr>
          <w:p>
            <w:pPr>
              <w:ind w:left="20"/>
              <w:spacing w:after="0" w:line="121" w:lineRule="exact"/>
              <w:rPr>
                <w:sz w:val="20"/>
                <w:szCs w:val="20"/>
                <w:color w:val="auto"/>
              </w:rPr>
            </w:pPr>
            <w:r>
              <w:rPr>
                <w:rFonts w:ascii="Calibri" w:cs="Calibri" w:eastAsia="Calibri" w:hAnsi="Calibri"/>
                <w:sz w:val="10"/>
                <w:szCs w:val="10"/>
                <w:b w:val="1"/>
                <w:bCs w:val="1"/>
                <w:color w:val="auto"/>
              </w:rPr>
              <w:t>(In millions, except for shares)</w:t>
            </w:r>
          </w:p>
        </w:tc>
        <w:tc>
          <w:tcPr>
            <w:tcW w:w="660" w:type="dxa"/>
            <w:vAlign w:val="bottom"/>
          </w:tcPr>
          <w:p>
            <w:pPr>
              <w:spacing w:after="0"/>
              <w:rPr>
                <w:sz w:val="10"/>
                <w:szCs w:val="10"/>
                <w:color w:val="auto"/>
              </w:rPr>
            </w:pPr>
          </w:p>
        </w:tc>
        <w:tc>
          <w:tcPr>
            <w:tcW w:w="980" w:type="dxa"/>
            <w:vAlign w:val="bottom"/>
          </w:tcPr>
          <w:p>
            <w:pPr>
              <w:jc w:val="right"/>
              <w:ind w:right="71"/>
              <w:spacing w:after="0" w:line="121" w:lineRule="exact"/>
              <w:rPr>
                <w:sz w:val="20"/>
                <w:szCs w:val="20"/>
                <w:color w:val="auto"/>
              </w:rPr>
            </w:pPr>
            <w:r>
              <w:rPr>
                <w:rFonts w:ascii="Calibri" w:cs="Calibri" w:eastAsia="Calibri" w:hAnsi="Calibri"/>
                <w:sz w:val="10"/>
                <w:szCs w:val="10"/>
                <w:b w:val="1"/>
                <w:bCs w:val="1"/>
                <w:color w:val="auto"/>
              </w:rPr>
              <w:t>2022</w:t>
            </w:r>
          </w:p>
        </w:tc>
        <w:tc>
          <w:tcPr>
            <w:tcW w:w="82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Calibri" w:cs="Calibri" w:eastAsia="Calibri" w:hAnsi="Calibri"/>
                <w:sz w:val="10"/>
                <w:szCs w:val="10"/>
                <w:b w:val="1"/>
                <w:bCs w:val="1"/>
                <w:color w:val="auto"/>
              </w:rPr>
              <w:t>2021</w:t>
            </w:r>
          </w:p>
        </w:tc>
      </w:tr>
      <w:tr>
        <w:trPr>
          <w:trHeight w:val="29"/>
        </w:trPr>
        <w:tc>
          <w:tcPr>
            <w:tcW w:w="7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30"/>
        </w:trPr>
        <w:tc>
          <w:tcPr>
            <w:tcW w:w="798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b w:val="1"/>
                <w:bCs w:val="1"/>
                <w:color w:val="auto"/>
              </w:rPr>
              <w:t>Assets</w:t>
            </w:r>
          </w:p>
        </w:tc>
        <w:tc>
          <w:tcPr>
            <w:tcW w:w="66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820" w:type="dxa"/>
            <w:vAlign w:val="bottom"/>
            <w:tcBorders>
              <w:bottom w:val="single" w:sz="8" w:color="DBDBDB"/>
            </w:tcBorders>
            <w:shd w:val="clear" w:color="auto" w:fill="DBDBDB"/>
          </w:tcPr>
          <w:p>
            <w:pPr>
              <w:spacing w:after="0"/>
              <w:rPr>
                <w:sz w:val="11"/>
                <w:szCs w:val="11"/>
                <w:color w:val="auto"/>
              </w:rPr>
            </w:pPr>
          </w:p>
        </w:tc>
        <w:tc>
          <w:tcPr>
            <w:tcW w:w="840" w:type="dxa"/>
            <w:vAlign w:val="bottom"/>
            <w:tcBorders>
              <w:bottom w:val="single" w:sz="8" w:color="DBDBDB"/>
            </w:tcBorders>
            <w:shd w:val="clear" w:color="auto" w:fill="DBDBDB"/>
          </w:tcPr>
          <w:p>
            <w:pPr>
              <w:spacing w:after="0"/>
              <w:rPr>
                <w:sz w:val="11"/>
                <w:szCs w:val="11"/>
                <w:color w:val="auto"/>
              </w:rPr>
            </w:pP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Current Assets:</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Cash and cash equivalents</w:t>
            </w:r>
          </w:p>
        </w:tc>
        <w:tc>
          <w:tcPr>
            <w:tcW w:w="660" w:type="dxa"/>
            <w:vAlign w:val="bottom"/>
            <w:tcBorders>
              <w:bottom w:val="single" w:sz="8" w:color="DBDBDB"/>
            </w:tcBorders>
            <w:shd w:val="clear" w:color="auto" w:fill="DBDBDB"/>
          </w:tcPr>
          <w:p>
            <w:pPr>
              <w:jc w:val="right"/>
              <w:ind w:right="551"/>
              <w:spacing w:after="0"/>
              <w:rPr>
                <w:sz w:val="20"/>
                <w:szCs w:val="20"/>
                <w:color w:val="auto"/>
              </w:rPr>
            </w:pPr>
            <w:r>
              <w:rPr>
                <w:rFonts w:ascii="Calibri" w:cs="Calibri" w:eastAsia="Calibri" w:hAnsi="Calibri"/>
                <w:sz w:val="10"/>
                <w:szCs w:val="10"/>
                <w:color w:val="auto"/>
                <w:w w:val="77"/>
              </w:rPr>
              <w:t>$</w:t>
            </w: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52.8</w:t>
            </w:r>
          </w:p>
        </w:tc>
        <w:tc>
          <w:tcPr>
            <w:tcW w:w="820" w:type="dxa"/>
            <w:vAlign w:val="bottom"/>
            <w:tcBorders>
              <w:bottom w:val="single" w:sz="8" w:color="DBDBDB"/>
            </w:tcBorders>
            <w:shd w:val="clear" w:color="auto" w:fill="DBDBDB"/>
          </w:tcPr>
          <w:p>
            <w:pPr>
              <w:jc w:val="right"/>
              <w:ind w:right="591"/>
              <w:spacing w:after="0"/>
              <w:rPr>
                <w:sz w:val="20"/>
                <w:szCs w:val="20"/>
                <w:color w:val="auto"/>
              </w:rPr>
            </w:pPr>
            <w:r>
              <w:rPr>
                <w:rFonts w:ascii="Calibri" w:cs="Calibri" w:eastAsia="Calibri" w:hAnsi="Calibri"/>
                <w:sz w:val="10"/>
                <w:szCs w:val="10"/>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84.5</w:t>
            </w: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Restricted cash</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1.1</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6.1</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Accounts receivable</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spacing w:after="0"/>
              <w:rPr>
                <w:sz w:val="12"/>
                <w:szCs w:val="12"/>
                <w:color w:val="auto"/>
              </w:rPr>
            </w:pPr>
          </w:p>
        </w:tc>
      </w:tr>
      <w:tr>
        <w:trPr>
          <w:trHeight w:val="130"/>
        </w:trPr>
        <w:tc>
          <w:tcPr>
            <w:tcW w:w="7980" w:type="dxa"/>
            <w:vAlign w:val="bottom"/>
          </w:tcPr>
          <w:p>
            <w:pPr>
              <w:ind w:left="700"/>
              <w:spacing w:after="0"/>
              <w:rPr>
                <w:sz w:val="20"/>
                <w:szCs w:val="20"/>
                <w:color w:val="auto"/>
              </w:rPr>
            </w:pPr>
            <w:r>
              <w:rPr>
                <w:rFonts w:ascii="Calibri" w:cs="Calibri" w:eastAsia="Calibri" w:hAnsi="Calibri"/>
                <w:sz w:val="10"/>
                <w:szCs w:val="10"/>
                <w:color w:val="auto"/>
              </w:rPr>
              <w:t>Trade, net of allowances of $0.3 and $0.2, respectvely</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62.9</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73.8</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700"/>
              <w:spacing w:after="0"/>
              <w:rPr>
                <w:sz w:val="20"/>
                <w:szCs w:val="20"/>
                <w:color w:val="auto"/>
              </w:rPr>
            </w:pPr>
            <w:r>
              <w:rPr>
                <w:rFonts w:ascii="Calibri" w:cs="Calibri" w:eastAsia="Calibri" w:hAnsi="Calibri"/>
                <w:sz w:val="10"/>
                <w:szCs w:val="10"/>
                <w:color w:val="auto"/>
              </w:rPr>
              <w:t>Grower and fruit advances</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1.8</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0.6</w:t>
            </w:r>
          </w:p>
        </w:tc>
      </w:tr>
      <w:tr>
        <w:trPr>
          <w:trHeight w:val="130"/>
        </w:trPr>
        <w:tc>
          <w:tcPr>
            <w:tcW w:w="7980" w:type="dxa"/>
            <w:vAlign w:val="bottom"/>
          </w:tcPr>
          <w:p>
            <w:pPr>
              <w:ind w:left="700"/>
              <w:spacing w:after="0"/>
              <w:rPr>
                <w:sz w:val="20"/>
                <w:szCs w:val="20"/>
                <w:color w:val="auto"/>
              </w:rPr>
            </w:pPr>
            <w:r>
              <w:rPr>
                <w:rFonts w:ascii="Calibri" w:cs="Calibri" w:eastAsia="Calibri" w:hAnsi="Calibri"/>
                <w:sz w:val="10"/>
                <w:szCs w:val="10"/>
                <w:color w:val="auto"/>
              </w:rPr>
              <w:t>Other</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17.3</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12.3</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Inventory</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73.1</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48.2</w:t>
            </w: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Prepaid expenses and other current assets</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11.1</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11.6</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Loans to equity method investees</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3.3</w:t>
            </w: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Income taxes receivable</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8.0</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6.7</w:t>
            </w:r>
          </w:p>
        </w:tc>
      </w:tr>
      <w:tr>
        <w:trPr>
          <w:trHeight w:val="29"/>
        </w:trPr>
        <w:tc>
          <w:tcPr>
            <w:tcW w:w="7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30"/>
        </w:trPr>
        <w:tc>
          <w:tcPr>
            <w:tcW w:w="7980" w:type="dxa"/>
            <w:vAlign w:val="bottom"/>
            <w:tcBorders>
              <w:bottom w:val="single" w:sz="8" w:color="DBDBDB"/>
            </w:tcBorders>
            <w:shd w:val="clear" w:color="auto" w:fill="DBDBDB"/>
          </w:tcPr>
          <w:p>
            <w:pPr>
              <w:ind w:left="1040"/>
              <w:spacing w:after="0" w:line="121" w:lineRule="exact"/>
              <w:rPr>
                <w:sz w:val="20"/>
                <w:szCs w:val="20"/>
                <w:color w:val="auto"/>
              </w:rPr>
            </w:pPr>
            <w:r>
              <w:rPr>
                <w:rFonts w:ascii="Calibri" w:cs="Calibri" w:eastAsia="Calibri" w:hAnsi="Calibri"/>
                <w:sz w:val="10"/>
                <w:szCs w:val="10"/>
                <w:color w:val="auto"/>
              </w:rPr>
              <w:t>Total current assets</w:t>
            </w:r>
          </w:p>
        </w:tc>
        <w:tc>
          <w:tcPr>
            <w:tcW w:w="66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228.1</w:t>
            </w:r>
          </w:p>
        </w:tc>
        <w:tc>
          <w:tcPr>
            <w:tcW w:w="820" w:type="dxa"/>
            <w:vAlign w:val="bottom"/>
            <w:tcBorders>
              <w:bottom w:val="single" w:sz="8" w:color="DBDBDB"/>
            </w:tcBorders>
            <w:shd w:val="clear" w:color="auto" w:fill="DBDBDB"/>
          </w:tcPr>
          <w:p>
            <w:pPr>
              <w:spacing w:after="0"/>
              <w:rPr>
                <w:sz w:val="11"/>
                <w:szCs w:val="11"/>
                <w:color w:val="auto"/>
              </w:rPr>
            </w:pPr>
          </w:p>
        </w:tc>
        <w:tc>
          <w:tcPr>
            <w:tcW w:w="84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247.1</w:t>
            </w: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Property, plant and equipment, net</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489.7</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424.2</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Operatng lease right-of-use assets</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65.4</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43.9</w:t>
            </w: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Equity method investees</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27.1</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52.7</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Loans to equity method investees</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1.8</w:t>
            </w: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Deferred income tax assets, net</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8.1</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7.6</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Goodwill</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39.4</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76.4</w:t>
            </w: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Intangible asset, net</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2.0</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64"/>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Other assets</w:t>
            </w:r>
          </w:p>
        </w:tc>
        <w:tc>
          <w:tcPr>
            <w:tcW w:w="66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19.7</w:t>
            </w:r>
          </w:p>
        </w:tc>
        <w:tc>
          <w:tcPr>
            <w:tcW w:w="8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19.8</w:t>
            </w:r>
          </w:p>
        </w:tc>
      </w:tr>
      <w:tr>
        <w:trPr>
          <w:trHeight w:val="121"/>
        </w:trPr>
        <w:tc>
          <w:tcPr>
            <w:tcW w:w="7980" w:type="dxa"/>
            <w:vAlign w:val="bottom"/>
            <w:tcBorders>
              <w:top w:val="single" w:sz="8" w:color="auto"/>
            </w:tcBorders>
          </w:tcPr>
          <w:p>
            <w:pPr>
              <w:ind w:left="20"/>
              <w:spacing w:after="0" w:line="121" w:lineRule="exact"/>
              <w:rPr>
                <w:sz w:val="20"/>
                <w:szCs w:val="20"/>
                <w:color w:val="auto"/>
              </w:rPr>
            </w:pPr>
            <w:r>
              <w:rPr>
                <w:rFonts w:ascii="Calibri" w:cs="Calibri" w:eastAsia="Calibri" w:hAnsi="Calibri"/>
                <w:sz w:val="10"/>
                <w:szCs w:val="10"/>
                <w:color w:val="auto"/>
              </w:rPr>
              <w:t>Total assets</w:t>
            </w:r>
          </w:p>
        </w:tc>
        <w:tc>
          <w:tcPr>
            <w:tcW w:w="660" w:type="dxa"/>
            <w:vAlign w:val="bottom"/>
            <w:tcBorders>
              <w:top w:val="single" w:sz="8" w:color="auto"/>
            </w:tcBorders>
          </w:tcPr>
          <w:p>
            <w:pPr>
              <w:jc w:val="right"/>
              <w:ind w:right="551"/>
              <w:spacing w:after="0" w:line="121" w:lineRule="exact"/>
              <w:rPr>
                <w:sz w:val="20"/>
                <w:szCs w:val="20"/>
                <w:color w:val="auto"/>
              </w:rPr>
            </w:pPr>
            <w:r>
              <w:rPr>
                <w:rFonts w:ascii="Calibri" w:cs="Calibri" w:eastAsia="Calibri" w:hAnsi="Calibri"/>
                <w:sz w:val="10"/>
                <w:szCs w:val="10"/>
                <w:color w:val="auto"/>
                <w:w w:val="77"/>
              </w:rPr>
              <w:t>$</w:t>
            </w:r>
          </w:p>
        </w:tc>
        <w:tc>
          <w:tcPr>
            <w:tcW w:w="980" w:type="dxa"/>
            <w:vAlign w:val="bottom"/>
            <w:tcBorders>
              <w:top w:val="single" w:sz="8" w:color="auto"/>
            </w:tcBorders>
          </w:tcPr>
          <w:p>
            <w:pPr>
              <w:jc w:val="right"/>
              <w:ind w:right="111"/>
              <w:spacing w:after="0" w:line="121" w:lineRule="exact"/>
              <w:rPr>
                <w:sz w:val="20"/>
                <w:szCs w:val="20"/>
                <w:color w:val="auto"/>
              </w:rPr>
            </w:pPr>
            <w:r>
              <w:rPr>
                <w:rFonts w:ascii="Calibri" w:cs="Calibri" w:eastAsia="Calibri" w:hAnsi="Calibri"/>
                <w:sz w:val="10"/>
                <w:szCs w:val="10"/>
                <w:color w:val="auto"/>
              </w:rPr>
              <w:t>879.5</w:t>
            </w:r>
          </w:p>
        </w:tc>
        <w:tc>
          <w:tcPr>
            <w:tcW w:w="820" w:type="dxa"/>
            <w:vAlign w:val="bottom"/>
            <w:tcBorders>
              <w:top w:val="single" w:sz="8" w:color="auto"/>
            </w:tcBorders>
          </w:tcPr>
          <w:p>
            <w:pPr>
              <w:jc w:val="right"/>
              <w:ind w:right="591"/>
              <w:spacing w:after="0" w:line="121" w:lineRule="exact"/>
              <w:rPr>
                <w:sz w:val="20"/>
                <w:szCs w:val="20"/>
                <w:color w:val="auto"/>
              </w:rPr>
            </w:pPr>
            <w:r>
              <w:rPr>
                <w:rFonts w:ascii="Calibri" w:cs="Calibri" w:eastAsia="Calibri" w:hAnsi="Calibri"/>
                <w:sz w:val="10"/>
                <w:szCs w:val="10"/>
                <w:color w:val="auto"/>
              </w:rPr>
              <w:t>$</w:t>
            </w:r>
          </w:p>
        </w:tc>
        <w:tc>
          <w:tcPr>
            <w:tcW w:w="84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873.5</w:t>
            </w:r>
          </w:p>
        </w:tc>
      </w:tr>
      <w:tr>
        <w:trPr>
          <w:trHeight w:val="29"/>
        </w:trPr>
        <w:tc>
          <w:tcPr>
            <w:tcW w:w="7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0"/>
        </w:trPr>
        <w:tc>
          <w:tcPr>
            <w:tcW w:w="79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b w:val="1"/>
                <w:bCs w:val="1"/>
                <w:color w:val="auto"/>
              </w:rPr>
              <w:t>Liabilites and Equity</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Liabilites</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spacing w:after="0"/>
              <w:rPr>
                <w:sz w:val="12"/>
                <w:szCs w:val="12"/>
                <w:color w:val="auto"/>
              </w:rPr>
            </w:pP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Accounts payable</w:t>
            </w:r>
          </w:p>
        </w:tc>
        <w:tc>
          <w:tcPr>
            <w:tcW w:w="660" w:type="dxa"/>
            <w:vAlign w:val="bottom"/>
          </w:tcPr>
          <w:p>
            <w:pPr>
              <w:jc w:val="right"/>
              <w:ind w:right="551"/>
              <w:spacing w:after="0"/>
              <w:rPr>
                <w:sz w:val="20"/>
                <w:szCs w:val="20"/>
                <w:color w:val="auto"/>
              </w:rPr>
            </w:pPr>
            <w:r>
              <w:rPr>
                <w:rFonts w:ascii="Calibri" w:cs="Calibri" w:eastAsia="Calibri" w:hAnsi="Calibri"/>
                <w:sz w:val="10"/>
                <w:szCs w:val="10"/>
                <w:color w:val="auto"/>
                <w:w w:val="77"/>
              </w:rPr>
              <w:t>$</w:t>
            </w: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34.4</w:t>
            </w:r>
          </w:p>
        </w:tc>
        <w:tc>
          <w:tcPr>
            <w:tcW w:w="820" w:type="dxa"/>
            <w:vAlign w:val="bottom"/>
          </w:tcPr>
          <w:p>
            <w:pPr>
              <w:jc w:val="right"/>
              <w:ind w:right="591"/>
              <w:spacing w:after="0"/>
              <w:rPr>
                <w:sz w:val="20"/>
                <w:szCs w:val="20"/>
                <w:color w:val="auto"/>
              </w:rPr>
            </w:pPr>
            <w:r>
              <w:rPr>
                <w:rFonts w:ascii="Calibri" w:cs="Calibri" w:eastAsia="Calibri" w:hAnsi="Calibri"/>
                <w:sz w:val="10"/>
                <w:szCs w:val="10"/>
                <w:color w:val="auto"/>
              </w:rPr>
              <w:t>$</w:t>
            </w:r>
          </w:p>
        </w:tc>
        <w:tc>
          <w:tcPr>
            <w:tcW w:w="840" w:type="dxa"/>
            <w:vAlign w:val="bottom"/>
          </w:tcPr>
          <w:p>
            <w:pPr>
              <w:jc w:val="right"/>
              <w:spacing w:after="0"/>
              <w:rPr>
                <w:sz w:val="20"/>
                <w:szCs w:val="20"/>
                <w:color w:val="auto"/>
              </w:rPr>
            </w:pPr>
            <w:r>
              <w:rPr>
                <w:rFonts w:ascii="Calibri" w:cs="Calibri" w:eastAsia="Calibri" w:hAnsi="Calibri"/>
                <w:sz w:val="10"/>
                <w:szCs w:val="10"/>
                <w:color w:val="auto"/>
              </w:rPr>
              <w:t>22.8</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Accrued expenses</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30.1</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28.8</w:t>
            </w: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Income taxes payable</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1.0</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1.9</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Grower payables</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24.3</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22.2</w:t>
            </w: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Short-term borrowings</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2.5</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Long-term debt—current porton</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3.5</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8.8</w:t>
            </w: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Operatng leases—current porton</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4.7</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3.6</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64"/>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Finance leases—current porton</w:t>
            </w:r>
          </w:p>
        </w:tc>
        <w:tc>
          <w:tcPr>
            <w:tcW w:w="66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1.2</w:t>
            </w:r>
          </w:p>
        </w:tc>
        <w:tc>
          <w:tcPr>
            <w:tcW w:w="8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1.1</w:t>
            </w:r>
          </w:p>
        </w:tc>
      </w:tr>
      <w:tr>
        <w:trPr>
          <w:trHeight w:val="121"/>
        </w:trPr>
        <w:tc>
          <w:tcPr>
            <w:tcW w:w="7980" w:type="dxa"/>
            <w:vAlign w:val="bottom"/>
            <w:tcBorders>
              <w:top w:val="single" w:sz="8" w:color="auto"/>
            </w:tcBorders>
          </w:tcPr>
          <w:p>
            <w:pPr>
              <w:ind w:left="1040"/>
              <w:spacing w:after="0" w:line="121" w:lineRule="exact"/>
              <w:rPr>
                <w:sz w:val="20"/>
                <w:szCs w:val="20"/>
                <w:color w:val="auto"/>
              </w:rPr>
            </w:pPr>
            <w:r>
              <w:rPr>
                <w:rFonts w:ascii="Calibri" w:cs="Calibri" w:eastAsia="Calibri" w:hAnsi="Calibri"/>
                <w:sz w:val="10"/>
                <w:szCs w:val="10"/>
                <w:color w:val="auto"/>
              </w:rPr>
              <w:t>Total current liabilites</w:t>
            </w:r>
          </w:p>
        </w:tc>
        <w:tc>
          <w:tcPr>
            <w:tcW w:w="6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1"/>
              <w:spacing w:after="0" w:line="121" w:lineRule="exact"/>
              <w:rPr>
                <w:sz w:val="20"/>
                <w:szCs w:val="20"/>
                <w:color w:val="auto"/>
              </w:rPr>
            </w:pPr>
            <w:r>
              <w:rPr>
                <w:rFonts w:ascii="Calibri" w:cs="Calibri" w:eastAsia="Calibri" w:hAnsi="Calibri"/>
                <w:sz w:val="10"/>
                <w:szCs w:val="10"/>
                <w:color w:val="auto"/>
              </w:rPr>
              <w:t>101.7</w:t>
            </w:r>
          </w:p>
        </w:tc>
        <w:tc>
          <w:tcPr>
            <w:tcW w:w="8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89.2</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Long-term debt, net of current porton</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136.9</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155.1</w:t>
            </w: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Operatng leases, net of current porton</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63.9</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42.5</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Finance leases, net of current porton</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1.4</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2.2</w:t>
            </w: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Income taxes payable</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3.1</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3.5</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Deferred income tax liabilites, net</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29.4</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26.8</w:t>
            </w: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Other long-term liabilites</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20.2</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20.0</w:t>
            </w:r>
          </w:p>
        </w:tc>
      </w:tr>
      <w:tr>
        <w:trPr>
          <w:trHeight w:val="29"/>
        </w:trPr>
        <w:tc>
          <w:tcPr>
            <w:tcW w:w="7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30"/>
        </w:trPr>
        <w:tc>
          <w:tcPr>
            <w:tcW w:w="798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color w:val="auto"/>
              </w:rPr>
              <w:t>Total liabilites</w:t>
            </w:r>
          </w:p>
        </w:tc>
        <w:tc>
          <w:tcPr>
            <w:tcW w:w="66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356.6</w:t>
            </w:r>
          </w:p>
        </w:tc>
        <w:tc>
          <w:tcPr>
            <w:tcW w:w="820" w:type="dxa"/>
            <w:vAlign w:val="bottom"/>
            <w:tcBorders>
              <w:bottom w:val="single" w:sz="8" w:color="DBDBDB"/>
            </w:tcBorders>
            <w:shd w:val="clear" w:color="auto" w:fill="DBDBDB"/>
          </w:tcPr>
          <w:p>
            <w:pPr>
              <w:spacing w:after="0"/>
              <w:rPr>
                <w:sz w:val="11"/>
                <w:szCs w:val="11"/>
                <w:color w:val="auto"/>
              </w:rPr>
            </w:pPr>
          </w:p>
        </w:tc>
        <w:tc>
          <w:tcPr>
            <w:tcW w:w="84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339.3</w:t>
            </w:r>
          </w:p>
        </w:tc>
      </w:tr>
      <w:tr>
        <w:trPr>
          <w:trHeight w:val="130"/>
        </w:trPr>
        <w:tc>
          <w:tcPr>
            <w:tcW w:w="7980" w:type="dxa"/>
            <w:vAlign w:val="bottom"/>
          </w:tcPr>
          <w:p>
            <w:pPr>
              <w:ind w:left="20"/>
              <w:spacing w:after="0"/>
              <w:rPr>
                <w:sz w:val="20"/>
                <w:szCs w:val="20"/>
                <w:color w:val="auto"/>
              </w:rPr>
            </w:pPr>
            <w:r>
              <w:rPr>
                <w:rFonts w:ascii="Calibri" w:cs="Calibri" w:eastAsia="Calibri" w:hAnsi="Calibri"/>
                <w:sz w:val="10"/>
                <w:szCs w:val="10"/>
                <w:color w:val="auto"/>
              </w:rPr>
              <w:t>Commitments and contngencies (Note 9)</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Shareholders’ Equity</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spacing w:after="0"/>
              <w:rPr>
                <w:sz w:val="12"/>
                <w:szCs w:val="12"/>
                <w:color w:val="auto"/>
              </w:rPr>
            </w:pP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Common stock ($0.001 par value, 1,000,000,000 shares authorized; 70,669,535 and 70,631,525 shares issued and outstanding as of October 31, 2022 and 2021, respectvely)</w:t>
            </w:r>
          </w:p>
        </w:tc>
        <w:tc>
          <w:tcPr>
            <w:tcW w:w="660" w:type="dxa"/>
            <w:vAlign w:val="bottom"/>
          </w:tcPr>
          <w:p>
            <w:pPr>
              <w:spacing w:after="0"/>
              <w:rPr>
                <w:sz w:val="11"/>
                <w:szCs w:val="11"/>
                <w:color w:val="auto"/>
              </w:rPr>
            </w:pPr>
          </w:p>
        </w:tc>
        <w:tc>
          <w:tcPr>
            <w:tcW w:w="980" w:type="dxa"/>
            <w:vAlign w:val="bottom"/>
          </w:tcPr>
          <w:p>
            <w:pPr>
              <w:jc w:val="right"/>
              <w:ind w:right="111"/>
              <w:spacing w:after="0"/>
              <w:rPr>
                <w:sz w:val="20"/>
                <w:szCs w:val="20"/>
                <w:color w:val="auto"/>
              </w:rPr>
            </w:pPr>
            <w:r>
              <w:rPr>
                <w:rFonts w:ascii="Calibri" w:cs="Calibri" w:eastAsia="Calibri" w:hAnsi="Calibri"/>
                <w:sz w:val="10"/>
                <w:szCs w:val="10"/>
                <w:color w:val="auto"/>
              </w:rPr>
              <w:t>0.1</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0.1</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9"/>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Additonal paid-in capital</w:t>
            </w:r>
          </w:p>
        </w:tc>
        <w:tc>
          <w:tcPr>
            <w:tcW w:w="66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229.3</w:t>
            </w:r>
          </w:p>
        </w:tc>
        <w:tc>
          <w:tcPr>
            <w:tcW w:w="8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225.6</w:t>
            </w:r>
          </w:p>
        </w:tc>
      </w:tr>
      <w:tr>
        <w:trPr>
          <w:trHeight w:val="130"/>
        </w:trPr>
        <w:tc>
          <w:tcPr>
            <w:tcW w:w="7980" w:type="dxa"/>
            <w:vAlign w:val="bottom"/>
          </w:tcPr>
          <w:p>
            <w:pPr>
              <w:ind w:left="360"/>
              <w:spacing w:after="0"/>
              <w:rPr>
                <w:sz w:val="20"/>
                <w:szCs w:val="20"/>
                <w:color w:val="auto"/>
              </w:rPr>
            </w:pPr>
            <w:r>
              <w:rPr>
                <w:rFonts w:ascii="Calibri" w:cs="Calibri" w:eastAsia="Calibri" w:hAnsi="Calibri"/>
                <w:sz w:val="10"/>
                <w:szCs w:val="10"/>
                <w:color w:val="auto"/>
              </w:rPr>
              <w:t>Accumulated other comprehensive loss</w:t>
            </w:r>
          </w:p>
        </w:tc>
        <w:tc>
          <w:tcPr>
            <w:tcW w:w="660" w:type="dxa"/>
            <w:vAlign w:val="bottom"/>
          </w:tcPr>
          <w:p>
            <w:pPr>
              <w:spacing w:after="0"/>
              <w:rPr>
                <w:sz w:val="11"/>
                <w:szCs w:val="11"/>
                <w:color w:val="auto"/>
              </w:rPr>
            </w:pPr>
          </w:p>
        </w:tc>
        <w:tc>
          <w:tcPr>
            <w:tcW w:w="980" w:type="dxa"/>
            <w:vAlign w:val="bottom"/>
          </w:tcPr>
          <w:p>
            <w:pPr>
              <w:jc w:val="right"/>
              <w:ind w:right="71"/>
              <w:spacing w:after="0"/>
              <w:rPr>
                <w:sz w:val="20"/>
                <w:szCs w:val="20"/>
                <w:color w:val="auto"/>
              </w:rPr>
            </w:pPr>
            <w:r>
              <w:rPr>
                <w:rFonts w:ascii="Calibri" w:cs="Calibri" w:eastAsia="Calibri" w:hAnsi="Calibri"/>
                <w:sz w:val="10"/>
                <w:szCs w:val="10"/>
                <w:color w:val="auto"/>
              </w:rPr>
              <w:t>(1.7)</w:t>
            </w:r>
          </w:p>
        </w:tc>
        <w:tc>
          <w:tcPr>
            <w:tcW w:w="8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0"/>
                <w:szCs w:val="10"/>
                <w:color w:val="auto"/>
              </w:rPr>
              <w:t>(0.5)</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64"/>
        </w:trPr>
        <w:tc>
          <w:tcPr>
            <w:tcW w:w="798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Retained earnings</w:t>
            </w:r>
          </w:p>
        </w:tc>
        <w:tc>
          <w:tcPr>
            <w:tcW w:w="66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274.4</w:t>
            </w:r>
          </w:p>
        </w:tc>
        <w:tc>
          <w:tcPr>
            <w:tcW w:w="8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309.0</w:t>
            </w:r>
          </w:p>
        </w:tc>
      </w:tr>
      <w:tr>
        <w:trPr>
          <w:trHeight w:val="121"/>
        </w:trPr>
        <w:tc>
          <w:tcPr>
            <w:tcW w:w="7980" w:type="dxa"/>
            <w:vAlign w:val="bottom"/>
            <w:tcBorders>
              <w:top w:val="single" w:sz="8" w:color="auto"/>
            </w:tcBorders>
          </w:tcPr>
          <w:p>
            <w:pPr>
              <w:ind w:left="1040"/>
              <w:spacing w:after="0" w:line="121" w:lineRule="exact"/>
              <w:rPr>
                <w:sz w:val="20"/>
                <w:szCs w:val="20"/>
                <w:color w:val="auto"/>
              </w:rPr>
            </w:pPr>
            <w:r>
              <w:rPr>
                <w:rFonts w:ascii="Calibri" w:cs="Calibri" w:eastAsia="Calibri" w:hAnsi="Calibri"/>
                <w:sz w:val="10"/>
                <w:szCs w:val="10"/>
                <w:color w:val="auto"/>
              </w:rPr>
              <w:t>Mission Produce shareholders' equity</w:t>
            </w:r>
          </w:p>
        </w:tc>
        <w:tc>
          <w:tcPr>
            <w:tcW w:w="6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1"/>
              <w:spacing w:after="0" w:line="121" w:lineRule="exact"/>
              <w:rPr>
                <w:sz w:val="20"/>
                <w:szCs w:val="20"/>
                <w:color w:val="auto"/>
              </w:rPr>
            </w:pPr>
            <w:r>
              <w:rPr>
                <w:rFonts w:ascii="Calibri" w:cs="Calibri" w:eastAsia="Calibri" w:hAnsi="Calibri"/>
                <w:sz w:val="10"/>
                <w:szCs w:val="10"/>
                <w:color w:val="auto"/>
              </w:rPr>
              <w:t>502.1</w:t>
            </w:r>
          </w:p>
        </w:tc>
        <w:tc>
          <w:tcPr>
            <w:tcW w:w="8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534.2</w:t>
            </w:r>
          </w:p>
        </w:tc>
      </w:tr>
      <w:tr>
        <w:trPr>
          <w:trHeight w:val="29"/>
        </w:trPr>
        <w:tc>
          <w:tcPr>
            <w:tcW w:w="7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64"/>
        </w:trPr>
        <w:tc>
          <w:tcPr>
            <w:tcW w:w="7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Noncontrolling interest</w:t>
            </w:r>
          </w:p>
        </w:tc>
        <w:tc>
          <w:tcPr>
            <w:tcW w:w="66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20.8</w:t>
            </w:r>
          </w:p>
        </w:tc>
        <w:tc>
          <w:tcPr>
            <w:tcW w:w="8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21"/>
        </w:trPr>
        <w:tc>
          <w:tcPr>
            <w:tcW w:w="7980" w:type="dxa"/>
            <w:vAlign w:val="bottom"/>
            <w:tcBorders>
              <w:top w:val="single" w:sz="8" w:color="auto"/>
            </w:tcBorders>
          </w:tcPr>
          <w:p>
            <w:pPr>
              <w:ind w:left="1040"/>
              <w:spacing w:after="0" w:line="121" w:lineRule="exact"/>
              <w:rPr>
                <w:sz w:val="20"/>
                <w:szCs w:val="20"/>
                <w:color w:val="auto"/>
              </w:rPr>
            </w:pPr>
            <w:r>
              <w:rPr>
                <w:rFonts w:ascii="Calibri" w:cs="Calibri" w:eastAsia="Calibri" w:hAnsi="Calibri"/>
                <w:sz w:val="10"/>
                <w:szCs w:val="10"/>
                <w:color w:val="auto"/>
              </w:rPr>
              <w:t>Total equity</w:t>
            </w:r>
          </w:p>
        </w:tc>
        <w:tc>
          <w:tcPr>
            <w:tcW w:w="6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1"/>
              <w:spacing w:after="0" w:line="121" w:lineRule="exact"/>
              <w:rPr>
                <w:sz w:val="20"/>
                <w:szCs w:val="20"/>
                <w:color w:val="auto"/>
              </w:rPr>
            </w:pPr>
            <w:r>
              <w:rPr>
                <w:rFonts w:ascii="Calibri" w:cs="Calibri" w:eastAsia="Calibri" w:hAnsi="Calibri"/>
                <w:sz w:val="10"/>
                <w:szCs w:val="10"/>
                <w:color w:val="auto"/>
              </w:rPr>
              <w:t>522.9</w:t>
            </w:r>
          </w:p>
        </w:tc>
        <w:tc>
          <w:tcPr>
            <w:tcW w:w="8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534.2</w:t>
            </w:r>
          </w:p>
        </w:tc>
      </w:tr>
      <w:tr>
        <w:trPr>
          <w:trHeight w:val="29"/>
        </w:trPr>
        <w:tc>
          <w:tcPr>
            <w:tcW w:w="7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30"/>
        </w:trPr>
        <w:tc>
          <w:tcPr>
            <w:tcW w:w="798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color w:val="auto"/>
              </w:rPr>
              <w:t>Total liabilites and equity</w:t>
            </w:r>
          </w:p>
        </w:tc>
        <w:tc>
          <w:tcPr>
            <w:tcW w:w="660" w:type="dxa"/>
            <w:vAlign w:val="bottom"/>
            <w:tcBorders>
              <w:bottom w:val="single" w:sz="8" w:color="DBDBDB"/>
            </w:tcBorders>
            <w:shd w:val="clear" w:color="auto" w:fill="DBDBDB"/>
          </w:tcPr>
          <w:p>
            <w:pPr>
              <w:jc w:val="right"/>
              <w:ind w:right="551"/>
              <w:spacing w:after="0" w:line="121" w:lineRule="exact"/>
              <w:rPr>
                <w:sz w:val="20"/>
                <w:szCs w:val="20"/>
                <w:color w:val="auto"/>
              </w:rPr>
            </w:pPr>
            <w:r>
              <w:rPr>
                <w:rFonts w:ascii="Calibri" w:cs="Calibri" w:eastAsia="Calibri" w:hAnsi="Calibri"/>
                <w:sz w:val="10"/>
                <w:szCs w:val="10"/>
                <w:color w:val="auto"/>
                <w:w w:val="77"/>
              </w:rPr>
              <w:t>$</w:t>
            </w:r>
          </w:p>
        </w:tc>
        <w:tc>
          <w:tcPr>
            <w:tcW w:w="98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879.5</w:t>
            </w:r>
          </w:p>
        </w:tc>
        <w:tc>
          <w:tcPr>
            <w:tcW w:w="820" w:type="dxa"/>
            <w:vAlign w:val="bottom"/>
            <w:tcBorders>
              <w:bottom w:val="single" w:sz="8" w:color="DBDBDB"/>
            </w:tcBorders>
            <w:shd w:val="clear" w:color="auto" w:fill="DBDBDB"/>
          </w:tcPr>
          <w:p>
            <w:pPr>
              <w:jc w:val="right"/>
              <w:ind w:right="591"/>
              <w:spacing w:after="0" w:line="121" w:lineRule="exact"/>
              <w:rPr>
                <w:sz w:val="20"/>
                <w:szCs w:val="20"/>
                <w:color w:val="auto"/>
              </w:rPr>
            </w:pPr>
            <w:r>
              <w:rPr>
                <w:rFonts w:ascii="Calibri" w:cs="Calibri" w:eastAsia="Calibri" w:hAnsi="Calibri"/>
                <w:sz w:val="10"/>
                <w:szCs w:val="10"/>
                <w:color w:val="auto"/>
              </w:rPr>
              <w:t>$</w:t>
            </w:r>
          </w:p>
        </w:tc>
        <w:tc>
          <w:tcPr>
            <w:tcW w:w="84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873.5</w:t>
            </w:r>
          </w:p>
        </w:tc>
      </w:tr>
      <w:tr>
        <w:trPr>
          <w:trHeight w:val="20"/>
        </w:trPr>
        <w:tc>
          <w:tcPr>
            <w:tcW w:w="7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Calibri" w:cs="Calibri" w:eastAsia="Calibri" w:hAnsi="Calibri"/>
          <w:sz w:val="11"/>
          <w:szCs w:val="11"/>
          <w:i w:val="1"/>
          <w:iCs w:val="1"/>
          <w:color w:val="auto"/>
        </w:rPr>
        <w:t>See accompanying notes to consolidated fnancial statements.</w:t>
      </w:r>
    </w:p>
    <w:p>
      <w:pPr>
        <w:spacing w:after="0" w:line="39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43" w:name="page44"/>
    <w:bookmarkEnd w:id="43"/>
    <w:p>
      <w:pPr>
        <w:jc w:val="center"/>
        <w:ind w:right="-19"/>
        <w:spacing w:after="0"/>
        <w:rPr>
          <w:sz w:val="20"/>
          <w:szCs w:val="20"/>
          <w:color w:val="auto"/>
        </w:rPr>
      </w:pPr>
      <w:r>
        <w:rPr>
          <w:rFonts w:ascii="Calibri" w:cs="Calibri" w:eastAsia="Calibri" w:hAnsi="Calibri"/>
          <w:sz w:val="16"/>
          <w:szCs w:val="16"/>
          <w:b w:val="1"/>
          <w:bCs w:val="1"/>
          <w:color w:val="auto"/>
        </w:rPr>
        <w:t>MISSION PRODUCE, INC.</w:t>
      </w:r>
    </w:p>
    <w:p>
      <w:pPr>
        <w:spacing w:after="0" w:line="27"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auto"/>
        </w:rPr>
        <w:t>CONSOLIDATED STATEMENTS OF (LOSS) INCOME</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 except for per share amounts)</w:t>
            </w: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jc w:val="right"/>
              <w:ind w:right="163"/>
              <w:spacing w:after="0" w:line="126" w:lineRule="exact"/>
              <w:rPr>
                <w:sz w:val="20"/>
                <w:szCs w:val="20"/>
                <w:color w:val="auto"/>
              </w:rPr>
            </w:pPr>
            <w:r>
              <w:rPr>
                <w:rFonts w:ascii="Calibri" w:cs="Calibri" w:eastAsia="Calibri" w:hAnsi="Calibri"/>
                <w:sz w:val="11"/>
                <w:szCs w:val="11"/>
                <w:b w:val="1"/>
                <w:bCs w:val="1"/>
                <w:color w:val="auto"/>
              </w:rPr>
              <w:t>2022</w:t>
            </w:r>
          </w:p>
        </w:tc>
        <w:tc>
          <w:tcPr>
            <w:tcW w:w="200" w:type="dxa"/>
            <w:vAlign w:val="bottom"/>
          </w:tcPr>
          <w:p>
            <w:pPr>
              <w:spacing w:after="0"/>
              <w:rPr>
                <w:sz w:val="10"/>
                <w:szCs w:val="10"/>
                <w:color w:val="auto"/>
              </w:rPr>
            </w:pPr>
          </w:p>
        </w:tc>
        <w:tc>
          <w:tcPr>
            <w:tcW w:w="136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Net sales</w:t>
            </w:r>
          </w:p>
        </w:tc>
        <w:tc>
          <w:tcPr>
            <w:tcW w:w="520" w:type="dxa"/>
            <w:vAlign w:val="bottom"/>
            <w:tcBorders>
              <w:bottom w:val="single" w:sz="8" w:color="DBDBDB"/>
            </w:tcBorders>
            <w:shd w:val="clear" w:color="auto" w:fill="DBDBDB"/>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1,045.9</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891.7</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862.3</w:t>
            </w:r>
          </w:p>
        </w:tc>
        <w:tc>
          <w:tcPr>
            <w:tcW w:w="0" w:type="dxa"/>
            <w:vAlign w:val="bottom"/>
          </w:tcPr>
          <w:p>
            <w:pPr>
              <w:spacing w:after="0"/>
              <w:rPr>
                <w:sz w:val="1"/>
                <w:szCs w:val="1"/>
                <w:color w:val="auto"/>
              </w:rPr>
            </w:pPr>
          </w:p>
        </w:tc>
      </w:tr>
      <w:tr>
        <w:trPr>
          <w:trHeight w:val="135"/>
        </w:trPr>
        <w:tc>
          <w:tcPr>
            <w:tcW w:w="6760" w:type="dxa"/>
            <w:vAlign w:val="bottom"/>
          </w:tcPr>
          <w:p>
            <w:pPr>
              <w:ind w:left="20"/>
              <w:spacing w:after="0"/>
              <w:rPr>
                <w:sz w:val="20"/>
                <w:szCs w:val="20"/>
                <w:color w:val="auto"/>
              </w:rPr>
            </w:pPr>
            <w:r>
              <w:rPr>
                <w:rFonts w:ascii="Calibri" w:cs="Calibri" w:eastAsia="Calibri" w:hAnsi="Calibri"/>
                <w:sz w:val="11"/>
                <w:szCs w:val="11"/>
                <w:color w:val="auto"/>
              </w:rPr>
              <w:t>Cost of sales</w:t>
            </w:r>
          </w:p>
        </w:tc>
        <w:tc>
          <w:tcPr>
            <w:tcW w:w="52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956.1</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767.2</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737.7</w:t>
            </w:r>
          </w:p>
        </w:tc>
        <w:tc>
          <w:tcPr>
            <w:tcW w:w="0" w:type="dxa"/>
            <w:vAlign w:val="bottom"/>
          </w:tcPr>
          <w:p>
            <w:pPr>
              <w:spacing w:after="0"/>
              <w:rPr>
                <w:sz w:val="1"/>
                <w:szCs w:val="1"/>
                <w:color w:val="auto"/>
              </w:rPr>
            </w:pPr>
          </w:p>
        </w:tc>
      </w:tr>
      <w:tr>
        <w:trPr>
          <w:trHeight w:val="46"/>
        </w:trPr>
        <w:tc>
          <w:tcPr>
            <w:tcW w:w="67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Gross proft</w:t>
            </w:r>
          </w:p>
        </w:tc>
        <w:tc>
          <w:tcPr>
            <w:tcW w:w="5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89.8</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124.5</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124.6</w:t>
            </w:r>
          </w:p>
        </w:tc>
        <w:tc>
          <w:tcPr>
            <w:tcW w:w="0" w:type="dxa"/>
            <w:vAlign w:val="bottom"/>
          </w:tcPr>
          <w:p>
            <w:pPr>
              <w:spacing w:after="0"/>
              <w:rPr>
                <w:sz w:val="1"/>
                <w:szCs w:val="1"/>
                <w:color w:val="auto"/>
              </w:rPr>
            </w:pPr>
          </w:p>
        </w:tc>
      </w:tr>
      <w:tr>
        <w:trPr>
          <w:trHeight w:val="135"/>
        </w:trPr>
        <w:tc>
          <w:tcPr>
            <w:tcW w:w="6760" w:type="dxa"/>
            <w:vAlign w:val="bottom"/>
          </w:tcPr>
          <w:p>
            <w:pPr>
              <w:ind w:left="20"/>
              <w:spacing w:after="0"/>
              <w:rPr>
                <w:sz w:val="20"/>
                <w:szCs w:val="20"/>
                <w:color w:val="auto"/>
              </w:rPr>
            </w:pPr>
            <w:r>
              <w:rPr>
                <w:rFonts w:ascii="Calibri" w:cs="Calibri" w:eastAsia="Calibri" w:hAnsi="Calibri"/>
                <w:sz w:val="11"/>
                <w:szCs w:val="11"/>
                <w:color w:val="auto"/>
              </w:rPr>
              <w:t>Selling, general and administratve expenses</w:t>
            </w:r>
          </w:p>
        </w:tc>
        <w:tc>
          <w:tcPr>
            <w:tcW w:w="52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77.5</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63.6</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56.2</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Goodwill impairment</w:t>
            </w:r>
          </w:p>
        </w:tc>
        <w:tc>
          <w:tcPr>
            <w:tcW w:w="5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49.5</w:t>
            </w:r>
          </w:p>
        </w:tc>
        <w:tc>
          <w:tcPr>
            <w:tcW w:w="2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25"/>
        </w:trPr>
        <w:tc>
          <w:tcPr>
            <w:tcW w:w="67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Operatng (loss) income</w:t>
            </w:r>
          </w:p>
        </w:tc>
        <w:tc>
          <w:tcPr>
            <w:tcW w:w="5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(37.2)</w:t>
            </w: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60.9</w:t>
            </w:r>
          </w:p>
        </w:tc>
        <w:tc>
          <w:tcPr>
            <w:tcW w:w="6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68.4</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Interest expense</w:t>
            </w:r>
          </w:p>
        </w:tc>
        <w:tc>
          <w:tcPr>
            <w:tcW w:w="5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(5.5)</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(3.7)</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(6.7)</w:t>
            </w:r>
          </w:p>
        </w:tc>
        <w:tc>
          <w:tcPr>
            <w:tcW w:w="0" w:type="dxa"/>
            <w:vAlign w:val="bottom"/>
          </w:tcPr>
          <w:p>
            <w:pPr>
              <w:spacing w:after="0"/>
              <w:rPr>
                <w:sz w:val="1"/>
                <w:szCs w:val="1"/>
                <w:color w:val="auto"/>
              </w:rPr>
            </w:pPr>
          </w:p>
        </w:tc>
      </w:tr>
      <w:tr>
        <w:trPr>
          <w:trHeight w:val="135"/>
        </w:trPr>
        <w:tc>
          <w:tcPr>
            <w:tcW w:w="6760" w:type="dxa"/>
            <w:vAlign w:val="bottom"/>
          </w:tcPr>
          <w:p>
            <w:pPr>
              <w:ind w:left="20"/>
              <w:spacing w:after="0"/>
              <w:rPr>
                <w:sz w:val="20"/>
                <w:szCs w:val="20"/>
                <w:color w:val="auto"/>
              </w:rPr>
            </w:pPr>
            <w:r>
              <w:rPr>
                <w:rFonts w:ascii="Calibri" w:cs="Calibri" w:eastAsia="Calibri" w:hAnsi="Calibri"/>
                <w:sz w:val="11"/>
                <w:szCs w:val="11"/>
                <w:color w:val="auto"/>
              </w:rPr>
              <w:t>Equity method income</w:t>
            </w:r>
          </w:p>
        </w:tc>
        <w:tc>
          <w:tcPr>
            <w:tcW w:w="52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5.1</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7.5</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4.0</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Remeasurement gain on acquisiton of equity method investee</w:t>
            </w:r>
          </w:p>
        </w:tc>
        <w:tc>
          <w:tcPr>
            <w:tcW w:w="5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2.0</w:t>
            </w:r>
          </w:p>
        </w:tc>
        <w:tc>
          <w:tcPr>
            <w:tcW w:w="20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6760" w:type="dxa"/>
            <w:vAlign w:val="bottom"/>
          </w:tcPr>
          <w:p>
            <w:pPr>
              <w:ind w:left="20"/>
              <w:spacing w:after="0"/>
              <w:rPr>
                <w:sz w:val="20"/>
                <w:szCs w:val="20"/>
                <w:color w:val="auto"/>
              </w:rPr>
            </w:pPr>
            <w:r>
              <w:rPr>
                <w:rFonts w:ascii="Calibri" w:cs="Calibri" w:eastAsia="Calibri" w:hAnsi="Calibri"/>
                <w:sz w:val="11"/>
                <w:szCs w:val="11"/>
                <w:color w:val="auto"/>
              </w:rPr>
              <w:t>Impairment on equity method investment</w:t>
            </w:r>
          </w:p>
        </w:tc>
        <w:tc>
          <w:tcPr>
            <w:tcW w:w="52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20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(21.2)</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Other income (expense), net</w:t>
            </w:r>
          </w:p>
        </w:tc>
        <w:tc>
          <w:tcPr>
            <w:tcW w:w="5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4.4</w:t>
            </w:r>
          </w:p>
        </w:tc>
        <w:tc>
          <w:tcPr>
            <w:tcW w:w="2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1.3</w:t>
            </w:r>
          </w:p>
        </w:tc>
        <w:tc>
          <w:tcPr>
            <w:tcW w:w="66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(0.7)</w:t>
            </w:r>
          </w:p>
        </w:tc>
        <w:tc>
          <w:tcPr>
            <w:tcW w:w="0" w:type="dxa"/>
            <w:vAlign w:val="bottom"/>
          </w:tcPr>
          <w:p>
            <w:pPr>
              <w:spacing w:after="0"/>
              <w:rPr>
                <w:sz w:val="1"/>
                <w:szCs w:val="1"/>
                <w:color w:val="auto"/>
              </w:rPr>
            </w:pPr>
          </w:p>
        </w:tc>
      </w:tr>
      <w:tr>
        <w:trPr>
          <w:trHeight w:val="125"/>
        </w:trPr>
        <w:tc>
          <w:tcPr>
            <w:tcW w:w="67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(Loss) income before income taxes</w:t>
            </w:r>
          </w:p>
        </w:tc>
        <w:tc>
          <w:tcPr>
            <w:tcW w:w="5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(31.2)</w:t>
            </w: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66.0</w:t>
            </w:r>
          </w:p>
        </w:tc>
        <w:tc>
          <w:tcPr>
            <w:tcW w:w="6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43.8</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Provision for income taxes</w:t>
            </w:r>
          </w:p>
        </w:tc>
        <w:tc>
          <w:tcPr>
            <w:tcW w:w="5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3.7</w:t>
            </w:r>
          </w:p>
        </w:tc>
        <w:tc>
          <w:tcPr>
            <w:tcW w:w="2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21.1</w:t>
            </w:r>
          </w:p>
        </w:tc>
        <w:tc>
          <w:tcPr>
            <w:tcW w:w="66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15.0</w:t>
            </w:r>
          </w:p>
        </w:tc>
        <w:tc>
          <w:tcPr>
            <w:tcW w:w="0" w:type="dxa"/>
            <w:vAlign w:val="bottom"/>
          </w:tcPr>
          <w:p>
            <w:pPr>
              <w:spacing w:after="0"/>
              <w:rPr>
                <w:sz w:val="1"/>
                <w:szCs w:val="1"/>
                <w:color w:val="auto"/>
              </w:rPr>
            </w:pPr>
          </w:p>
        </w:tc>
      </w:tr>
      <w:tr>
        <w:trPr>
          <w:trHeight w:val="125"/>
        </w:trPr>
        <w:tc>
          <w:tcPr>
            <w:tcW w:w="67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Net (loss) income</w:t>
            </w:r>
          </w:p>
        </w:tc>
        <w:tc>
          <w:tcPr>
            <w:tcW w:w="520" w:type="dxa"/>
            <w:vAlign w:val="bottom"/>
            <w:tcBorders>
              <w:top w:val="single" w:sz="8" w:color="auto"/>
            </w:tcBorders>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(34.9)</w:t>
            </w:r>
          </w:p>
        </w:tc>
        <w:tc>
          <w:tcPr>
            <w:tcW w:w="2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44.9</w:t>
            </w:r>
          </w:p>
        </w:tc>
        <w:tc>
          <w:tcPr>
            <w:tcW w:w="66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28.8</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Net loss atributable to noncontrolling interest</w:t>
            </w:r>
          </w:p>
        </w:tc>
        <w:tc>
          <w:tcPr>
            <w:tcW w:w="5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0.3</w:t>
            </w:r>
          </w:p>
        </w:tc>
        <w:tc>
          <w:tcPr>
            <w:tcW w:w="2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25"/>
        </w:trPr>
        <w:tc>
          <w:tcPr>
            <w:tcW w:w="67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Net (loss) income atributable to Mission Produce</w:t>
            </w:r>
          </w:p>
        </w:tc>
        <w:tc>
          <w:tcPr>
            <w:tcW w:w="520" w:type="dxa"/>
            <w:vAlign w:val="bottom"/>
            <w:tcBorders>
              <w:top w:val="single" w:sz="8" w:color="auto"/>
            </w:tcBorders>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(34.6)</w:t>
            </w:r>
          </w:p>
        </w:tc>
        <w:tc>
          <w:tcPr>
            <w:tcW w:w="2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44.9</w:t>
            </w:r>
          </w:p>
        </w:tc>
        <w:tc>
          <w:tcPr>
            <w:tcW w:w="66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28.8</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760" w:type="dxa"/>
            <w:vAlign w:val="bottom"/>
          </w:tcPr>
          <w:p>
            <w:pPr>
              <w:ind w:left="20"/>
              <w:spacing w:after="0"/>
              <w:rPr>
                <w:sz w:val="20"/>
                <w:szCs w:val="20"/>
                <w:color w:val="auto"/>
              </w:rPr>
            </w:pPr>
            <w:r>
              <w:rPr>
                <w:rFonts w:ascii="Calibri" w:cs="Calibri" w:eastAsia="Calibri" w:hAnsi="Calibri"/>
                <w:sz w:val="11"/>
                <w:szCs w:val="11"/>
                <w:color w:val="auto"/>
              </w:rPr>
              <w:t>Net (loss) income per share atributable to Mission Produce:</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6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Basic</w:t>
            </w:r>
          </w:p>
        </w:tc>
        <w:tc>
          <w:tcPr>
            <w:tcW w:w="520" w:type="dxa"/>
            <w:vAlign w:val="bottom"/>
            <w:tcBorders>
              <w:bottom w:val="single" w:sz="8" w:color="DBDBDB"/>
            </w:tcBorders>
            <w:shd w:val="clear" w:color="auto" w:fill="DBDBDB"/>
          </w:tcPr>
          <w:p>
            <w:pPr>
              <w:jc w:val="right"/>
              <w:ind w:right="383"/>
              <w:spacing w:after="0"/>
              <w:rPr>
                <w:sz w:val="20"/>
                <w:szCs w:val="20"/>
                <w:color w:val="auto"/>
              </w:rPr>
            </w:pPr>
            <w:r>
              <w:rPr>
                <w:rFonts w:ascii="Calibri" w:cs="Calibri" w:eastAsia="Calibri" w:hAnsi="Calibri"/>
                <w:sz w:val="11"/>
                <w:szCs w:val="11"/>
                <w:color w:val="auto"/>
              </w:rPr>
              <w:t>$</w:t>
            </w:r>
          </w:p>
        </w:tc>
        <w:tc>
          <w:tcPr>
            <w:tcW w:w="94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(0.49)</w:t>
            </w:r>
          </w:p>
        </w:tc>
        <w:tc>
          <w:tcPr>
            <w:tcW w:w="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0.64</w:t>
            </w:r>
          </w:p>
        </w:tc>
        <w:tc>
          <w:tcPr>
            <w:tcW w:w="660" w:type="dxa"/>
            <w:vAlign w:val="bottom"/>
            <w:tcBorders>
              <w:bottom w:val="single" w:sz="8" w:color="DBDBDB"/>
            </w:tcBorders>
            <w:shd w:val="clear" w:color="auto" w:fill="DBDBDB"/>
          </w:tcPr>
          <w:p>
            <w:pPr>
              <w:jc w:val="right"/>
              <w:ind w:right="403"/>
              <w:spacing w:after="0"/>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0.45</w:t>
            </w:r>
          </w:p>
        </w:tc>
        <w:tc>
          <w:tcPr>
            <w:tcW w:w="0" w:type="dxa"/>
            <w:vAlign w:val="bottom"/>
          </w:tcPr>
          <w:p>
            <w:pPr>
              <w:spacing w:after="0"/>
              <w:rPr>
                <w:sz w:val="1"/>
                <w:szCs w:val="1"/>
                <w:color w:val="auto"/>
              </w:rPr>
            </w:pPr>
          </w:p>
        </w:tc>
      </w:tr>
      <w:tr>
        <w:trPr>
          <w:trHeight w:val="135"/>
        </w:trPr>
        <w:tc>
          <w:tcPr>
            <w:tcW w:w="6760" w:type="dxa"/>
            <w:vAlign w:val="bottom"/>
          </w:tcPr>
          <w:p>
            <w:pPr>
              <w:ind w:left="280"/>
              <w:spacing w:after="0"/>
              <w:rPr>
                <w:sz w:val="20"/>
                <w:szCs w:val="20"/>
                <w:color w:val="auto"/>
              </w:rPr>
            </w:pPr>
            <w:r>
              <w:rPr>
                <w:rFonts w:ascii="Calibri" w:cs="Calibri" w:eastAsia="Calibri" w:hAnsi="Calibri"/>
                <w:sz w:val="11"/>
                <w:szCs w:val="11"/>
                <w:color w:val="auto"/>
              </w:rPr>
              <w:t>Diluted</w:t>
            </w:r>
          </w:p>
        </w:tc>
        <w:tc>
          <w:tcPr>
            <w:tcW w:w="520" w:type="dxa"/>
            <w:vAlign w:val="bottom"/>
          </w:tcPr>
          <w:p>
            <w:pPr>
              <w:jc w:val="right"/>
              <w:ind w:right="383"/>
              <w:spacing w:after="0"/>
              <w:rPr>
                <w:sz w:val="20"/>
                <w:szCs w:val="20"/>
                <w:color w:val="auto"/>
              </w:rPr>
            </w:pPr>
            <w:r>
              <w:rPr>
                <w:rFonts w:ascii="Calibri" w:cs="Calibri" w:eastAsia="Calibri" w:hAnsi="Calibri"/>
                <w:sz w:val="11"/>
                <w:szCs w:val="11"/>
                <w:color w:val="auto"/>
              </w:rPr>
              <w:t>$</w:t>
            </w:r>
          </w:p>
        </w:tc>
        <w:tc>
          <w:tcPr>
            <w:tcW w:w="940" w:type="dxa"/>
            <w:vAlign w:val="bottom"/>
          </w:tcPr>
          <w:p>
            <w:pPr>
              <w:jc w:val="right"/>
              <w:ind w:right="83"/>
              <w:spacing w:after="0"/>
              <w:rPr>
                <w:sz w:val="20"/>
                <w:szCs w:val="20"/>
                <w:color w:val="auto"/>
              </w:rPr>
            </w:pPr>
            <w:r>
              <w:rPr>
                <w:rFonts w:ascii="Calibri" w:cs="Calibri" w:eastAsia="Calibri" w:hAnsi="Calibri"/>
                <w:sz w:val="11"/>
                <w:szCs w:val="11"/>
                <w:color w:val="auto"/>
              </w:rPr>
              <w:t>(0.49)</w:t>
            </w:r>
          </w:p>
        </w:tc>
        <w:tc>
          <w:tcPr>
            <w:tcW w:w="2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0.63</w:t>
            </w:r>
          </w:p>
        </w:tc>
        <w:tc>
          <w:tcPr>
            <w:tcW w:w="660" w:type="dxa"/>
            <w:vAlign w:val="bottom"/>
          </w:tcPr>
          <w:p>
            <w:pPr>
              <w:jc w:val="right"/>
              <w:ind w:right="403"/>
              <w:spacing w:after="0"/>
              <w:rPr>
                <w:sz w:val="20"/>
                <w:szCs w:val="20"/>
                <w:color w:val="auto"/>
              </w:rPr>
            </w:pPr>
            <w:r>
              <w:rPr>
                <w:rFonts w:ascii="Calibri" w:cs="Calibri" w:eastAsia="Calibri" w:hAnsi="Calibri"/>
                <w:sz w:val="11"/>
                <w:szCs w:val="11"/>
                <w:color w:val="auto"/>
              </w:rPr>
              <w:t>$</w:t>
            </w:r>
          </w:p>
        </w:tc>
        <w:tc>
          <w:tcPr>
            <w:tcW w:w="800" w:type="dxa"/>
            <w:vAlign w:val="bottom"/>
          </w:tcPr>
          <w:p>
            <w:pPr>
              <w:jc w:val="right"/>
              <w:spacing w:after="0"/>
              <w:rPr>
                <w:sz w:val="20"/>
                <w:szCs w:val="20"/>
                <w:color w:val="auto"/>
              </w:rPr>
            </w:pPr>
            <w:r>
              <w:rPr>
                <w:rFonts w:ascii="Calibri" w:cs="Calibri" w:eastAsia="Calibri" w:hAnsi="Calibri"/>
                <w:sz w:val="11"/>
                <w:szCs w:val="11"/>
                <w:color w:val="auto"/>
              </w:rPr>
              <w:t>0.45</w:t>
            </w:r>
          </w:p>
        </w:tc>
        <w:tc>
          <w:tcPr>
            <w:tcW w:w="0" w:type="dxa"/>
            <w:vAlign w:val="bottom"/>
          </w:tcPr>
          <w:p>
            <w:pPr>
              <w:spacing w:after="0"/>
              <w:rPr>
                <w:sz w:val="1"/>
                <w:szCs w:val="1"/>
                <w:color w:val="auto"/>
              </w:rPr>
            </w:pPr>
          </w:p>
        </w:tc>
      </w:tr>
      <w:tr>
        <w:trPr>
          <w:trHeight w:val="46"/>
        </w:trPr>
        <w:tc>
          <w:tcPr>
            <w:tcW w:w="67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Calibri" w:cs="Calibri" w:eastAsia="Calibri" w:hAnsi="Calibri"/>
          <w:sz w:val="11"/>
          <w:szCs w:val="11"/>
          <w:i w:val="1"/>
          <w:iCs w:val="1"/>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Calibri" w:cs="Calibri" w:eastAsia="Calibri" w:hAnsi="Calibri"/>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90" w:right="339" w:bottom="1440" w:gutter="0" w:footer="0" w:header="0"/>
        </w:sectPr>
      </w:pPr>
    </w:p>
    <w:bookmarkStart w:id="44" w:name="page45"/>
    <w:bookmarkEnd w:id="44"/>
    <w:p>
      <w:pPr>
        <w:jc w:val="center"/>
        <w:ind w:right="-19"/>
        <w:spacing w:after="0"/>
        <w:rPr>
          <w:sz w:val="20"/>
          <w:szCs w:val="20"/>
          <w:color w:val="auto"/>
        </w:rPr>
      </w:pPr>
      <w:r>
        <w:rPr>
          <w:rFonts w:ascii="Calibri" w:cs="Calibri" w:eastAsia="Calibri" w:hAnsi="Calibri"/>
          <w:sz w:val="16"/>
          <w:szCs w:val="16"/>
          <w:b w:val="1"/>
          <w:bCs w:val="1"/>
          <w:color w:val="auto"/>
        </w:rPr>
        <w:t>MISSION PRODUCE, INC.</w:t>
      </w:r>
    </w:p>
    <w:p>
      <w:pPr>
        <w:spacing w:after="0" w:line="27"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auto"/>
        </w:rPr>
        <w:t>CONSOLIDATED STATEMENTS OF COMPREHENSIVE (LOSS) INCOME</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jc w:val="right"/>
              <w:ind w:right="163"/>
              <w:spacing w:after="0" w:line="126" w:lineRule="exact"/>
              <w:rPr>
                <w:sz w:val="20"/>
                <w:szCs w:val="20"/>
                <w:color w:val="auto"/>
              </w:rPr>
            </w:pPr>
            <w:r>
              <w:rPr>
                <w:rFonts w:ascii="Calibri" w:cs="Calibri" w:eastAsia="Calibri" w:hAnsi="Calibri"/>
                <w:sz w:val="11"/>
                <w:szCs w:val="11"/>
                <w:b w:val="1"/>
                <w:bCs w:val="1"/>
                <w:color w:val="auto"/>
              </w:rPr>
              <w:t>2022</w:t>
            </w:r>
          </w:p>
        </w:tc>
        <w:tc>
          <w:tcPr>
            <w:tcW w:w="200" w:type="dxa"/>
            <w:vAlign w:val="bottom"/>
          </w:tcPr>
          <w:p>
            <w:pPr>
              <w:spacing w:after="0"/>
              <w:rPr>
                <w:sz w:val="10"/>
                <w:szCs w:val="10"/>
                <w:color w:val="auto"/>
              </w:rPr>
            </w:pPr>
          </w:p>
        </w:tc>
        <w:tc>
          <w:tcPr>
            <w:tcW w:w="136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2021</w:t>
            </w:r>
          </w:p>
        </w:tc>
        <w:tc>
          <w:tcPr>
            <w:tcW w:w="66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Net (loss) income</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83"/>
              <w:spacing w:after="0" w:line="126" w:lineRule="exact"/>
              <w:rPr>
                <w:sz w:val="20"/>
                <w:szCs w:val="20"/>
                <w:color w:val="auto"/>
              </w:rPr>
            </w:pPr>
            <w:r>
              <w:rPr>
                <w:rFonts w:ascii="Calibri" w:cs="Calibri" w:eastAsia="Calibri" w:hAnsi="Calibri"/>
                <w:sz w:val="11"/>
                <w:szCs w:val="11"/>
                <w:color w:val="auto"/>
              </w:rPr>
              <w:t>(34.9)</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44.9</w:t>
            </w:r>
          </w:p>
        </w:tc>
        <w:tc>
          <w:tcPr>
            <w:tcW w:w="66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28.8</w:t>
            </w:r>
          </w:p>
        </w:tc>
        <w:tc>
          <w:tcPr>
            <w:tcW w:w="0" w:type="dxa"/>
            <w:vAlign w:val="bottom"/>
          </w:tcPr>
          <w:p>
            <w:pPr>
              <w:spacing w:after="0"/>
              <w:rPr>
                <w:sz w:val="1"/>
                <w:szCs w:val="1"/>
                <w:color w:val="auto"/>
              </w:rPr>
            </w:pPr>
          </w:p>
        </w:tc>
      </w:tr>
      <w:tr>
        <w:trPr>
          <w:trHeight w:val="135"/>
        </w:trPr>
        <w:tc>
          <w:tcPr>
            <w:tcW w:w="6760" w:type="dxa"/>
            <w:vAlign w:val="bottom"/>
          </w:tcPr>
          <w:p>
            <w:pPr>
              <w:ind w:left="20"/>
              <w:spacing w:after="0"/>
              <w:rPr>
                <w:sz w:val="20"/>
                <w:szCs w:val="20"/>
                <w:color w:val="auto"/>
              </w:rPr>
            </w:pPr>
            <w:r>
              <w:rPr>
                <w:rFonts w:ascii="Calibri" w:cs="Calibri" w:eastAsia="Calibri" w:hAnsi="Calibri"/>
                <w:sz w:val="11"/>
                <w:szCs w:val="11"/>
                <w:color w:val="auto"/>
              </w:rPr>
              <w:t>Other comprehensive (loss) income, net of tax</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Foreign currency translaton adjustments</w:t>
            </w:r>
          </w:p>
        </w:tc>
        <w:tc>
          <w:tcPr>
            <w:tcW w:w="54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(1.2)</w:t>
            </w:r>
          </w:p>
        </w:tc>
        <w:tc>
          <w:tcPr>
            <w:tcW w:w="2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(0.5)</w:t>
            </w:r>
          </w:p>
        </w:tc>
        <w:tc>
          <w:tcPr>
            <w:tcW w:w="0" w:type="dxa"/>
            <w:vAlign w:val="bottom"/>
          </w:tcPr>
          <w:p>
            <w:pPr>
              <w:spacing w:after="0"/>
              <w:rPr>
                <w:sz w:val="1"/>
                <w:szCs w:val="1"/>
                <w:color w:val="auto"/>
              </w:rPr>
            </w:pPr>
          </w:p>
        </w:tc>
      </w:tr>
      <w:tr>
        <w:trPr>
          <w:trHeight w:val="125"/>
        </w:trPr>
        <w:tc>
          <w:tcPr>
            <w:tcW w:w="67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Comprehensive (loss) income</w:t>
            </w:r>
          </w:p>
        </w:tc>
        <w:tc>
          <w:tcPr>
            <w:tcW w:w="5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(36.1)</w:t>
            </w: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44.9</w:t>
            </w:r>
          </w:p>
        </w:tc>
        <w:tc>
          <w:tcPr>
            <w:tcW w:w="6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28.3</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Comprehensive loss atributable to noncontrolling interest</w:t>
            </w:r>
          </w:p>
        </w:tc>
        <w:tc>
          <w:tcPr>
            <w:tcW w:w="540" w:type="dxa"/>
            <w:vAlign w:val="bottom"/>
            <w:tcBorders>
              <w:bottom w:val="single" w:sz="8" w:color="DBDBDB"/>
            </w:tcBorders>
            <w:shd w:val="clear" w:color="auto" w:fill="DBDBDB"/>
          </w:tcPr>
          <w:p>
            <w:pPr>
              <w:spacing w:after="0"/>
              <w:rPr>
                <w:sz w:val="15"/>
                <w:szCs w:val="15"/>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0.3</w:t>
            </w:r>
          </w:p>
        </w:tc>
        <w:tc>
          <w:tcPr>
            <w:tcW w:w="2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25"/>
        </w:trPr>
        <w:tc>
          <w:tcPr>
            <w:tcW w:w="67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Comprehensive (loss) income atributable to Mission Produce</w:t>
            </w:r>
          </w:p>
        </w:tc>
        <w:tc>
          <w:tcPr>
            <w:tcW w:w="54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top w:val="single" w:sz="8" w:color="auto"/>
            </w:tcBorders>
          </w:tcPr>
          <w:p>
            <w:pPr>
              <w:jc w:val="right"/>
              <w:ind w:right="83"/>
              <w:spacing w:after="0" w:line="126" w:lineRule="exact"/>
              <w:rPr>
                <w:sz w:val="20"/>
                <w:szCs w:val="20"/>
                <w:color w:val="auto"/>
              </w:rPr>
            </w:pPr>
            <w:r>
              <w:rPr>
                <w:rFonts w:ascii="Calibri" w:cs="Calibri" w:eastAsia="Calibri" w:hAnsi="Calibri"/>
                <w:sz w:val="11"/>
                <w:szCs w:val="11"/>
                <w:color w:val="auto"/>
              </w:rPr>
              <w:t>(35.8)</w:t>
            </w:r>
          </w:p>
        </w:tc>
        <w:tc>
          <w:tcPr>
            <w:tcW w:w="2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44.9</w:t>
            </w:r>
          </w:p>
        </w:tc>
        <w:tc>
          <w:tcPr>
            <w:tcW w:w="66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28.3</w:t>
            </w:r>
          </w:p>
        </w:tc>
        <w:tc>
          <w:tcPr>
            <w:tcW w:w="0" w:type="dxa"/>
            <w:vAlign w:val="bottom"/>
          </w:tcPr>
          <w:p>
            <w:pPr>
              <w:spacing w:after="0"/>
              <w:rPr>
                <w:sz w:val="1"/>
                <w:szCs w:val="1"/>
                <w:color w:val="auto"/>
              </w:rPr>
            </w:pPr>
          </w:p>
        </w:tc>
      </w:tr>
      <w:tr>
        <w:trPr>
          <w:trHeight w:val="46"/>
        </w:trPr>
        <w:tc>
          <w:tcPr>
            <w:tcW w:w="6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Calibri" w:cs="Calibri" w:eastAsia="Calibri" w:hAnsi="Calibri"/>
          <w:sz w:val="11"/>
          <w:szCs w:val="11"/>
          <w:i w:val="1"/>
          <w:iCs w:val="1"/>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Calibri" w:cs="Calibri" w:eastAsia="Calibri" w:hAnsi="Calibri"/>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90" w:right="339" w:bottom="1440" w:gutter="0" w:footer="0" w:header="0"/>
        </w:sectPr>
      </w:pPr>
    </w:p>
    <w:bookmarkStart w:id="45" w:name="page46"/>
    <w:bookmarkEnd w:id="45"/>
    <w:p>
      <w:pPr>
        <w:jc w:val="center"/>
        <w:spacing w:after="0"/>
        <w:rPr>
          <w:sz w:val="20"/>
          <w:szCs w:val="20"/>
          <w:color w:val="auto"/>
        </w:rPr>
      </w:pPr>
      <w:r>
        <w:rPr>
          <w:rFonts w:ascii="Calibri" w:cs="Calibri" w:eastAsia="Calibri" w:hAnsi="Calibri"/>
          <w:sz w:val="16"/>
          <w:szCs w:val="16"/>
          <w:b w:val="1"/>
          <w:bCs w:val="1"/>
          <w:color w:val="auto"/>
        </w:rPr>
        <w:t>MISSION PRODUCE, INC.</w:t>
      </w:r>
    </w:p>
    <w:p>
      <w:pPr>
        <w:spacing w:after="0" w:line="38"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STATEMENTS OF CHANGES IN EQUITY</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640" w:type="dxa"/>
            <w:vAlign w:val="bottom"/>
          </w:tcPr>
          <w:p>
            <w:pPr>
              <w:spacing w:after="0"/>
              <w:rPr>
                <w:sz w:val="10"/>
                <w:szCs w:val="10"/>
                <w:color w:val="auto"/>
              </w:rPr>
            </w:pPr>
          </w:p>
        </w:tc>
        <w:tc>
          <w:tcPr>
            <w:tcW w:w="1340" w:type="dxa"/>
            <w:vAlign w:val="bottom"/>
            <w:gridSpan w:val="2"/>
          </w:tcPr>
          <w:p>
            <w:pPr>
              <w:jc w:val="right"/>
              <w:ind w:right="71"/>
              <w:spacing w:after="0"/>
              <w:rPr>
                <w:sz w:val="20"/>
                <w:szCs w:val="20"/>
                <w:color w:val="auto"/>
              </w:rPr>
            </w:pPr>
            <w:r>
              <w:rPr>
                <w:rFonts w:ascii="Calibri" w:cs="Calibri" w:eastAsia="Calibri" w:hAnsi="Calibri"/>
                <w:sz w:val="10"/>
                <w:szCs w:val="10"/>
                <w:b w:val="1"/>
                <w:bCs w:val="1"/>
                <w:color w:val="auto"/>
              </w:rPr>
              <w:t>Common stock</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Calibri" w:cs="Calibri" w:eastAsia="Calibri" w:hAnsi="Calibri"/>
                <w:sz w:val="10"/>
                <w:szCs w:val="10"/>
                <w:b w:val="1"/>
                <w:bCs w:val="1"/>
                <w:color w:val="auto"/>
              </w:rPr>
              <w:t>Notes receivable from</w:t>
            </w:r>
          </w:p>
        </w:tc>
        <w:tc>
          <w:tcPr>
            <w:tcW w:w="1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0"/>
                <w:szCs w:val="10"/>
                <w:b w:val="1"/>
                <w:bCs w:val="1"/>
                <w:color w:val="auto"/>
              </w:rPr>
              <w:t>Accumulated other</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640" w:type="dxa"/>
            <w:vAlign w:val="bottom"/>
            <w:tcBorders>
              <w:bottom w:val="single" w:sz="8" w:color="auto"/>
            </w:tcBorders>
          </w:tcPr>
          <w:p>
            <w:pPr>
              <w:ind w:left="20"/>
              <w:spacing w:after="0"/>
              <w:rPr>
                <w:sz w:val="20"/>
                <w:szCs w:val="20"/>
                <w:color w:val="auto"/>
              </w:rPr>
            </w:pPr>
            <w:r>
              <w:rPr>
                <w:rFonts w:ascii="Calibri" w:cs="Calibri" w:eastAsia="Calibri" w:hAnsi="Calibri"/>
                <w:sz w:val="10"/>
                <w:szCs w:val="10"/>
                <w:b w:val="1"/>
                <w:bCs w:val="1"/>
                <w:color w:val="auto"/>
              </w:rPr>
              <w:t>(In millions, except for shares)</w:t>
            </w:r>
          </w:p>
        </w:tc>
        <w:tc>
          <w:tcPr>
            <w:tcW w:w="1000" w:type="dxa"/>
            <w:vAlign w:val="bottom"/>
            <w:tcBorders>
              <w:bottom w:val="single" w:sz="8" w:color="auto"/>
            </w:tcBorders>
          </w:tcPr>
          <w:p>
            <w:pPr>
              <w:jc w:val="right"/>
              <w:spacing w:after="0" w:line="121" w:lineRule="exact"/>
              <w:rPr>
                <w:sz w:val="20"/>
                <w:szCs w:val="20"/>
                <w:color w:val="auto"/>
              </w:rPr>
            </w:pPr>
            <w:r>
              <w:rPr>
                <w:rFonts w:ascii="Calibri" w:cs="Calibri" w:eastAsia="Calibri" w:hAnsi="Calibri"/>
                <w:sz w:val="10"/>
                <w:szCs w:val="10"/>
                <w:b w:val="1"/>
                <w:bCs w:val="1"/>
                <w:color w:val="auto"/>
              </w:rPr>
              <w:t>Shares</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21" w:lineRule="exact"/>
              <w:rPr>
                <w:sz w:val="20"/>
                <w:szCs w:val="20"/>
                <w:color w:val="auto"/>
              </w:rPr>
            </w:pPr>
            <w:r>
              <w:rPr>
                <w:rFonts w:ascii="Calibri" w:cs="Calibri" w:eastAsia="Calibri" w:hAnsi="Calibri"/>
                <w:sz w:val="10"/>
                <w:szCs w:val="10"/>
                <w:b w:val="1"/>
                <w:bCs w:val="1"/>
                <w:color w:val="auto"/>
              </w:rPr>
              <w:t>Amount</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21" w:lineRule="exact"/>
              <w:rPr>
                <w:sz w:val="20"/>
                <w:szCs w:val="20"/>
                <w:color w:val="auto"/>
              </w:rPr>
            </w:pPr>
            <w:r>
              <w:rPr>
                <w:rFonts w:ascii="Calibri" w:cs="Calibri" w:eastAsia="Calibri" w:hAnsi="Calibri"/>
                <w:sz w:val="10"/>
                <w:szCs w:val="10"/>
                <w:b w:val="1"/>
                <w:bCs w:val="1"/>
                <w:color w:val="auto"/>
                <w:w w:val="99"/>
              </w:rPr>
              <w:t>Additonal paid-in capital</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21" w:lineRule="exact"/>
              <w:rPr>
                <w:sz w:val="20"/>
                <w:szCs w:val="20"/>
                <w:color w:val="auto"/>
              </w:rPr>
            </w:pPr>
            <w:r>
              <w:rPr>
                <w:rFonts w:ascii="Calibri" w:cs="Calibri" w:eastAsia="Calibri" w:hAnsi="Calibri"/>
                <w:sz w:val="10"/>
                <w:szCs w:val="10"/>
                <w:b w:val="1"/>
                <w:bCs w:val="1"/>
                <w:color w:val="auto"/>
              </w:rPr>
              <w:t>shareholders</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21" w:lineRule="exact"/>
              <w:rPr>
                <w:sz w:val="20"/>
                <w:szCs w:val="20"/>
                <w:color w:val="auto"/>
              </w:rPr>
            </w:pPr>
            <w:r>
              <w:rPr>
                <w:rFonts w:ascii="Calibri" w:cs="Calibri" w:eastAsia="Calibri" w:hAnsi="Calibri"/>
                <w:sz w:val="10"/>
                <w:szCs w:val="10"/>
                <w:b w:val="1"/>
                <w:bCs w:val="1"/>
                <w:color w:val="auto"/>
              </w:rPr>
              <w:t>comprehensive loss</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21" w:lineRule="exact"/>
              <w:rPr>
                <w:sz w:val="20"/>
                <w:szCs w:val="20"/>
                <w:color w:val="auto"/>
              </w:rPr>
            </w:pPr>
            <w:r>
              <w:rPr>
                <w:rFonts w:ascii="Calibri" w:cs="Calibri" w:eastAsia="Calibri" w:hAnsi="Calibri"/>
                <w:sz w:val="10"/>
                <w:szCs w:val="10"/>
                <w:b w:val="1"/>
                <w:bCs w:val="1"/>
                <w:color w:val="auto"/>
              </w:rPr>
              <w:t>Retained earnings</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21" w:lineRule="exact"/>
              <w:rPr>
                <w:sz w:val="20"/>
                <w:szCs w:val="20"/>
                <w:color w:val="auto"/>
              </w:rPr>
            </w:pPr>
            <w:r>
              <w:rPr>
                <w:rFonts w:ascii="Calibri" w:cs="Calibri" w:eastAsia="Calibri" w:hAnsi="Calibri"/>
                <w:sz w:val="10"/>
                <w:szCs w:val="10"/>
                <w:b w:val="1"/>
                <w:bCs w:val="1"/>
                <w:color w:val="auto"/>
              </w:rPr>
              <w:t>Noncontrolling interest</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21" w:lineRule="exact"/>
              <w:rPr>
                <w:sz w:val="20"/>
                <w:szCs w:val="20"/>
                <w:color w:val="auto"/>
              </w:rPr>
            </w:pPr>
            <w:r>
              <w:rPr>
                <w:rFonts w:ascii="Calibri" w:cs="Calibri" w:eastAsia="Calibri" w:hAnsi="Calibri"/>
                <w:sz w:val="10"/>
                <w:szCs w:val="10"/>
                <w:b w:val="1"/>
                <w:bCs w:val="1"/>
                <w:color w:val="auto"/>
              </w:rPr>
              <w:t>Total equity</w:t>
            </w:r>
          </w:p>
        </w:tc>
        <w:tc>
          <w:tcPr>
            <w:tcW w:w="0" w:type="dxa"/>
            <w:vAlign w:val="bottom"/>
          </w:tcPr>
          <w:p>
            <w:pPr>
              <w:spacing w:after="0"/>
              <w:rPr>
                <w:sz w:val="1"/>
                <w:szCs w:val="1"/>
                <w:color w:val="auto"/>
              </w:rPr>
            </w:pPr>
          </w:p>
        </w:tc>
      </w:tr>
      <w:tr>
        <w:trPr>
          <w:trHeight w:val="139"/>
        </w:trPr>
        <w:tc>
          <w:tcPr>
            <w:tcW w:w="26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Balance at October 31, 2019</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63,386,251</w:t>
            </w:r>
          </w:p>
        </w:tc>
        <w:tc>
          <w:tcPr>
            <w:tcW w:w="340" w:type="dxa"/>
            <w:vAlign w:val="bottom"/>
            <w:tcBorders>
              <w:bottom w:val="single" w:sz="8" w:color="DBDBDB"/>
            </w:tcBorders>
            <w:shd w:val="clear" w:color="auto" w:fill="DBDBDB"/>
          </w:tcPr>
          <w:p>
            <w:pPr>
              <w:jc w:val="right"/>
              <w:ind w:right="231"/>
              <w:spacing w:after="0"/>
              <w:rPr>
                <w:sz w:val="20"/>
                <w:szCs w:val="20"/>
                <w:color w:val="auto"/>
              </w:rPr>
            </w:pPr>
            <w:r>
              <w:rPr>
                <w:rFonts w:ascii="Calibri" w:cs="Calibri" w:eastAsia="Calibri" w:hAnsi="Calibri"/>
                <w:sz w:val="10"/>
                <w:szCs w:val="10"/>
                <w:color w:val="auto"/>
                <w:w w:val="77"/>
              </w:rPr>
              <w:t>$</w:t>
            </w:r>
          </w:p>
        </w:tc>
        <w:tc>
          <w:tcPr>
            <w:tcW w:w="48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0.1</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139.7</w:t>
            </w:r>
          </w:p>
        </w:tc>
        <w:tc>
          <w:tcPr>
            <w:tcW w:w="140" w:type="dxa"/>
            <w:vAlign w:val="bottom"/>
            <w:tcBorders>
              <w:bottom w:val="single" w:sz="8" w:color="DBDBDB"/>
            </w:tcBorders>
            <w:shd w:val="clear" w:color="auto" w:fill="DBDBDB"/>
          </w:tcPr>
          <w:p>
            <w:pPr>
              <w:jc w:val="right"/>
              <w:ind w:right="31"/>
              <w:spacing w:after="0"/>
              <w:rPr>
                <w:sz w:val="20"/>
                <w:szCs w:val="20"/>
                <w:color w:val="auto"/>
              </w:rPr>
            </w:pPr>
            <w:r>
              <w:rPr>
                <w:rFonts w:ascii="Calibri" w:cs="Calibri" w:eastAsia="Calibri" w:hAnsi="Calibri"/>
                <w:sz w:val="10"/>
                <w:szCs w:val="10"/>
                <w:color w:val="auto"/>
                <w:w w:val="77"/>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(0.1)</w:t>
            </w:r>
          </w:p>
        </w:tc>
        <w:tc>
          <w:tcPr>
            <w:tcW w:w="18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w w:val="77"/>
              </w:rPr>
              <w:t>$</w:t>
            </w:r>
          </w:p>
        </w:tc>
        <w:tc>
          <w:tcPr>
            <w:tcW w:w="940" w:type="dxa"/>
            <w:vAlign w:val="bottom"/>
            <w:tcBorders>
              <w:bottom w:val="single" w:sz="8" w:color="DBDBDB"/>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239.3</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w w:val="77"/>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jc w:val="right"/>
              <w:ind w:right="231"/>
              <w:spacing w:after="0"/>
              <w:rPr>
                <w:sz w:val="20"/>
                <w:szCs w:val="20"/>
                <w:color w:val="auto"/>
              </w:rPr>
            </w:pPr>
            <w:r>
              <w:rPr>
                <w:rFonts w:ascii="Calibri" w:cs="Calibri" w:eastAsia="Calibri" w:hAnsi="Calibri"/>
                <w:sz w:val="10"/>
                <w:szCs w:val="10"/>
                <w:color w:val="auto"/>
                <w:w w:val="77"/>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379.0</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Dividends declared ($0.21 per share)</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(13.0)</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(13.0)</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640" w:type="dxa"/>
            <w:vAlign w:val="bottom"/>
            <w:shd w:val="clear" w:color="auto" w:fill="DBDBDB"/>
          </w:tcPr>
          <w:p>
            <w:pPr>
              <w:ind w:left="20"/>
              <w:spacing w:after="0"/>
              <w:rPr>
                <w:sz w:val="20"/>
                <w:szCs w:val="20"/>
                <w:color w:val="auto"/>
              </w:rPr>
            </w:pPr>
            <w:r>
              <w:rPr>
                <w:rFonts w:ascii="Calibri" w:cs="Calibri" w:eastAsia="Calibri" w:hAnsi="Calibri"/>
                <w:sz w:val="10"/>
                <w:szCs w:val="10"/>
                <w:color w:val="auto"/>
              </w:rPr>
              <w:t>Issuance of common stock in public ofering, net of issuance</w:t>
            </w:r>
          </w:p>
        </w:tc>
        <w:tc>
          <w:tcPr>
            <w:tcW w:w="100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7,450,000</w:t>
            </w:r>
          </w:p>
        </w:tc>
        <w:tc>
          <w:tcPr>
            <w:tcW w:w="340" w:type="dxa"/>
            <w:vAlign w:val="bottom"/>
            <w:shd w:val="clear" w:color="auto" w:fill="DBDBDB"/>
          </w:tcPr>
          <w:p>
            <w:pPr>
              <w:spacing w:after="0"/>
              <w:rPr>
                <w:sz w:val="11"/>
                <w:szCs w:val="11"/>
                <w:color w:val="auto"/>
              </w:rPr>
            </w:pPr>
          </w:p>
        </w:tc>
        <w:tc>
          <w:tcPr>
            <w:tcW w:w="480" w:type="dxa"/>
            <w:vAlign w:val="bottom"/>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shd w:val="clear" w:color="auto" w:fill="DBDBDB"/>
          </w:tcPr>
          <w:p>
            <w:pPr>
              <w:spacing w:after="0"/>
              <w:rPr>
                <w:sz w:val="11"/>
                <w:szCs w:val="11"/>
                <w:color w:val="auto"/>
              </w:rPr>
            </w:pPr>
          </w:p>
        </w:tc>
        <w:tc>
          <w:tcPr>
            <w:tcW w:w="106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78.1</w:t>
            </w:r>
          </w:p>
        </w:tc>
        <w:tc>
          <w:tcPr>
            <w:tcW w:w="140" w:type="dxa"/>
            <w:vAlign w:val="bottom"/>
            <w:shd w:val="clear" w:color="auto" w:fill="DBDBDB"/>
          </w:tcPr>
          <w:p>
            <w:pPr>
              <w:spacing w:after="0"/>
              <w:rPr>
                <w:sz w:val="11"/>
                <w:szCs w:val="11"/>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shd w:val="clear" w:color="auto" w:fill="DBDBDB"/>
          </w:tcPr>
          <w:p>
            <w:pPr>
              <w:spacing w:after="0"/>
              <w:rPr>
                <w:sz w:val="11"/>
                <w:szCs w:val="11"/>
                <w:color w:val="auto"/>
              </w:rPr>
            </w:pPr>
          </w:p>
        </w:tc>
        <w:tc>
          <w:tcPr>
            <w:tcW w:w="940" w:type="dxa"/>
            <w:vAlign w:val="bottom"/>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shd w:val="clear" w:color="auto" w:fill="DBDBDB"/>
          </w:tcPr>
          <w:p>
            <w:pPr>
              <w:spacing w:after="0"/>
              <w:rPr>
                <w:sz w:val="11"/>
                <w:szCs w:val="11"/>
                <w:color w:val="auto"/>
              </w:rPr>
            </w:pPr>
          </w:p>
        </w:tc>
        <w:tc>
          <w:tcPr>
            <w:tcW w:w="92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DBDBDB"/>
          </w:tcPr>
          <w:p>
            <w:pPr>
              <w:spacing w:after="0"/>
              <w:rPr>
                <w:sz w:val="11"/>
                <w:szCs w:val="11"/>
                <w:color w:val="auto"/>
              </w:rPr>
            </w:pPr>
          </w:p>
        </w:tc>
        <w:tc>
          <w:tcPr>
            <w:tcW w:w="102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shd w:val="clear" w:color="auto" w:fill="DBDBDB"/>
          </w:tcPr>
          <w:p>
            <w:pPr>
              <w:spacing w:after="0"/>
              <w:rPr>
                <w:sz w:val="11"/>
                <w:szCs w:val="11"/>
                <w:color w:val="auto"/>
              </w:rPr>
            </w:pPr>
          </w:p>
        </w:tc>
        <w:tc>
          <w:tcPr>
            <w:tcW w:w="78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78.1</w:t>
            </w:r>
          </w:p>
        </w:tc>
        <w:tc>
          <w:tcPr>
            <w:tcW w:w="0" w:type="dxa"/>
            <w:vAlign w:val="bottom"/>
          </w:tcPr>
          <w:p>
            <w:pPr>
              <w:spacing w:after="0"/>
              <w:rPr>
                <w:sz w:val="1"/>
                <w:szCs w:val="1"/>
                <w:color w:val="auto"/>
              </w:rPr>
            </w:pPr>
          </w:p>
        </w:tc>
      </w:tr>
      <w:tr>
        <w:trPr>
          <w:trHeight w:val="126"/>
        </w:trPr>
        <w:tc>
          <w:tcPr>
            <w:tcW w:w="2640" w:type="dxa"/>
            <w:vAlign w:val="bottom"/>
            <w:tcBorders>
              <w:bottom w:val="single" w:sz="8" w:color="DBDBDB"/>
            </w:tcBorders>
            <w:shd w:val="clear" w:color="auto" w:fill="DBDBDB"/>
          </w:tcPr>
          <w:p>
            <w:pPr>
              <w:ind w:left="140"/>
              <w:spacing w:after="0" w:line="117" w:lineRule="exact"/>
              <w:rPr>
                <w:sz w:val="20"/>
                <w:szCs w:val="20"/>
                <w:color w:val="auto"/>
              </w:rPr>
            </w:pPr>
            <w:r>
              <w:rPr>
                <w:rFonts w:ascii="Calibri" w:cs="Calibri" w:eastAsia="Calibri" w:hAnsi="Calibri"/>
                <w:sz w:val="10"/>
                <w:szCs w:val="10"/>
                <w:color w:val="auto"/>
              </w:rPr>
              <w:t>costs</w:t>
            </w:r>
          </w:p>
        </w:tc>
        <w:tc>
          <w:tcPr>
            <w:tcW w:w="1000" w:type="dxa"/>
            <w:vAlign w:val="bottom"/>
            <w:tcBorders>
              <w:bottom w:val="single" w:sz="8" w:color="DBDBDB"/>
            </w:tcBorders>
            <w:shd w:val="clear" w:color="auto" w:fill="DBDBDB"/>
          </w:tcPr>
          <w:p>
            <w:pPr>
              <w:spacing w:after="0"/>
              <w:rPr>
                <w:sz w:val="10"/>
                <w:szCs w:val="10"/>
                <w:color w:val="auto"/>
              </w:rPr>
            </w:pPr>
          </w:p>
        </w:tc>
        <w:tc>
          <w:tcPr>
            <w:tcW w:w="340" w:type="dxa"/>
            <w:vAlign w:val="bottom"/>
            <w:tcBorders>
              <w:bottom w:val="single" w:sz="8" w:color="DBDBDB"/>
            </w:tcBorders>
            <w:shd w:val="clear" w:color="auto" w:fill="DBDBDB"/>
          </w:tcPr>
          <w:p>
            <w:pPr>
              <w:spacing w:after="0"/>
              <w:rPr>
                <w:sz w:val="10"/>
                <w:szCs w:val="10"/>
                <w:color w:val="auto"/>
              </w:rPr>
            </w:pPr>
          </w:p>
        </w:tc>
        <w:tc>
          <w:tcPr>
            <w:tcW w:w="480" w:type="dxa"/>
            <w:vAlign w:val="bottom"/>
            <w:tcBorders>
              <w:bottom w:val="single" w:sz="8" w:color="DBDBDB"/>
            </w:tcBorders>
            <w:shd w:val="clear" w:color="auto" w:fill="DBDBDB"/>
          </w:tcPr>
          <w:p>
            <w:pPr>
              <w:spacing w:after="0"/>
              <w:rPr>
                <w:sz w:val="10"/>
                <w:szCs w:val="10"/>
                <w:color w:val="auto"/>
              </w:rPr>
            </w:pPr>
          </w:p>
        </w:tc>
        <w:tc>
          <w:tcPr>
            <w:tcW w:w="140" w:type="dxa"/>
            <w:vAlign w:val="bottom"/>
            <w:tcBorders>
              <w:bottom w:val="single" w:sz="8" w:color="DBDBDB"/>
            </w:tcBorders>
            <w:shd w:val="clear" w:color="auto" w:fill="DBDBDB"/>
          </w:tcPr>
          <w:p>
            <w:pPr>
              <w:spacing w:after="0"/>
              <w:rPr>
                <w:sz w:val="10"/>
                <w:szCs w:val="10"/>
                <w:color w:val="auto"/>
              </w:rPr>
            </w:pPr>
          </w:p>
        </w:tc>
        <w:tc>
          <w:tcPr>
            <w:tcW w:w="1060" w:type="dxa"/>
            <w:vAlign w:val="bottom"/>
            <w:tcBorders>
              <w:bottom w:val="single" w:sz="8" w:color="DBDBDB"/>
            </w:tcBorders>
            <w:shd w:val="clear" w:color="auto" w:fill="DBDBDB"/>
          </w:tcPr>
          <w:p>
            <w:pPr>
              <w:spacing w:after="0"/>
              <w:rPr>
                <w:sz w:val="10"/>
                <w:szCs w:val="10"/>
                <w:color w:val="auto"/>
              </w:rPr>
            </w:pPr>
          </w:p>
        </w:tc>
        <w:tc>
          <w:tcPr>
            <w:tcW w:w="140" w:type="dxa"/>
            <w:vAlign w:val="bottom"/>
            <w:tcBorders>
              <w:bottom w:val="single" w:sz="8" w:color="DBDBDB"/>
            </w:tcBorders>
            <w:shd w:val="clear" w:color="auto" w:fill="DBDBDB"/>
          </w:tcPr>
          <w:p>
            <w:pPr>
              <w:spacing w:after="0"/>
              <w:rPr>
                <w:sz w:val="10"/>
                <w:szCs w:val="10"/>
                <w:color w:val="auto"/>
              </w:rPr>
            </w:pPr>
          </w:p>
        </w:tc>
        <w:tc>
          <w:tcPr>
            <w:tcW w:w="980" w:type="dxa"/>
            <w:vAlign w:val="bottom"/>
            <w:tcBorders>
              <w:bottom w:val="single" w:sz="8" w:color="DBDBDB"/>
            </w:tcBorders>
            <w:shd w:val="clear" w:color="auto" w:fill="DBDBDB"/>
          </w:tcPr>
          <w:p>
            <w:pPr>
              <w:spacing w:after="0"/>
              <w:rPr>
                <w:sz w:val="10"/>
                <w:szCs w:val="10"/>
                <w:color w:val="auto"/>
              </w:rPr>
            </w:pPr>
          </w:p>
        </w:tc>
        <w:tc>
          <w:tcPr>
            <w:tcW w:w="180" w:type="dxa"/>
            <w:vAlign w:val="bottom"/>
            <w:tcBorders>
              <w:bottom w:val="single" w:sz="8" w:color="DBDBDB"/>
            </w:tcBorders>
            <w:shd w:val="clear" w:color="auto" w:fill="DBDBDB"/>
          </w:tcPr>
          <w:p>
            <w:pPr>
              <w:spacing w:after="0"/>
              <w:rPr>
                <w:sz w:val="10"/>
                <w:szCs w:val="10"/>
                <w:color w:val="auto"/>
              </w:rPr>
            </w:pPr>
          </w:p>
        </w:tc>
        <w:tc>
          <w:tcPr>
            <w:tcW w:w="940" w:type="dxa"/>
            <w:vAlign w:val="bottom"/>
            <w:tcBorders>
              <w:bottom w:val="single" w:sz="8" w:color="DBDBDB"/>
            </w:tcBorders>
            <w:shd w:val="clear" w:color="auto" w:fill="DBDBDB"/>
          </w:tcPr>
          <w:p>
            <w:pPr>
              <w:spacing w:after="0"/>
              <w:rPr>
                <w:sz w:val="10"/>
                <w:szCs w:val="10"/>
                <w:color w:val="auto"/>
              </w:rPr>
            </w:pPr>
          </w:p>
        </w:tc>
        <w:tc>
          <w:tcPr>
            <w:tcW w:w="220" w:type="dxa"/>
            <w:vAlign w:val="bottom"/>
            <w:tcBorders>
              <w:bottom w:val="single" w:sz="8" w:color="DBDBDB"/>
            </w:tcBorders>
            <w:shd w:val="clear" w:color="auto" w:fill="DBDBDB"/>
          </w:tcPr>
          <w:p>
            <w:pPr>
              <w:spacing w:after="0"/>
              <w:rPr>
                <w:sz w:val="10"/>
                <w:szCs w:val="10"/>
                <w:color w:val="auto"/>
              </w:rPr>
            </w:pPr>
          </w:p>
        </w:tc>
        <w:tc>
          <w:tcPr>
            <w:tcW w:w="92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spacing w:after="0"/>
              <w:rPr>
                <w:sz w:val="10"/>
                <w:szCs w:val="10"/>
                <w:color w:val="auto"/>
              </w:rPr>
            </w:pPr>
          </w:p>
        </w:tc>
        <w:tc>
          <w:tcPr>
            <w:tcW w:w="340" w:type="dxa"/>
            <w:vAlign w:val="bottom"/>
            <w:tcBorders>
              <w:bottom w:val="single" w:sz="8" w:color="DBDBDB"/>
            </w:tcBorders>
            <w:shd w:val="clear" w:color="auto" w:fill="DBDBDB"/>
          </w:tcPr>
          <w:p>
            <w:pPr>
              <w:spacing w:after="0"/>
              <w:rPr>
                <w:sz w:val="10"/>
                <w:szCs w:val="10"/>
                <w:color w:val="auto"/>
              </w:rPr>
            </w:pPr>
          </w:p>
        </w:tc>
        <w:tc>
          <w:tcPr>
            <w:tcW w:w="780" w:type="dxa"/>
            <w:vAlign w:val="bottom"/>
            <w:tcBorders>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Issuance of common stock</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7,921</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0.1</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0.1</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Stock-based compensaton</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48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4.6</w:t>
            </w:r>
          </w:p>
        </w:tc>
        <w:tc>
          <w:tcPr>
            <w:tcW w:w="14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4.6</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Reclassifcaton of liability-based awards</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0.3</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0.3</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Exercise of stock optons</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17,000</w:t>
            </w:r>
          </w:p>
        </w:tc>
        <w:tc>
          <w:tcPr>
            <w:tcW w:w="340" w:type="dxa"/>
            <w:vAlign w:val="bottom"/>
            <w:tcBorders>
              <w:bottom w:val="single" w:sz="8" w:color="DBDBDB"/>
            </w:tcBorders>
            <w:shd w:val="clear" w:color="auto" w:fill="DBDBDB"/>
          </w:tcPr>
          <w:p>
            <w:pPr>
              <w:spacing w:after="0"/>
              <w:rPr>
                <w:sz w:val="12"/>
                <w:szCs w:val="12"/>
                <w:color w:val="auto"/>
              </w:rPr>
            </w:pPr>
          </w:p>
        </w:tc>
        <w:tc>
          <w:tcPr>
            <w:tcW w:w="48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Purchase and retrement of stock</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(310,250)</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(3.9)</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(3.9)</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Net income</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48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28.8</w:t>
            </w:r>
          </w:p>
        </w:tc>
        <w:tc>
          <w:tcPr>
            <w:tcW w:w="10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28.8</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Other comprehensive loss</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740"/>
              <w:spacing w:after="0"/>
              <w:rPr>
                <w:sz w:val="20"/>
                <w:szCs w:val="20"/>
                <w:color w:val="auto"/>
              </w:rPr>
            </w:pPr>
            <w:r>
              <w:rPr>
                <w:rFonts w:ascii="Calibri" w:cs="Calibri" w:eastAsia="Calibri" w:hAnsi="Calibri"/>
                <w:sz w:val="10"/>
                <w:szCs w:val="10"/>
                <w:color w:val="auto"/>
                <w:w w:val="95"/>
              </w:rPr>
              <w:t>(0.5)</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(0.5)</w:t>
            </w:r>
          </w:p>
        </w:tc>
        <w:tc>
          <w:tcPr>
            <w:tcW w:w="0" w:type="dxa"/>
            <w:vAlign w:val="bottom"/>
          </w:tcPr>
          <w:p>
            <w:pPr>
              <w:spacing w:after="0"/>
              <w:rPr>
                <w:sz w:val="1"/>
                <w:szCs w:val="1"/>
                <w:color w:val="auto"/>
              </w:rPr>
            </w:pPr>
          </w:p>
        </w:tc>
      </w:tr>
      <w:tr>
        <w:trPr>
          <w:trHeight w:val="29"/>
        </w:trPr>
        <w:tc>
          <w:tcPr>
            <w:tcW w:w="2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64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color w:val="auto"/>
              </w:rPr>
              <w:t>Balance at October 31, 2020</w:t>
            </w:r>
          </w:p>
        </w:tc>
        <w:tc>
          <w:tcPr>
            <w:tcW w:w="100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70,550,922</w:t>
            </w:r>
          </w:p>
        </w:tc>
        <w:tc>
          <w:tcPr>
            <w:tcW w:w="340" w:type="dxa"/>
            <w:vAlign w:val="bottom"/>
            <w:tcBorders>
              <w:bottom w:val="single" w:sz="8" w:color="DBDBDB"/>
            </w:tcBorders>
            <w:shd w:val="clear" w:color="auto" w:fill="DBDBDB"/>
          </w:tcPr>
          <w:p>
            <w:pPr>
              <w:jc w:val="right"/>
              <w:ind w:right="231"/>
              <w:spacing w:after="0" w:line="121" w:lineRule="exact"/>
              <w:rPr>
                <w:sz w:val="20"/>
                <w:szCs w:val="20"/>
                <w:color w:val="auto"/>
              </w:rPr>
            </w:pPr>
            <w:r>
              <w:rPr>
                <w:rFonts w:ascii="Calibri" w:cs="Calibri" w:eastAsia="Calibri" w:hAnsi="Calibri"/>
                <w:sz w:val="10"/>
                <w:szCs w:val="10"/>
                <w:color w:val="auto"/>
                <w:w w:val="77"/>
              </w:rPr>
              <w:t>$</w:t>
            </w:r>
          </w:p>
        </w:tc>
        <w:tc>
          <w:tcPr>
            <w:tcW w:w="480" w:type="dxa"/>
            <w:vAlign w:val="bottom"/>
            <w:tcBorders>
              <w:bottom w:val="single" w:sz="8" w:color="DBDBDB"/>
            </w:tcBorders>
            <w:shd w:val="clear" w:color="auto" w:fill="DBDBDB"/>
          </w:tcPr>
          <w:p>
            <w:pPr>
              <w:jc w:val="right"/>
              <w:ind w:right="11"/>
              <w:spacing w:after="0" w:line="121" w:lineRule="exact"/>
              <w:rPr>
                <w:sz w:val="20"/>
                <w:szCs w:val="20"/>
                <w:color w:val="auto"/>
              </w:rPr>
            </w:pPr>
            <w:r>
              <w:rPr>
                <w:rFonts w:ascii="Calibri" w:cs="Calibri" w:eastAsia="Calibri" w:hAnsi="Calibri"/>
                <w:sz w:val="10"/>
                <w:szCs w:val="10"/>
                <w:color w:val="auto"/>
              </w:rPr>
              <w:t>0.1</w:t>
            </w:r>
          </w:p>
        </w:tc>
        <w:tc>
          <w:tcPr>
            <w:tcW w:w="14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106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222.8</w:t>
            </w:r>
          </w:p>
        </w:tc>
        <w:tc>
          <w:tcPr>
            <w:tcW w:w="1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9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(0.1)</w:t>
            </w:r>
          </w:p>
        </w:tc>
        <w:tc>
          <w:tcPr>
            <w:tcW w:w="18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w w:val="77"/>
              </w:rPr>
              <w:t>$</w:t>
            </w:r>
          </w:p>
        </w:tc>
        <w:tc>
          <w:tcPr>
            <w:tcW w:w="940" w:type="dxa"/>
            <w:vAlign w:val="bottom"/>
            <w:tcBorders>
              <w:bottom w:val="single" w:sz="8" w:color="DBDBDB"/>
            </w:tcBorders>
            <w:shd w:val="clear" w:color="auto" w:fill="DBDBDB"/>
          </w:tcPr>
          <w:p>
            <w:pPr>
              <w:ind w:left="740"/>
              <w:spacing w:after="0" w:line="121" w:lineRule="exact"/>
              <w:rPr>
                <w:sz w:val="20"/>
                <w:szCs w:val="20"/>
                <w:color w:val="auto"/>
              </w:rPr>
            </w:pPr>
            <w:r>
              <w:rPr>
                <w:rFonts w:ascii="Calibri" w:cs="Calibri" w:eastAsia="Calibri" w:hAnsi="Calibri"/>
                <w:sz w:val="10"/>
                <w:szCs w:val="10"/>
                <w:color w:val="auto"/>
                <w:w w:val="95"/>
              </w:rPr>
              <w:t>(0.5)</w:t>
            </w:r>
          </w:p>
        </w:tc>
        <w:tc>
          <w:tcPr>
            <w:tcW w:w="22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9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251.2</w:t>
            </w:r>
          </w:p>
        </w:tc>
        <w:tc>
          <w:tcPr>
            <w:tcW w:w="10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w w:val="77"/>
              </w:rPr>
              <w:t>$</w:t>
            </w:r>
          </w:p>
        </w:tc>
        <w:tc>
          <w:tcPr>
            <w:tcW w:w="10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jc w:val="right"/>
              <w:ind w:right="231"/>
              <w:spacing w:after="0" w:line="121" w:lineRule="exact"/>
              <w:rPr>
                <w:sz w:val="20"/>
                <w:szCs w:val="20"/>
                <w:color w:val="auto"/>
              </w:rPr>
            </w:pPr>
            <w:r>
              <w:rPr>
                <w:rFonts w:ascii="Calibri" w:cs="Calibri" w:eastAsia="Calibri" w:hAnsi="Calibri"/>
                <w:sz w:val="10"/>
                <w:szCs w:val="10"/>
                <w:color w:val="auto"/>
                <w:w w:val="77"/>
              </w:rPr>
              <w:t>$</w:t>
            </w:r>
          </w:p>
        </w:tc>
        <w:tc>
          <w:tcPr>
            <w:tcW w:w="7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473.5</w:t>
            </w:r>
          </w:p>
        </w:tc>
        <w:tc>
          <w:tcPr>
            <w:tcW w:w="0" w:type="dxa"/>
            <w:vAlign w:val="bottom"/>
          </w:tcPr>
          <w:p>
            <w:pPr>
              <w:spacing w:after="0"/>
              <w:rPr>
                <w:sz w:val="1"/>
                <w:szCs w:val="1"/>
                <w:color w:val="auto"/>
              </w:rPr>
            </w:pPr>
          </w:p>
        </w:tc>
      </w:tr>
      <w:tr>
        <w:trPr>
          <w:trHeight w:val="121"/>
        </w:trPr>
        <w:tc>
          <w:tcPr>
            <w:tcW w:w="2640" w:type="dxa"/>
            <w:vAlign w:val="bottom"/>
            <w:tcBorders>
              <w:top w:val="single" w:sz="8" w:color="auto"/>
            </w:tcBorders>
          </w:tcPr>
          <w:p>
            <w:pPr>
              <w:ind w:left="20"/>
              <w:spacing w:after="0" w:line="121" w:lineRule="exact"/>
              <w:rPr>
                <w:sz w:val="20"/>
                <w:szCs w:val="20"/>
                <w:color w:val="auto"/>
              </w:rPr>
            </w:pPr>
            <w:r>
              <w:rPr>
                <w:rFonts w:ascii="Calibri" w:cs="Calibri" w:eastAsia="Calibri" w:hAnsi="Calibri"/>
                <w:sz w:val="10"/>
                <w:szCs w:val="10"/>
                <w:color w:val="auto"/>
              </w:rPr>
              <w:t>Exercise of stock optons</w:t>
            </w:r>
          </w:p>
        </w:tc>
        <w:tc>
          <w:tcPr>
            <w:tcW w:w="100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22,272</w:t>
            </w:r>
          </w:p>
        </w:tc>
        <w:tc>
          <w:tcPr>
            <w:tcW w:w="3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1"/>
              <w:spacing w:after="0" w:line="121" w:lineRule="exact"/>
              <w:rPr>
                <w:sz w:val="20"/>
                <w:szCs w:val="20"/>
                <w:color w:val="auto"/>
              </w:rPr>
            </w:pPr>
            <w:r>
              <w:rPr>
                <w:rFonts w:ascii="Calibri" w:cs="Calibri" w:eastAsia="Calibri" w:hAnsi="Calibri"/>
                <w:sz w:val="10"/>
                <w:szCs w:val="10"/>
                <w:color w:val="auto"/>
              </w:rPr>
              <w:t>—</w:t>
            </w: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0.2</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820"/>
              <w:spacing w:after="0" w:line="121" w:lineRule="exact"/>
              <w:rPr>
                <w:sz w:val="20"/>
                <w:szCs w:val="20"/>
                <w:color w:val="auto"/>
              </w:rPr>
            </w:pPr>
            <w:r>
              <w:rPr>
                <w:rFonts w:ascii="Calibri" w:cs="Calibri" w:eastAsia="Calibri" w:hAnsi="Calibri"/>
                <w:sz w:val="10"/>
                <w:szCs w:val="10"/>
                <w:color w:val="auto"/>
              </w:rPr>
              <w:t>—</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w:t>
            </w:r>
          </w:p>
        </w:tc>
        <w:tc>
          <w:tcPr>
            <w:tcW w:w="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0.2</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Issuance of common stock for equity awards</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58,331</w:t>
            </w:r>
          </w:p>
        </w:tc>
        <w:tc>
          <w:tcPr>
            <w:tcW w:w="340" w:type="dxa"/>
            <w:vAlign w:val="bottom"/>
            <w:tcBorders>
              <w:bottom w:val="single" w:sz="8" w:color="DBDBDB"/>
            </w:tcBorders>
            <w:shd w:val="clear" w:color="auto" w:fill="DBDBDB"/>
          </w:tcPr>
          <w:p>
            <w:pPr>
              <w:spacing w:after="0"/>
              <w:rPr>
                <w:sz w:val="12"/>
                <w:szCs w:val="12"/>
                <w:color w:val="auto"/>
              </w:rPr>
            </w:pPr>
          </w:p>
        </w:tc>
        <w:tc>
          <w:tcPr>
            <w:tcW w:w="48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Stock-based compensaton</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2.6</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2.6</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Repayment of stock opton notes receivable</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48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0.1</w:t>
            </w:r>
          </w:p>
        </w:tc>
        <w:tc>
          <w:tcPr>
            <w:tcW w:w="18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0.1</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Net income</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44.9</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44.9</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640" w:type="dxa"/>
            <w:vAlign w:val="bottom"/>
            <w:tcBorders>
              <w:bottom w:val="single" w:sz="8" w:color="auto"/>
            </w:tcBorders>
            <w:shd w:val="clear" w:color="auto" w:fill="DBDBDB"/>
          </w:tcPr>
          <w:p>
            <w:pPr>
              <w:ind w:left="20"/>
              <w:spacing w:after="0"/>
              <w:rPr>
                <w:sz w:val="20"/>
                <w:szCs w:val="20"/>
                <w:color w:val="auto"/>
              </w:rPr>
            </w:pPr>
            <w:r>
              <w:rPr>
                <w:rFonts w:ascii="Calibri" w:cs="Calibri" w:eastAsia="Calibri" w:hAnsi="Calibri"/>
                <w:sz w:val="10"/>
                <w:szCs w:val="10"/>
                <w:color w:val="auto"/>
              </w:rPr>
              <w:t>Cumulatve efect of change in tax accountng principle</w:t>
            </w:r>
            <w:r>
              <w:rPr>
                <w:rFonts w:ascii="Calibri" w:cs="Calibri" w:eastAsia="Calibri" w:hAnsi="Calibri"/>
                <w:sz w:val="12"/>
                <w:szCs w:val="12"/>
                <w:color w:val="auto"/>
                <w:vertAlign w:val="superscript"/>
              </w:rPr>
              <w:t>(1)</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auto"/>
            </w:tcBorders>
            <w:shd w:val="clear" w:color="auto" w:fill="DBDBDB"/>
          </w:tcPr>
          <w:p>
            <w:pPr>
              <w:spacing w:after="0"/>
              <w:rPr>
                <w:sz w:val="13"/>
                <w:szCs w:val="13"/>
                <w:color w:val="auto"/>
              </w:rPr>
            </w:pPr>
          </w:p>
        </w:tc>
        <w:tc>
          <w:tcPr>
            <w:tcW w:w="480" w:type="dxa"/>
            <w:vAlign w:val="bottom"/>
            <w:tcBorders>
              <w:bottom w:val="single" w:sz="8" w:color="auto"/>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auto"/>
            </w:tcBorders>
            <w:shd w:val="clear" w:color="auto" w:fill="DBDBDB"/>
          </w:tcPr>
          <w:p>
            <w:pPr>
              <w:spacing w:after="0"/>
              <w:rPr>
                <w:sz w:val="13"/>
                <w:szCs w:val="13"/>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auto"/>
            </w:tcBorders>
            <w:shd w:val="clear" w:color="auto" w:fill="DBDBDB"/>
          </w:tcPr>
          <w:p>
            <w:pPr>
              <w:spacing w:after="0"/>
              <w:rPr>
                <w:sz w:val="13"/>
                <w:szCs w:val="13"/>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auto"/>
            </w:tcBorders>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auto"/>
            </w:tcBorders>
            <w:shd w:val="clear" w:color="auto" w:fill="DBDBDB"/>
          </w:tcPr>
          <w:p>
            <w:pPr>
              <w:spacing w:after="0"/>
              <w:rPr>
                <w:sz w:val="13"/>
                <w:szCs w:val="13"/>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0"/>
                <w:szCs w:val="10"/>
                <w:color w:val="auto"/>
              </w:rPr>
              <w:t>12.9</w:t>
            </w:r>
          </w:p>
        </w:tc>
        <w:tc>
          <w:tcPr>
            <w:tcW w:w="10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auto"/>
            </w:tcBorders>
            <w:shd w:val="clear" w:color="auto" w:fill="DBDBDB"/>
          </w:tcPr>
          <w:p>
            <w:pPr>
              <w:spacing w:after="0"/>
              <w:rPr>
                <w:sz w:val="13"/>
                <w:szCs w:val="13"/>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0"/>
                <w:szCs w:val="10"/>
                <w:color w:val="auto"/>
              </w:rPr>
              <w:t>12.9</w:t>
            </w:r>
          </w:p>
        </w:tc>
        <w:tc>
          <w:tcPr>
            <w:tcW w:w="0" w:type="dxa"/>
            <w:vAlign w:val="bottom"/>
          </w:tcPr>
          <w:p>
            <w:pPr>
              <w:spacing w:after="0"/>
              <w:rPr>
                <w:sz w:val="1"/>
                <w:szCs w:val="1"/>
                <w:color w:val="auto"/>
              </w:rPr>
            </w:pPr>
          </w:p>
        </w:tc>
      </w:tr>
      <w:tr>
        <w:trPr>
          <w:trHeight w:val="121"/>
        </w:trPr>
        <w:tc>
          <w:tcPr>
            <w:tcW w:w="2640" w:type="dxa"/>
            <w:vAlign w:val="bottom"/>
          </w:tcPr>
          <w:p>
            <w:pPr>
              <w:ind w:left="20"/>
              <w:spacing w:after="0" w:line="121" w:lineRule="exact"/>
              <w:rPr>
                <w:sz w:val="20"/>
                <w:szCs w:val="20"/>
                <w:color w:val="auto"/>
              </w:rPr>
            </w:pPr>
            <w:r>
              <w:rPr>
                <w:rFonts w:ascii="Calibri" w:cs="Calibri" w:eastAsia="Calibri" w:hAnsi="Calibri"/>
                <w:sz w:val="10"/>
                <w:szCs w:val="10"/>
                <w:color w:val="auto"/>
              </w:rPr>
              <w:t>Balance at October 31, 2021</w:t>
            </w:r>
          </w:p>
        </w:tc>
        <w:tc>
          <w:tcPr>
            <w:tcW w:w="1000" w:type="dxa"/>
            <w:vAlign w:val="bottom"/>
          </w:tcPr>
          <w:p>
            <w:pPr>
              <w:jc w:val="right"/>
              <w:spacing w:after="0" w:line="121" w:lineRule="exact"/>
              <w:rPr>
                <w:sz w:val="20"/>
                <w:szCs w:val="20"/>
                <w:color w:val="auto"/>
              </w:rPr>
            </w:pPr>
            <w:r>
              <w:rPr>
                <w:rFonts w:ascii="Calibri" w:cs="Calibri" w:eastAsia="Calibri" w:hAnsi="Calibri"/>
                <w:sz w:val="10"/>
                <w:szCs w:val="10"/>
                <w:color w:val="auto"/>
              </w:rPr>
              <w:t>70,631,525</w:t>
            </w:r>
          </w:p>
        </w:tc>
        <w:tc>
          <w:tcPr>
            <w:tcW w:w="340" w:type="dxa"/>
            <w:vAlign w:val="bottom"/>
          </w:tcPr>
          <w:p>
            <w:pPr>
              <w:jc w:val="right"/>
              <w:ind w:right="231"/>
              <w:spacing w:after="0" w:line="121" w:lineRule="exact"/>
              <w:rPr>
                <w:sz w:val="20"/>
                <w:szCs w:val="20"/>
                <w:color w:val="auto"/>
              </w:rPr>
            </w:pPr>
            <w:r>
              <w:rPr>
                <w:rFonts w:ascii="Calibri" w:cs="Calibri" w:eastAsia="Calibri" w:hAnsi="Calibri"/>
                <w:sz w:val="10"/>
                <w:szCs w:val="10"/>
                <w:color w:val="auto"/>
                <w:w w:val="77"/>
              </w:rPr>
              <w:t>$</w:t>
            </w:r>
          </w:p>
        </w:tc>
        <w:tc>
          <w:tcPr>
            <w:tcW w:w="480" w:type="dxa"/>
            <w:vAlign w:val="bottom"/>
          </w:tcPr>
          <w:p>
            <w:pPr>
              <w:jc w:val="right"/>
              <w:ind w:right="11"/>
              <w:spacing w:after="0" w:line="121" w:lineRule="exact"/>
              <w:rPr>
                <w:sz w:val="20"/>
                <w:szCs w:val="20"/>
                <w:color w:val="auto"/>
              </w:rPr>
            </w:pPr>
            <w:r>
              <w:rPr>
                <w:rFonts w:ascii="Calibri" w:cs="Calibri" w:eastAsia="Calibri" w:hAnsi="Calibri"/>
                <w:sz w:val="10"/>
                <w:szCs w:val="10"/>
                <w:color w:val="auto"/>
              </w:rPr>
              <w:t>0.1</w:t>
            </w:r>
          </w:p>
        </w:tc>
        <w:tc>
          <w:tcPr>
            <w:tcW w:w="140" w:type="dxa"/>
            <w:vAlign w:val="bottom"/>
          </w:tcPr>
          <w:p>
            <w:pPr>
              <w:jc w:val="right"/>
              <w:spacing w:after="0" w:line="121" w:lineRule="exact"/>
              <w:rPr>
                <w:sz w:val="20"/>
                <w:szCs w:val="20"/>
                <w:color w:val="auto"/>
              </w:rPr>
            </w:pPr>
            <w:r>
              <w:rPr>
                <w:rFonts w:ascii="Calibri" w:cs="Calibri" w:eastAsia="Calibri" w:hAnsi="Calibri"/>
                <w:sz w:val="10"/>
                <w:szCs w:val="10"/>
                <w:color w:val="auto"/>
              </w:rPr>
              <w:t>$</w:t>
            </w:r>
          </w:p>
        </w:tc>
        <w:tc>
          <w:tcPr>
            <w:tcW w:w="1060" w:type="dxa"/>
            <w:vAlign w:val="bottom"/>
          </w:tcPr>
          <w:p>
            <w:pPr>
              <w:jc w:val="right"/>
              <w:spacing w:after="0" w:line="121" w:lineRule="exact"/>
              <w:rPr>
                <w:sz w:val="20"/>
                <w:szCs w:val="20"/>
                <w:color w:val="auto"/>
              </w:rPr>
            </w:pPr>
            <w:r>
              <w:rPr>
                <w:rFonts w:ascii="Calibri" w:cs="Calibri" w:eastAsia="Calibri" w:hAnsi="Calibri"/>
                <w:sz w:val="10"/>
                <w:szCs w:val="10"/>
                <w:color w:val="auto"/>
              </w:rPr>
              <w:t>225.6</w:t>
            </w:r>
          </w:p>
        </w:tc>
        <w:tc>
          <w:tcPr>
            <w:tcW w:w="140" w:type="dxa"/>
            <w:vAlign w:val="bottom"/>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980" w:type="dxa"/>
            <w:vAlign w:val="bottom"/>
          </w:tcPr>
          <w:p>
            <w:pPr>
              <w:jc w:val="right"/>
              <w:spacing w:after="0" w:line="121" w:lineRule="exact"/>
              <w:rPr>
                <w:sz w:val="20"/>
                <w:szCs w:val="20"/>
                <w:color w:val="auto"/>
              </w:rPr>
            </w:pPr>
            <w:r>
              <w:rPr>
                <w:rFonts w:ascii="Calibri" w:cs="Calibri" w:eastAsia="Calibri" w:hAnsi="Calibri"/>
                <w:sz w:val="10"/>
                <w:szCs w:val="10"/>
                <w:color w:val="auto"/>
              </w:rPr>
              <w:t>—</w:t>
            </w:r>
          </w:p>
        </w:tc>
        <w:tc>
          <w:tcPr>
            <w:tcW w:w="180" w:type="dxa"/>
            <w:vAlign w:val="bottom"/>
          </w:tcPr>
          <w:p>
            <w:pPr>
              <w:jc w:val="right"/>
              <w:ind w:right="71"/>
              <w:spacing w:after="0" w:line="121" w:lineRule="exact"/>
              <w:rPr>
                <w:sz w:val="20"/>
                <w:szCs w:val="20"/>
                <w:color w:val="auto"/>
              </w:rPr>
            </w:pPr>
            <w:r>
              <w:rPr>
                <w:rFonts w:ascii="Calibri" w:cs="Calibri" w:eastAsia="Calibri" w:hAnsi="Calibri"/>
                <w:sz w:val="10"/>
                <w:szCs w:val="10"/>
                <w:color w:val="auto"/>
                <w:w w:val="77"/>
              </w:rPr>
              <w:t>$</w:t>
            </w:r>
          </w:p>
        </w:tc>
        <w:tc>
          <w:tcPr>
            <w:tcW w:w="940" w:type="dxa"/>
            <w:vAlign w:val="bottom"/>
          </w:tcPr>
          <w:p>
            <w:pPr>
              <w:ind w:left="740"/>
              <w:spacing w:after="0" w:line="121" w:lineRule="exact"/>
              <w:rPr>
                <w:sz w:val="20"/>
                <w:szCs w:val="20"/>
                <w:color w:val="auto"/>
              </w:rPr>
            </w:pPr>
            <w:r>
              <w:rPr>
                <w:rFonts w:ascii="Calibri" w:cs="Calibri" w:eastAsia="Calibri" w:hAnsi="Calibri"/>
                <w:sz w:val="10"/>
                <w:szCs w:val="10"/>
                <w:color w:val="auto"/>
                <w:w w:val="95"/>
              </w:rPr>
              <w:t>(0.5)</w:t>
            </w:r>
          </w:p>
        </w:tc>
        <w:tc>
          <w:tcPr>
            <w:tcW w:w="220" w:type="dxa"/>
            <w:vAlign w:val="bottom"/>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920" w:type="dxa"/>
            <w:vAlign w:val="bottom"/>
          </w:tcPr>
          <w:p>
            <w:pPr>
              <w:jc w:val="right"/>
              <w:spacing w:after="0" w:line="121" w:lineRule="exact"/>
              <w:rPr>
                <w:sz w:val="20"/>
                <w:szCs w:val="20"/>
                <w:color w:val="auto"/>
              </w:rPr>
            </w:pPr>
            <w:r>
              <w:rPr>
                <w:rFonts w:ascii="Calibri" w:cs="Calibri" w:eastAsia="Calibri" w:hAnsi="Calibri"/>
                <w:sz w:val="10"/>
                <w:szCs w:val="10"/>
                <w:color w:val="auto"/>
              </w:rPr>
              <w:t>309.0</w:t>
            </w:r>
          </w:p>
        </w:tc>
        <w:tc>
          <w:tcPr>
            <w:tcW w:w="100" w:type="dxa"/>
            <w:vAlign w:val="bottom"/>
          </w:tcPr>
          <w:p>
            <w:pPr>
              <w:jc w:val="right"/>
              <w:spacing w:after="0" w:line="121" w:lineRule="exact"/>
              <w:rPr>
                <w:sz w:val="20"/>
                <w:szCs w:val="20"/>
                <w:color w:val="auto"/>
              </w:rPr>
            </w:pPr>
            <w:r>
              <w:rPr>
                <w:rFonts w:ascii="Calibri" w:cs="Calibri" w:eastAsia="Calibri" w:hAnsi="Calibri"/>
                <w:sz w:val="10"/>
                <w:szCs w:val="10"/>
                <w:color w:val="auto"/>
                <w:w w:val="77"/>
              </w:rPr>
              <w:t>$</w:t>
            </w:r>
          </w:p>
        </w:tc>
        <w:tc>
          <w:tcPr>
            <w:tcW w:w="1020" w:type="dxa"/>
            <w:vAlign w:val="bottom"/>
          </w:tcPr>
          <w:p>
            <w:pPr>
              <w:jc w:val="right"/>
              <w:spacing w:after="0" w:line="121" w:lineRule="exact"/>
              <w:rPr>
                <w:sz w:val="20"/>
                <w:szCs w:val="20"/>
                <w:color w:val="auto"/>
              </w:rPr>
            </w:pPr>
            <w:r>
              <w:rPr>
                <w:rFonts w:ascii="Calibri" w:cs="Calibri" w:eastAsia="Calibri" w:hAnsi="Calibri"/>
                <w:sz w:val="10"/>
                <w:szCs w:val="10"/>
                <w:color w:val="auto"/>
              </w:rPr>
              <w:t>—</w:t>
            </w:r>
          </w:p>
        </w:tc>
        <w:tc>
          <w:tcPr>
            <w:tcW w:w="340" w:type="dxa"/>
            <w:vAlign w:val="bottom"/>
          </w:tcPr>
          <w:p>
            <w:pPr>
              <w:jc w:val="right"/>
              <w:ind w:right="231"/>
              <w:spacing w:after="0" w:line="121" w:lineRule="exact"/>
              <w:rPr>
                <w:sz w:val="20"/>
                <w:szCs w:val="20"/>
                <w:color w:val="auto"/>
              </w:rPr>
            </w:pPr>
            <w:r>
              <w:rPr>
                <w:rFonts w:ascii="Calibri" w:cs="Calibri" w:eastAsia="Calibri" w:hAnsi="Calibri"/>
                <w:sz w:val="10"/>
                <w:szCs w:val="10"/>
                <w:color w:val="auto"/>
                <w:w w:val="77"/>
              </w:rPr>
              <w:t>$</w:t>
            </w:r>
          </w:p>
        </w:tc>
        <w:tc>
          <w:tcPr>
            <w:tcW w:w="780" w:type="dxa"/>
            <w:vAlign w:val="bottom"/>
          </w:tcPr>
          <w:p>
            <w:pPr>
              <w:jc w:val="right"/>
              <w:spacing w:after="0" w:line="121" w:lineRule="exact"/>
              <w:rPr>
                <w:sz w:val="20"/>
                <w:szCs w:val="20"/>
                <w:color w:val="auto"/>
              </w:rPr>
            </w:pPr>
            <w:r>
              <w:rPr>
                <w:rFonts w:ascii="Calibri" w:cs="Calibri" w:eastAsia="Calibri" w:hAnsi="Calibri"/>
                <w:sz w:val="10"/>
                <w:szCs w:val="10"/>
                <w:color w:val="auto"/>
              </w:rPr>
              <w:t>534.2</w:t>
            </w:r>
          </w:p>
        </w:tc>
        <w:tc>
          <w:tcPr>
            <w:tcW w:w="0" w:type="dxa"/>
            <w:vAlign w:val="bottom"/>
          </w:tcPr>
          <w:p>
            <w:pPr>
              <w:spacing w:after="0"/>
              <w:rPr>
                <w:sz w:val="1"/>
                <w:szCs w:val="1"/>
                <w:color w:val="auto"/>
              </w:rPr>
            </w:pPr>
          </w:p>
        </w:tc>
      </w:tr>
      <w:tr>
        <w:trPr>
          <w:trHeight w:val="29"/>
        </w:trPr>
        <w:tc>
          <w:tcPr>
            <w:tcW w:w="2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64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color w:val="auto"/>
              </w:rPr>
              <w:t>Stock-based compensaton</w:t>
            </w:r>
          </w:p>
        </w:tc>
        <w:tc>
          <w:tcPr>
            <w:tcW w:w="100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1"/>
                <w:szCs w:val="11"/>
                <w:color w:val="auto"/>
              </w:rPr>
            </w:pPr>
          </w:p>
        </w:tc>
        <w:tc>
          <w:tcPr>
            <w:tcW w:w="480" w:type="dxa"/>
            <w:vAlign w:val="bottom"/>
            <w:tcBorders>
              <w:bottom w:val="single" w:sz="8" w:color="DBDBDB"/>
            </w:tcBorders>
            <w:shd w:val="clear" w:color="auto" w:fill="DBDBDB"/>
          </w:tcPr>
          <w:p>
            <w:pPr>
              <w:jc w:val="right"/>
              <w:ind w:right="11"/>
              <w:spacing w:after="0" w:line="121" w:lineRule="exact"/>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1"/>
                <w:szCs w:val="11"/>
                <w:color w:val="auto"/>
              </w:rPr>
            </w:pPr>
          </w:p>
        </w:tc>
        <w:tc>
          <w:tcPr>
            <w:tcW w:w="106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3.6</w:t>
            </w:r>
          </w:p>
        </w:tc>
        <w:tc>
          <w:tcPr>
            <w:tcW w:w="14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1"/>
                <w:szCs w:val="11"/>
                <w:color w:val="auto"/>
              </w:rPr>
            </w:pPr>
          </w:p>
        </w:tc>
        <w:tc>
          <w:tcPr>
            <w:tcW w:w="940" w:type="dxa"/>
            <w:vAlign w:val="bottom"/>
            <w:tcBorders>
              <w:bottom w:val="single" w:sz="8" w:color="DBDBDB"/>
            </w:tcBorders>
            <w:shd w:val="clear" w:color="auto" w:fill="DBDBDB"/>
          </w:tcPr>
          <w:p>
            <w:pPr>
              <w:ind w:left="820"/>
              <w:spacing w:after="0" w:line="121" w:lineRule="exact"/>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1"/>
                <w:szCs w:val="11"/>
                <w:color w:val="auto"/>
              </w:rPr>
            </w:pPr>
          </w:p>
        </w:tc>
        <w:tc>
          <w:tcPr>
            <w:tcW w:w="9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100" w:type="dxa"/>
            <w:vAlign w:val="bottom"/>
            <w:tcBorders>
              <w:bottom w:val="single" w:sz="8" w:color="DBDBDB"/>
            </w:tcBorders>
            <w:shd w:val="clear" w:color="auto" w:fill="DBDBDB"/>
          </w:tcPr>
          <w:p>
            <w:pPr>
              <w:spacing w:after="0"/>
              <w:rPr>
                <w:sz w:val="11"/>
                <w:szCs w:val="11"/>
                <w:color w:val="auto"/>
              </w:rPr>
            </w:pPr>
          </w:p>
        </w:tc>
        <w:tc>
          <w:tcPr>
            <w:tcW w:w="10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1"/>
                <w:szCs w:val="11"/>
                <w:color w:val="auto"/>
              </w:rPr>
            </w:pPr>
          </w:p>
        </w:tc>
        <w:tc>
          <w:tcPr>
            <w:tcW w:w="7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3.6</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Issuance of common stock for equity awards</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38,010</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0.1</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0.1</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Net (loss) income</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48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(34.6)</w:t>
            </w:r>
          </w:p>
        </w:tc>
        <w:tc>
          <w:tcPr>
            <w:tcW w:w="10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(0.3)</w:t>
            </w:r>
          </w:p>
        </w:tc>
        <w:tc>
          <w:tcPr>
            <w:tcW w:w="34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(34.9)</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Acquired noncontrolling interest</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20.2</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20.2</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6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Contributons from noncontrolling interest holders</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Borders>
              <w:bottom w:val="single" w:sz="8" w:color="DBDBDB"/>
            </w:tcBorders>
            <w:shd w:val="clear" w:color="auto" w:fill="DBDBDB"/>
          </w:tcPr>
          <w:p>
            <w:pPr>
              <w:spacing w:after="0"/>
              <w:rPr>
                <w:sz w:val="12"/>
                <w:szCs w:val="12"/>
                <w:color w:val="auto"/>
              </w:rPr>
            </w:pPr>
          </w:p>
        </w:tc>
        <w:tc>
          <w:tcPr>
            <w:tcW w:w="48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ind w:left="820"/>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0.9</w:t>
            </w:r>
          </w:p>
        </w:tc>
        <w:tc>
          <w:tcPr>
            <w:tcW w:w="34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0.9</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rPr>
                <w:sz w:val="20"/>
                <w:szCs w:val="20"/>
                <w:color w:val="auto"/>
              </w:rPr>
            </w:pPr>
            <w:r>
              <w:rPr>
                <w:rFonts w:ascii="Calibri" w:cs="Calibri" w:eastAsia="Calibri" w:hAnsi="Calibri"/>
                <w:sz w:val="10"/>
                <w:szCs w:val="10"/>
                <w:color w:val="auto"/>
              </w:rPr>
              <w:t>Other comprehensive loss</w:t>
            </w:r>
          </w:p>
        </w:tc>
        <w:tc>
          <w:tcPr>
            <w:tcW w:w="100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940" w:type="dxa"/>
            <w:vAlign w:val="bottom"/>
          </w:tcPr>
          <w:p>
            <w:pPr>
              <w:ind w:left="740"/>
              <w:spacing w:after="0"/>
              <w:rPr>
                <w:sz w:val="20"/>
                <w:szCs w:val="20"/>
                <w:color w:val="auto"/>
              </w:rPr>
            </w:pPr>
            <w:r>
              <w:rPr>
                <w:rFonts w:ascii="Calibri" w:cs="Calibri" w:eastAsia="Calibri" w:hAnsi="Calibri"/>
                <w:sz w:val="10"/>
                <w:szCs w:val="10"/>
                <w:color w:val="auto"/>
                <w:w w:val="95"/>
              </w:rPr>
              <w:t>(1.2)</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3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(1.2)</w:t>
            </w:r>
          </w:p>
        </w:tc>
        <w:tc>
          <w:tcPr>
            <w:tcW w:w="0" w:type="dxa"/>
            <w:vAlign w:val="bottom"/>
          </w:tcPr>
          <w:p>
            <w:pPr>
              <w:spacing w:after="0"/>
              <w:rPr>
                <w:sz w:val="1"/>
                <w:szCs w:val="1"/>
                <w:color w:val="auto"/>
              </w:rPr>
            </w:pPr>
          </w:p>
        </w:tc>
      </w:tr>
      <w:tr>
        <w:trPr>
          <w:trHeight w:val="29"/>
        </w:trPr>
        <w:tc>
          <w:tcPr>
            <w:tcW w:w="2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64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color w:val="auto"/>
              </w:rPr>
              <w:t>Balance at October 31, 2022</w:t>
            </w:r>
          </w:p>
        </w:tc>
        <w:tc>
          <w:tcPr>
            <w:tcW w:w="100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70,669,535</w:t>
            </w:r>
          </w:p>
        </w:tc>
        <w:tc>
          <w:tcPr>
            <w:tcW w:w="340" w:type="dxa"/>
            <w:vAlign w:val="bottom"/>
            <w:tcBorders>
              <w:bottom w:val="single" w:sz="8" w:color="DBDBDB"/>
            </w:tcBorders>
            <w:shd w:val="clear" w:color="auto" w:fill="DBDBDB"/>
          </w:tcPr>
          <w:p>
            <w:pPr>
              <w:jc w:val="right"/>
              <w:ind w:right="231"/>
              <w:spacing w:after="0" w:line="121" w:lineRule="exact"/>
              <w:rPr>
                <w:sz w:val="20"/>
                <w:szCs w:val="20"/>
                <w:color w:val="auto"/>
              </w:rPr>
            </w:pPr>
            <w:r>
              <w:rPr>
                <w:rFonts w:ascii="Calibri" w:cs="Calibri" w:eastAsia="Calibri" w:hAnsi="Calibri"/>
                <w:sz w:val="10"/>
                <w:szCs w:val="10"/>
                <w:color w:val="auto"/>
                <w:w w:val="77"/>
              </w:rPr>
              <w:t>$</w:t>
            </w:r>
          </w:p>
        </w:tc>
        <w:tc>
          <w:tcPr>
            <w:tcW w:w="480" w:type="dxa"/>
            <w:vAlign w:val="bottom"/>
            <w:tcBorders>
              <w:bottom w:val="single" w:sz="8" w:color="DBDBDB"/>
            </w:tcBorders>
            <w:shd w:val="clear" w:color="auto" w:fill="DBDBDB"/>
          </w:tcPr>
          <w:p>
            <w:pPr>
              <w:jc w:val="right"/>
              <w:ind w:right="11"/>
              <w:spacing w:after="0" w:line="121" w:lineRule="exact"/>
              <w:rPr>
                <w:sz w:val="20"/>
                <w:szCs w:val="20"/>
                <w:color w:val="auto"/>
              </w:rPr>
            </w:pPr>
            <w:r>
              <w:rPr>
                <w:rFonts w:ascii="Calibri" w:cs="Calibri" w:eastAsia="Calibri" w:hAnsi="Calibri"/>
                <w:sz w:val="10"/>
                <w:szCs w:val="10"/>
                <w:color w:val="auto"/>
              </w:rPr>
              <w:t>0.1</w:t>
            </w:r>
          </w:p>
        </w:tc>
        <w:tc>
          <w:tcPr>
            <w:tcW w:w="14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106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229.3</w:t>
            </w:r>
          </w:p>
        </w:tc>
        <w:tc>
          <w:tcPr>
            <w:tcW w:w="1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9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w w:val="77"/>
              </w:rPr>
              <w:t>$</w:t>
            </w:r>
          </w:p>
        </w:tc>
        <w:tc>
          <w:tcPr>
            <w:tcW w:w="940" w:type="dxa"/>
            <w:vAlign w:val="bottom"/>
            <w:tcBorders>
              <w:bottom w:val="single" w:sz="8" w:color="DBDBDB"/>
            </w:tcBorders>
            <w:shd w:val="clear" w:color="auto" w:fill="DBDBDB"/>
          </w:tcPr>
          <w:p>
            <w:pPr>
              <w:ind w:left="740"/>
              <w:spacing w:after="0" w:line="121" w:lineRule="exact"/>
              <w:rPr>
                <w:sz w:val="20"/>
                <w:szCs w:val="20"/>
                <w:color w:val="auto"/>
              </w:rPr>
            </w:pPr>
            <w:r>
              <w:rPr>
                <w:rFonts w:ascii="Calibri" w:cs="Calibri" w:eastAsia="Calibri" w:hAnsi="Calibri"/>
                <w:sz w:val="10"/>
                <w:szCs w:val="10"/>
                <w:color w:val="auto"/>
                <w:w w:val="95"/>
              </w:rPr>
              <w:t>(1.7)</w:t>
            </w:r>
          </w:p>
        </w:tc>
        <w:tc>
          <w:tcPr>
            <w:tcW w:w="22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9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274.4</w:t>
            </w:r>
          </w:p>
        </w:tc>
        <w:tc>
          <w:tcPr>
            <w:tcW w:w="10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w w:val="77"/>
              </w:rPr>
              <w:t>$</w:t>
            </w:r>
          </w:p>
        </w:tc>
        <w:tc>
          <w:tcPr>
            <w:tcW w:w="10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20.8</w:t>
            </w:r>
          </w:p>
        </w:tc>
        <w:tc>
          <w:tcPr>
            <w:tcW w:w="340" w:type="dxa"/>
            <w:vAlign w:val="bottom"/>
            <w:tcBorders>
              <w:bottom w:val="single" w:sz="8" w:color="DBDBDB"/>
            </w:tcBorders>
            <w:shd w:val="clear" w:color="auto" w:fill="DBDBDB"/>
          </w:tcPr>
          <w:p>
            <w:pPr>
              <w:jc w:val="right"/>
              <w:ind w:right="231"/>
              <w:spacing w:after="0" w:line="121" w:lineRule="exact"/>
              <w:rPr>
                <w:sz w:val="20"/>
                <w:szCs w:val="20"/>
                <w:color w:val="auto"/>
              </w:rPr>
            </w:pPr>
            <w:r>
              <w:rPr>
                <w:rFonts w:ascii="Calibri" w:cs="Calibri" w:eastAsia="Calibri" w:hAnsi="Calibri"/>
                <w:sz w:val="10"/>
                <w:szCs w:val="10"/>
                <w:color w:val="auto"/>
                <w:w w:val="77"/>
              </w:rPr>
              <w:t>$</w:t>
            </w:r>
          </w:p>
        </w:tc>
        <w:tc>
          <w:tcPr>
            <w:tcW w:w="7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522.9</w:t>
            </w:r>
          </w:p>
        </w:tc>
        <w:tc>
          <w:tcPr>
            <w:tcW w:w="0" w:type="dxa"/>
            <w:vAlign w:val="bottom"/>
          </w:tcPr>
          <w:p>
            <w:pPr>
              <w:spacing w:after="0"/>
              <w:rPr>
                <w:sz w:val="1"/>
                <w:szCs w:val="1"/>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hanging="115"/>
        <w:spacing w:after="0"/>
        <w:tabs>
          <w:tab w:leader="none" w:pos="120" w:val="left"/>
        </w:tabs>
        <w:numPr>
          <w:ilvl w:val="0"/>
          <w:numId w:val="16"/>
        </w:numPr>
        <w:rPr>
          <w:rFonts w:ascii="Calibri" w:cs="Calibri" w:eastAsia="Calibri" w:hAnsi="Calibri"/>
          <w:sz w:val="15"/>
          <w:szCs w:val="15"/>
          <w:color w:val="auto"/>
          <w:vertAlign w:val="superscript"/>
        </w:rPr>
      </w:pPr>
      <w:r>
        <w:rPr>
          <w:rFonts w:ascii="Calibri" w:cs="Calibri" w:eastAsia="Calibri" w:hAnsi="Calibri"/>
          <w:sz w:val="10"/>
          <w:szCs w:val="10"/>
          <w:color w:val="auto"/>
        </w:rPr>
        <w:t>Related to the adopton of income tax guidance ASU 2019-12, wherein we derecognized a deferred tax liability against retained earnings.</w:t>
      </w:r>
    </w:p>
    <w:p>
      <w:pPr>
        <w:spacing w:after="0" w:line="230" w:lineRule="exact"/>
        <w:rPr>
          <w:sz w:val="20"/>
          <w:szCs w:val="20"/>
          <w:color w:val="auto"/>
        </w:rPr>
      </w:pPr>
    </w:p>
    <w:p>
      <w:pPr>
        <w:spacing w:after="0"/>
        <w:rPr>
          <w:sz w:val="20"/>
          <w:szCs w:val="20"/>
          <w:color w:val="auto"/>
        </w:rPr>
      </w:pPr>
      <w:r>
        <w:rPr>
          <w:rFonts w:ascii="Calibri" w:cs="Calibri" w:eastAsia="Calibri" w:hAnsi="Calibri"/>
          <w:sz w:val="11"/>
          <w:szCs w:val="11"/>
          <w:i w:val="1"/>
          <w:iCs w:val="1"/>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46" w:name="page47"/>
    <w:bookmarkEnd w:id="46"/>
    <w:p>
      <w:pPr>
        <w:jc w:val="center"/>
        <w:spacing w:after="0"/>
        <w:rPr>
          <w:sz w:val="20"/>
          <w:szCs w:val="20"/>
          <w:color w:val="auto"/>
        </w:rPr>
      </w:pPr>
      <w:r>
        <w:rPr>
          <w:rFonts w:ascii="Calibri" w:cs="Calibri" w:eastAsia="Calibri" w:hAnsi="Calibri"/>
          <w:sz w:val="16"/>
          <w:szCs w:val="16"/>
          <w:b w:val="1"/>
          <w:bCs w:val="1"/>
          <w:color w:val="auto"/>
        </w:rPr>
        <w:t>MISSION PRODUCE, INC.</w:t>
      </w:r>
    </w:p>
    <w:p>
      <w:pPr>
        <w:spacing w:after="0" w:line="38"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CONSOLIDATED STATEMENTS OF CASH FLOWS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jc w:val="right"/>
              <w:ind w:right="231"/>
              <w:spacing w:after="0"/>
              <w:rPr>
                <w:sz w:val="20"/>
                <w:szCs w:val="20"/>
                <w:color w:val="auto"/>
              </w:rPr>
            </w:pPr>
            <w:r>
              <w:rPr>
                <w:rFonts w:ascii="Calibri" w:cs="Calibri" w:eastAsia="Calibri" w:hAnsi="Calibri"/>
                <w:sz w:val="10"/>
                <w:szCs w:val="10"/>
                <w:b w:val="1"/>
                <w:bCs w:val="1"/>
                <w:color w:val="auto"/>
              </w:rPr>
              <w:t>Years ended October 31,</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9"/>
        </w:trPr>
        <w:tc>
          <w:tcPr>
            <w:tcW w:w="67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1"/>
        </w:trPr>
        <w:tc>
          <w:tcPr>
            <w:tcW w:w="6720" w:type="dxa"/>
            <w:vAlign w:val="bottom"/>
            <w:tcBorders>
              <w:bottom w:val="single" w:sz="8" w:color="auto"/>
            </w:tcBorders>
          </w:tcPr>
          <w:p>
            <w:pPr>
              <w:ind w:left="20"/>
              <w:spacing w:after="0"/>
              <w:rPr>
                <w:sz w:val="20"/>
                <w:szCs w:val="20"/>
                <w:color w:val="auto"/>
              </w:rPr>
            </w:pPr>
            <w:r>
              <w:rPr>
                <w:rFonts w:ascii="Calibri" w:cs="Calibri" w:eastAsia="Calibri" w:hAnsi="Calibri"/>
                <w:sz w:val="10"/>
                <w:szCs w:val="10"/>
                <w:b w:val="1"/>
                <w:bCs w:val="1"/>
                <w:color w:val="auto"/>
              </w:rPr>
              <w:t>(In millions)</w:t>
            </w: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1"/>
              <w:spacing w:after="0" w:line="121" w:lineRule="exact"/>
              <w:rPr>
                <w:sz w:val="20"/>
                <w:szCs w:val="20"/>
                <w:color w:val="auto"/>
              </w:rPr>
            </w:pPr>
            <w:r>
              <w:rPr>
                <w:rFonts w:ascii="Calibri" w:cs="Calibri" w:eastAsia="Calibri" w:hAnsi="Calibri"/>
                <w:sz w:val="10"/>
                <w:szCs w:val="10"/>
                <w:b w:val="1"/>
                <w:bCs w:val="1"/>
                <w:color w:val="auto"/>
              </w:rPr>
              <w:t>2022</w:t>
            </w: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51"/>
              <w:spacing w:after="0" w:line="121" w:lineRule="exact"/>
              <w:rPr>
                <w:sz w:val="20"/>
                <w:szCs w:val="20"/>
                <w:color w:val="auto"/>
              </w:rPr>
            </w:pPr>
            <w:r>
              <w:rPr>
                <w:rFonts w:ascii="Calibri" w:cs="Calibri" w:eastAsia="Calibri" w:hAnsi="Calibri"/>
                <w:sz w:val="10"/>
                <w:szCs w:val="10"/>
                <w:b w:val="1"/>
                <w:bCs w:val="1"/>
                <w:color w:val="auto"/>
              </w:rPr>
              <w:t>2021</w:t>
            </w: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1"/>
              <w:spacing w:after="0" w:line="121" w:lineRule="exact"/>
              <w:rPr>
                <w:sz w:val="20"/>
                <w:szCs w:val="20"/>
                <w:color w:val="auto"/>
              </w:rPr>
            </w:pPr>
            <w:r>
              <w:rPr>
                <w:rFonts w:ascii="Calibri" w:cs="Calibri" w:eastAsia="Calibri" w:hAnsi="Calibri"/>
                <w:sz w:val="10"/>
                <w:szCs w:val="10"/>
                <w:b w:val="1"/>
                <w:bCs w:val="1"/>
                <w:color w:val="auto"/>
              </w:rPr>
              <w:t>2020</w:t>
            </w: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b w:val="1"/>
                <w:bCs w:val="1"/>
                <w:color w:val="auto"/>
              </w:rPr>
              <w:t>Operatng Actvites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spacing w:after="0"/>
              <w:rPr>
                <w:sz w:val="12"/>
                <w:szCs w:val="12"/>
                <w:color w:val="auto"/>
              </w:rPr>
            </w:pP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Net (loss) income</w:t>
            </w:r>
          </w:p>
        </w:tc>
        <w:tc>
          <w:tcPr>
            <w:tcW w:w="560" w:type="dxa"/>
            <w:vAlign w:val="bottom"/>
          </w:tcPr>
          <w:p>
            <w:pPr>
              <w:jc w:val="right"/>
              <w:ind w:right="451"/>
              <w:spacing w:after="0"/>
              <w:rPr>
                <w:sz w:val="20"/>
                <w:szCs w:val="20"/>
                <w:color w:val="auto"/>
              </w:rPr>
            </w:pPr>
            <w:r>
              <w:rPr>
                <w:rFonts w:ascii="Calibri" w:cs="Calibri" w:eastAsia="Calibri" w:hAnsi="Calibri"/>
                <w:sz w:val="10"/>
                <w:szCs w:val="10"/>
                <w:color w:val="auto"/>
                <w:w w:val="77"/>
              </w:rPr>
              <w:t>$</w:t>
            </w: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(34.9)</w:t>
            </w:r>
          </w:p>
        </w:tc>
        <w:tc>
          <w:tcPr>
            <w:tcW w:w="2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44.9</w:t>
            </w:r>
          </w:p>
        </w:tc>
        <w:tc>
          <w:tcPr>
            <w:tcW w:w="680" w:type="dxa"/>
            <w:vAlign w:val="bottom"/>
          </w:tcPr>
          <w:p>
            <w:pPr>
              <w:jc w:val="right"/>
              <w:ind w:right="451"/>
              <w:spacing w:after="0"/>
              <w:rPr>
                <w:sz w:val="20"/>
                <w:szCs w:val="20"/>
                <w:color w:val="auto"/>
              </w:rPr>
            </w:pPr>
            <w:r>
              <w:rPr>
                <w:rFonts w:ascii="Calibri" w:cs="Calibri" w:eastAsia="Calibri" w:hAnsi="Calibri"/>
                <w:sz w:val="10"/>
                <w:szCs w:val="10"/>
                <w:color w:val="auto"/>
              </w:rPr>
              <w:t>$</w:t>
            </w:r>
          </w:p>
        </w:tc>
        <w:tc>
          <w:tcPr>
            <w:tcW w:w="780" w:type="dxa"/>
            <w:vAlign w:val="bottom"/>
          </w:tcPr>
          <w:p>
            <w:pPr>
              <w:jc w:val="right"/>
              <w:spacing w:after="0"/>
              <w:rPr>
                <w:sz w:val="20"/>
                <w:szCs w:val="20"/>
                <w:color w:val="auto"/>
              </w:rPr>
            </w:pPr>
            <w:r>
              <w:rPr>
                <w:rFonts w:ascii="Calibri" w:cs="Calibri" w:eastAsia="Calibri" w:hAnsi="Calibri"/>
                <w:sz w:val="10"/>
                <w:szCs w:val="10"/>
                <w:color w:val="auto"/>
              </w:rPr>
              <w:t>28.8</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Adjustments to reconcile net (loss) income to net cash provided by operatng actvites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spacing w:after="0"/>
              <w:rPr>
                <w:sz w:val="12"/>
                <w:szCs w:val="12"/>
                <w:color w:val="auto"/>
              </w:rPr>
            </w:pP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Provision for losses on accounts receivable</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0.1</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0.2</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Depreciaton and amortzaton</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24.8</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20.4</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18.1</w:t>
            </w: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Amortzaton of debt issuance costs</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0.3</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0.3</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0.3</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Equity method income</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(5.1)</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(7.5)</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(4.0)</w:t>
            </w: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Noncash lease expense</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5.3</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4.3</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Stock-based compensaton</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3.6</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2.6</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5.0</w:t>
            </w: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Dividends received from equity method investees</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2.2</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1.7</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1.7</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Losses (gains) on asset impairment, disposals and sales, net of insurance recoveries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0.4</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0.1</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0.5</w:t>
            </w: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Deferred income taxes</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(0.6)</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8.8</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(1.0)</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Goodwill impairment</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49.5</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Remeasurement gain on acquisiton of equity method investee</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(2.0)</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Impairment on equity method investment</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21.2</w:t>
            </w: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Unrealized (gains) losses on derivatve fnancial instruments</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(4.7)</w:t>
            </w:r>
          </w:p>
        </w:tc>
        <w:tc>
          <w:tcPr>
            <w:tcW w:w="220" w:type="dxa"/>
            <w:vAlign w:val="bottom"/>
          </w:tcPr>
          <w:p>
            <w:pPr>
              <w:spacing w:after="0"/>
              <w:rPr>
                <w:sz w:val="11"/>
                <w:szCs w:val="11"/>
                <w:color w:val="auto"/>
              </w:rPr>
            </w:pPr>
          </w:p>
        </w:tc>
        <w:tc>
          <w:tcPr>
            <w:tcW w:w="1340" w:type="dxa"/>
            <w:vAlign w:val="bottom"/>
          </w:tcPr>
          <w:p>
            <w:pPr>
              <w:jc w:val="right"/>
              <w:ind w:right="91"/>
              <w:spacing w:after="0"/>
              <w:rPr>
                <w:sz w:val="20"/>
                <w:szCs w:val="20"/>
                <w:color w:val="auto"/>
              </w:rPr>
            </w:pPr>
            <w:r>
              <w:rPr>
                <w:rFonts w:ascii="Calibri" w:cs="Calibri" w:eastAsia="Calibri" w:hAnsi="Calibri"/>
                <w:sz w:val="10"/>
                <w:szCs w:val="10"/>
                <w:color w:val="auto"/>
              </w:rPr>
              <w:t>(0.8)</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2.8</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Other</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0.1</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(0.1)</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(2.6)</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Efect on cash of changes in operatng assets and liabilites, net of acquisiton:</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Trade accounts receivable</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10.6</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(16.4)</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10.3</w:t>
            </w:r>
          </w:p>
        </w:tc>
      </w:tr>
      <w:tr>
        <w:trPr>
          <w:trHeight w:val="130"/>
        </w:trPr>
        <w:tc>
          <w:tcPr>
            <w:tcW w:w="6720" w:type="dxa"/>
            <w:vAlign w:val="bottom"/>
          </w:tcPr>
          <w:p>
            <w:pPr>
              <w:ind w:left="360"/>
              <w:spacing w:after="0"/>
              <w:rPr>
                <w:sz w:val="20"/>
                <w:szCs w:val="20"/>
                <w:color w:val="auto"/>
              </w:rPr>
            </w:pPr>
            <w:r>
              <w:rPr>
                <w:rFonts w:ascii="Calibri" w:cs="Calibri" w:eastAsia="Calibri" w:hAnsi="Calibri"/>
                <w:sz w:val="10"/>
                <w:szCs w:val="10"/>
                <w:color w:val="auto"/>
              </w:rPr>
              <w:t>Grower fruit advances</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(1.2)</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0.8</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2.3</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Other receivables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(2.4)</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2.6</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(3.8)</w:t>
            </w:r>
          </w:p>
        </w:tc>
      </w:tr>
      <w:tr>
        <w:trPr>
          <w:trHeight w:val="130"/>
        </w:trPr>
        <w:tc>
          <w:tcPr>
            <w:tcW w:w="6720" w:type="dxa"/>
            <w:vAlign w:val="bottom"/>
          </w:tcPr>
          <w:p>
            <w:pPr>
              <w:ind w:left="360"/>
              <w:spacing w:after="0"/>
              <w:rPr>
                <w:sz w:val="20"/>
                <w:szCs w:val="20"/>
                <w:color w:val="auto"/>
              </w:rPr>
            </w:pPr>
            <w:r>
              <w:rPr>
                <w:rFonts w:ascii="Calibri" w:cs="Calibri" w:eastAsia="Calibri" w:hAnsi="Calibri"/>
                <w:sz w:val="10"/>
                <w:szCs w:val="10"/>
                <w:color w:val="auto"/>
              </w:rPr>
              <w:t>Inventory</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(15.3)</w:t>
            </w:r>
          </w:p>
        </w:tc>
        <w:tc>
          <w:tcPr>
            <w:tcW w:w="220" w:type="dxa"/>
            <w:vAlign w:val="bottom"/>
          </w:tcPr>
          <w:p>
            <w:pPr>
              <w:spacing w:after="0"/>
              <w:rPr>
                <w:sz w:val="11"/>
                <w:szCs w:val="11"/>
                <w:color w:val="auto"/>
              </w:rPr>
            </w:pPr>
          </w:p>
        </w:tc>
        <w:tc>
          <w:tcPr>
            <w:tcW w:w="1340" w:type="dxa"/>
            <w:vAlign w:val="bottom"/>
          </w:tcPr>
          <w:p>
            <w:pPr>
              <w:jc w:val="right"/>
              <w:ind w:right="91"/>
              <w:spacing w:after="0"/>
              <w:rPr>
                <w:sz w:val="20"/>
                <w:szCs w:val="20"/>
                <w:color w:val="auto"/>
              </w:rPr>
            </w:pPr>
            <w:r>
              <w:rPr>
                <w:rFonts w:ascii="Calibri" w:cs="Calibri" w:eastAsia="Calibri" w:hAnsi="Calibri"/>
                <w:sz w:val="10"/>
                <w:szCs w:val="10"/>
                <w:color w:val="auto"/>
              </w:rPr>
              <w:t>(11.2)</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5.9</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Prepaid expenses and other current assets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(0.4)</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(2.5)</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(2.0)</w:t>
            </w:r>
          </w:p>
        </w:tc>
      </w:tr>
      <w:tr>
        <w:trPr>
          <w:trHeight w:val="130"/>
        </w:trPr>
        <w:tc>
          <w:tcPr>
            <w:tcW w:w="6720" w:type="dxa"/>
            <w:vAlign w:val="bottom"/>
          </w:tcPr>
          <w:p>
            <w:pPr>
              <w:ind w:left="360"/>
              <w:spacing w:after="0"/>
              <w:rPr>
                <w:sz w:val="20"/>
                <w:szCs w:val="20"/>
                <w:color w:val="auto"/>
              </w:rPr>
            </w:pPr>
            <w:r>
              <w:rPr>
                <w:rFonts w:ascii="Calibri" w:cs="Calibri" w:eastAsia="Calibri" w:hAnsi="Calibri"/>
                <w:sz w:val="10"/>
                <w:szCs w:val="10"/>
                <w:color w:val="auto"/>
              </w:rPr>
              <w:t>Income taxes receivable</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(1.1)</w:t>
            </w:r>
          </w:p>
        </w:tc>
        <w:tc>
          <w:tcPr>
            <w:tcW w:w="220" w:type="dxa"/>
            <w:vAlign w:val="bottom"/>
          </w:tcPr>
          <w:p>
            <w:pPr>
              <w:spacing w:after="0"/>
              <w:rPr>
                <w:sz w:val="11"/>
                <w:szCs w:val="11"/>
                <w:color w:val="auto"/>
              </w:rPr>
            </w:pPr>
          </w:p>
        </w:tc>
        <w:tc>
          <w:tcPr>
            <w:tcW w:w="1340" w:type="dxa"/>
            <w:vAlign w:val="bottom"/>
          </w:tcPr>
          <w:p>
            <w:pPr>
              <w:jc w:val="right"/>
              <w:ind w:right="91"/>
              <w:spacing w:after="0"/>
              <w:rPr>
                <w:sz w:val="20"/>
                <w:szCs w:val="20"/>
                <w:color w:val="auto"/>
              </w:rPr>
            </w:pPr>
            <w:r>
              <w:rPr>
                <w:rFonts w:ascii="Calibri" w:cs="Calibri" w:eastAsia="Calibri" w:hAnsi="Calibri"/>
                <w:sz w:val="10"/>
                <w:szCs w:val="10"/>
                <w:color w:val="auto"/>
              </w:rPr>
              <w:t>(3.8)</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(0.4)</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Other assets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0.2</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(3.5)</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(4.2)</w:t>
            </w:r>
          </w:p>
        </w:tc>
      </w:tr>
      <w:tr>
        <w:trPr>
          <w:trHeight w:val="130"/>
        </w:trPr>
        <w:tc>
          <w:tcPr>
            <w:tcW w:w="6720" w:type="dxa"/>
            <w:vAlign w:val="bottom"/>
          </w:tcPr>
          <w:p>
            <w:pPr>
              <w:ind w:left="360"/>
              <w:spacing w:after="0"/>
              <w:rPr>
                <w:sz w:val="20"/>
                <w:szCs w:val="20"/>
                <w:color w:val="auto"/>
              </w:rPr>
            </w:pPr>
            <w:r>
              <w:rPr>
                <w:rFonts w:ascii="Calibri" w:cs="Calibri" w:eastAsia="Calibri" w:hAnsi="Calibri"/>
                <w:sz w:val="10"/>
                <w:szCs w:val="10"/>
                <w:color w:val="auto"/>
              </w:rPr>
              <w:t>Accounts payable and accrued expenses</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9.4</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8.9</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8.2</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Income taxes payable</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(1.3)</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(0.1)</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(1.9)</w:t>
            </w:r>
          </w:p>
        </w:tc>
      </w:tr>
      <w:tr>
        <w:trPr>
          <w:trHeight w:val="130"/>
        </w:trPr>
        <w:tc>
          <w:tcPr>
            <w:tcW w:w="6720" w:type="dxa"/>
            <w:vAlign w:val="bottom"/>
          </w:tcPr>
          <w:p>
            <w:pPr>
              <w:ind w:left="360"/>
              <w:spacing w:after="0"/>
              <w:rPr>
                <w:sz w:val="20"/>
                <w:szCs w:val="20"/>
                <w:color w:val="auto"/>
              </w:rPr>
            </w:pPr>
            <w:r>
              <w:rPr>
                <w:rFonts w:ascii="Calibri" w:cs="Calibri" w:eastAsia="Calibri" w:hAnsi="Calibri"/>
                <w:sz w:val="10"/>
                <w:szCs w:val="10"/>
                <w:color w:val="auto"/>
              </w:rPr>
              <w:t>Grower payables</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2.2</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3.4</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(8.6)</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Operatng lease liabilites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(4.0)</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(3.2)</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6720" w:type="dxa"/>
            <w:vAlign w:val="bottom"/>
          </w:tcPr>
          <w:p>
            <w:pPr>
              <w:ind w:left="360"/>
              <w:spacing w:after="0"/>
              <w:rPr>
                <w:sz w:val="20"/>
                <w:szCs w:val="20"/>
                <w:color w:val="auto"/>
              </w:rPr>
            </w:pPr>
            <w:r>
              <w:rPr>
                <w:rFonts w:ascii="Calibri" w:cs="Calibri" w:eastAsia="Calibri" w:hAnsi="Calibri"/>
                <w:sz w:val="10"/>
                <w:szCs w:val="10"/>
                <w:color w:val="auto"/>
              </w:rPr>
              <w:t>Other long-term liabilites</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(0.5)</w:t>
            </w:r>
          </w:p>
        </w:tc>
        <w:tc>
          <w:tcPr>
            <w:tcW w:w="220" w:type="dxa"/>
            <w:vAlign w:val="bottom"/>
          </w:tcPr>
          <w:p>
            <w:pPr>
              <w:spacing w:after="0"/>
              <w:rPr>
                <w:sz w:val="11"/>
                <w:szCs w:val="11"/>
                <w:color w:val="auto"/>
              </w:rPr>
            </w:pPr>
          </w:p>
        </w:tc>
        <w:tc>
          <w:tcPr>
            <w:tcW w:w="1340" w:type="dxa"/>
            <w:vAlign w:val="bottom"/>
          </w:tcPr>
          <w:p>
            <w:pPr>
              <w:jc w:val="right"/>
              <w:ind w:right="91"/>
              <w:spacing w:after="0"/>
              <w:rPr>
                <w:sz w:val="20"/>
                <w:szCs w:val="20"/>
                <w:color w:val="auto"/>
              </w:rPr>
            </w:pPr>
            <w:r>
              <w:rPr>
                <w:rFonts w:ascii="Calibri" w:cs="Calibri" w:eastAsia="Calibri" w:hAnsi="Calibri"/>
                <w:sz w:val="10"/>
                <w:szCs w:val="10"/>
                <w:color w:val="auto"/>
              </w:rPr>
              <w:t>(2.7)</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2.1</w:t>
            </w:r>
          </w:p>
        </w:tc>
      </w:tr>
      <w:tr>
        <w:trPr>
          <w:trHeight w:val="29"/>
        </w:trPr>
        <w:tc>
          <w:tcPr>
            <w:tcW w:w="6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30"/>
        </w:trPr>
        <w:tc>
          <w:tcPr>
            <w:tcW w:w="672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color w:val="auto"/>
              </w:rPr>
              <w:t>Net cash provided by operatng actvites</w:t>
            </w:r>
          </w:p>
        </w:tc>
        <w:tc>
          <w:tcPr>
            <w:tcW w:w="560" w:type="dxa"/>
            <w:vAlign w:val="bottom"/>
            <w:tcBorders>
              <w:bottom w:val="single" w:sz="8" w:color="DBDBDB"/>
            </w:tcBorders>
            <w:shd w:val="clear" w:color="auto" w:fill="DBDBDB"/>
          </w:tcPr>
          <w:p>
            <w:pPr>
              <w:jc w:val="right"/>
              <w:ind w:right="451"/>
              <w:spacing w:after="0" w:line="121" w:lineRule="exact"/>
              <w:rPr>
                <w:sz w:val="20"/>
                <w:szCs w:val="20"/>
                <w:color w:val="auto"/>
              </w:rPr>
            </w:pPr>
            <w:r>
              <w:rPr>
                <w:rFonts w:ascii="Calibri" w:cs="Calibri" w:eastAsia="Calibri" w:hAnsi="Calibri"/>
                <w:sz w:val="10"/>
                <w:szCs w:val="10"/>
                <w:color w:val="auto"/>
                <w:w w:val="77"/>
              </w:rPr>
              <w:t>$</w:t>
            </w:r>
          </w:p>
        </w:tc>
        <w:tc>
          <w:tcPr>
            <w:tcW w:w="90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35.2</w:t>
            </w:r>
          </w:p>
        </w:tc>
        <w:tc>
          <w:tcPr>
            <w:tcW w:w="2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134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47.0</w:t>
            </w:r>
          </w:p>
        </w:tc>
        <w:tc>
          <w:tcPr>
            <w:tcW w:w="680" w:type="dxa"/>
            <w:vAlign w:val="bottom"/>
            <w:tcBorders>
              <w:bottom w:val="single" w:sz="8" w:color="DBDBDB"/>
            </w:tcBorders>
            <w:shd w:val="clear" w:color="auto" w:fill="DBDBDB"/>
          </w:tcPr>
          <w:p>
            <w:pPr>
              <w:jc w:val="right"/>
              <w:ind w:right="45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78.9</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b w:val="1"/>
                <w:bCs w:val="1"/>
                <w:color w:val="auto"/>
              </w:rPr>
              <w:t>Investng Actvites</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Purchases of property and equipment</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(61.2)</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(73.4)</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(67.3)</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Proceeds from sale of property, plant and equipment</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3.0</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2.4</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3.0</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Insurance proceeds for the replacement of property, plant and equipment</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1.1</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Cash acquired in consolidaton of Moruga</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4.3</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Investment in equity method investees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(0.4)</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(0.2)</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(3.4)</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Loans to equity method investees</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340" w:type="dxa"/>
            <w:vAlign w:val="bottom"/>
          </w:tcPr>
          <w:p>
            <w:pPr>
              <w:jc w:val="right"/>
              <w:ind w:right="91"/>
              <w:spacing w:after="0"/>
              <w:rPr>
                <w:sz w:val="20"/>
                <w:szCs w:val="20"/>
                <w:color w:val="auto"/>
              </w:rPr>
            </w:pPr>
            <w:r>
              <w:rPr>
                <w:rFonts w:ascii="Calibri" w:cs="Calibri" w:eastAsia="Calibri" w:hAnsi="Calibri"/>
                <w:sz w:val="10"/>
                <w:szCs w:val="10"/>
                <w:color w:val="auto"/>
              </w:rPr>
              <w:t>(2.0)</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Loan repayments from equity method investees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3.0</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1.5</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Other</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(0.1)</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0.3</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6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30"/>
        </w:trPr>
        <w:tc>
          <w:tcPr>
            <w:tcW w:w="672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color w:val="auto"/>
              </w:rPr>
              <w:t>Net cash used in investng actvites</w:t>
            </w:r>
          </w:p>
        </w:tc>
        <w:tc>
          <w:tcPr>
            <w:tcW w:w="560" w:type="dxa"/>
            <w:vAlign w:val="bottom"/>
            <w:tcBorders>
              <w:bottom w:val="single" w:sz="8" w:color="DBDBDB"/>
            </w:tcBorders>
            <w:shd w:val="clear" w:color="auto" w:fill="DBDBDB"/>
          </w:tcPr>
          <w:p>
            <w:pPr>
              <w:jc w:val="right"/>
              <w:ind w:right="451"/>
              <w:spacing w:after="0" w:line="121" w:lineRule="exact"/>
              <w:rPr>
                <w:sz w:val="20"/>
                <w:szCs w:val="20"/>
                <w:color w:val="auto"/>
              </w:rPr>
            </w:pPr>
            <w:r>
              <w:rPr>
                <w:rFonts w:ascii="Calibri" w:cs="Calibri" w:eastAsia="Calibri" w:hAnsi="Calibri"/>
                <w:sz w:val="10"/>
                <w:szCs w:val="10"/>
                <w:color w:val="auto"/>
                <w:w w:val="77"/>
              </w:rPr>
              <w:t>$</w:t>
            </w:r>
          </w:p>
        </w:tc>
        <w:tc>
          <w:tcPr>
            <w:tcW w:w="90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(51.4)</w:t>
            </w:r>
          </w:p>
        </w:tc>
        <w:tc>
          <w:tcPr>
            <w:tcW w:w="2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134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(70.3)</w:t>
            </w:r>
          </w:p>
        </w:tc>
        <w:tc>
          <w:tcPr>
            <w:tcW w:w="680" w:type="dxa"/>
            <w:vAlign w:val="bottom"/>
            <w:tcBorders>
              <w:bottom w:val="single" w:sz="8" w:color="DBDBDB"/>
            </w:tcBorders>
            <w:shd w:val="clear" w:color="auto" w:fill="DBDBDB"/>
          </w:tcPr>
          <w:p>
            <w:pPr>
              <w:jc w:val="right"/>
              <w:ind w:right="45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(67.7)</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b w:val="1"/>
                <w:bCs w:val="1"/>
                <w:color w:val="auto"/>
              </w:rPr>
              <w:t>Financing Actvites</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Borrowings on revolving credit facility</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80.0</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14.0</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Payments on revolving credit facility</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(40.0)</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(14.0)</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Short-term borrowings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2.5</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Principal payments on long-term debt obligatons</w:t>
            </w:r>
          </w:p>
        </w:tc>
        <w:tc>
          <w:tcPr>
            <w:tcW w:w="560" w:type="dxa"/>
            <w:vAlign w:val="bottom"/>
          </w:tcPr>
          <w:p>
            <w:pPr>
              <w:spacing w:after="0"/>
              <w:rPr>
                <w:sz w:val="11"/>
                <w:szCs w:val="11"/>
                <w:color w:val="auto"/>
              </w:rPr>
            </w:pPr>
          </w:p>
        </w:tc>
        <w:tc>
          <w:tcPr>
            <w:tcW w:w="900" w:type="dxa"/>
            <w:vAlign w:val="bottom"/>
          </w:tcPr>
          <w:p>
            <w:pPr>
              <w:jc w:val="right"/>
              <w:ind w:right="91"/>
              <w:spacing w:after="0"/>
              <w:rPr>
                <w:sz w:val="20"/>
                <w:szCs w:val="20"/>
                <w:color w:val="auto"/>
              </w:rPr>
            </w:pPr>
            <w:r>
              <w:rPr>
                <w:rFonts w:ascii="Calibri" w:cs="Calibri" w:eastAsia="Calibri" w:hAnsi="Calibri"/>
                <w:sz w:val="10"/>
                <w:szCs w:val="10"/>
                <w:color w:val="auto"/>
              </w:rPr>
              <w:t>(63.3)</w:t>
            </w:r>
          </w:p>
        </w:tc>
        <w:tc>
          <w:tcPr>
            <w:tcW w:w="220" w:type="dxa"/>
            <w:vAlign w:val="bottom"/>
          </w:tcPr>
          <w:p>
            <w:pPr>
              <w:spacing w:after="0"/>
              <w:rPr>
                <w:sz w:val="11"/>
                <w:szCs w:val="11"/>
                <w:color w:val="auto"/>
              </w:rPr>
            </w:pPr>
          </w:p>
        </w:tc>
        <w:tc>
          <w:tcPr>
            <w:tcW w:w="1340" w:type="dxa"/>
            <w:vAlign w:val="bottom"/>
          </w:tcPr>
          <w:p>
            <w:pPr>
              <w:jc w:val="right"/>
              <w:ind w:right="91"/>
              <w:spacing w:after="0"/>
              <w:rPr>
                <w:sz w:val="20"/>
                <w:szCs w:val="20"/>
                <w:color w:val="auto"/>
              </w:rPr>
            </w:pPr>
            <w:r>
              <w:rPr>
                <w:rFonts w:ascii="Calibri" w:cs="Calibri" w:eastAsia="Calibri" w:hAnsi="Calibri"/>
                <w:sz w:val="10"/>
                <w:szCs w:val="10"/>
                <w:color w:val="auto"/>
              </w:rPr>
              <w:t>(10.5)</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(6.3)</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Principal payments on fnance lease obligatons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(1.2)</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(1.2)</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(0.9)</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Payments for long-term supplier fnancing</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(5.8)</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Exercise of stock optons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0.1</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0.2</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Repayment of stock opton notes receivable</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0.1</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0.1</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Payment of debt issuance or extnguishment fees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(0.8)</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(0.1)</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(0.2)</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Purchase and retrement of stock</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(1.9)</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Proceeds from issuance of common stock in public ofering, net of issuance costs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78.1</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Dividends paid</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1128" w:right="359" w:bottom="1440" w:gutter="0" w:footer="0" w:header="0"/>
        </w:sectPr>
      </w:pPr>
    </w:p>
    <w:bookmarkStart w:id="47" w:name="page48"/>
    <w:bookmarkEnd w:id="47"/>
    <w:tbl>
      <w:tblPr>
        <w:tblLayout w:type="fixed"/>
        <w:tblInd w:w="40" w:type="dxa"/>
        <w:tblCellMar>
          <w:top w:w="0" w:type="dxa"/>
          <w:left w:w="0" w:type="dxa"/>
          <w:bottom w:w="0" w:type="dxa"/>
          <w:right w:w="0" w:type="dxa"/>
        </w:tblCellMar>
      </w:tblPr>
      <w:tr>
        <w:trPr>
          <w:trHeight w:val="122"/>
        </w:trPr>
        <w:tc>
          <w:tcPr>
            <w:tcW w:w="6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jc w:val="right"/>
              <w:ind w:right="231"/>
              <w:spacing w:after="0"/>
              <w:rPr>
                <w:sz w:val="20"/>
                <w:szCs w:val="20"/>
                <w:color w:val="auto"/>
              </w:rPr>
            </w:pPr>
            <w:r>
              <w:rPr>
                <w:rFonts w:ascii="Calibri" w:cs="Calibri" w:eastAsia="Calibri" w:hAnsi="Calibri"/>
                <w:sz w:val="10"/>
                <w:szCs w:val="10"/>
                <w:b w:val="1"/>
                <w:bCs w:val="1"/>
                <w:color w:val="auto"/>
              </w:rPr>
              <w:t>Years ended October 31,</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9"/>
        </w:trPr>
        <w:tc>
          <w:tcPr>
            <w:tcW w:w="67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1"/>
        </w:trPr>
        <w:tc>
          <w:tcPr>
            <w:tcW w:w="6720" w:type="dxa"/>
            <w:vAlign w:val="bottom"/>
            <w:tcBorders>
              <w:bottom w:val="single" w:sz="8" w:color="auto"/>
            </w:tcBorders>
          </w:tcPr>
          <w:p>
            <w:pPr>
              <w:ind w:left="20"/>
              <w:spacing w:after="0"/>
              <w:rPr>
                <w:sz w:val="20"/>
                <w:szCs w:val="20"/>
                <w:color w:val="auto"/>
              </w:rPr>
            </w:pPr>
            <w:r>
              <w:rPr>
                <w:rFonts w:ascii="Calibri" w:cs="Calibri" w:eastAsia="Calibri" w:hAnsi="Calibri"/>
                <w:sz w:val="10"/>
                <w:szCs w:val="10"/>
                <w:b w:val="1"/>
                <w:bCs w:val="1"/>
                <w:color w:val="auto"/>
              </w:rPr>
              <w:t>(In millions)</w:t>
            </w: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1"/>
              <w:spacing w:after="0" w:line="121" w:lineRule="exact"/>
              <w:rPr>
                <w:sz w:val="20"/>
                <w:szCs w:val="20"/>
                <w:color w:val="auto"/>
              </w:rPr>
            </w:pPr>
            <w:r>
              <w:rPr>
                <w:rFonts w:ascii="Calibri" w:cs="Calibri" w:eastAsia="Calibri" w:hAnsi="Calibri"/>
                <w:sz w:val="10"/>
                <w:szCs w:val="10"/>
                <w:b w:val="1"/>
                <w:bCs w:val="1"/>
                <w:color w:val="auto"/>
              </w:rPr>
              <w:t>2022</w:t>
            </w: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51"/>
              <w:spacing w:after="0" w:line="121" w:lineRule="exact"/>
              <w:rPr>
                <w:sz w:val="20"/>
                <w:szCs w:val="20"/>
                <w:color w:val="auto"/>
              </w:rPr>
            </w:pPr>
            <w:r>
              <w:rPr>
                <w:rFonts w:ascii="Calibri" w:cs="Calibri" w:eastAsia="Calibri" w:hAnsi="Calibri"/>
                <w:sz w:val="10"/>
                <w:szCs w:val="10"/>
                <w:b w:val="1"/>
                <w:bCs w:val="1"/>
                <w:color w:val="auto"/>
              </w:rPr>
              <w:t>2021</w:t>
            </w: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1"/>
              <w:spacing w:after="0" w:line="121" w:lineRule="exact"/>
              <w:rPr>
                <w:sz w:val="20"/>
                <w:szCs w:val="20"/>
                <w:color w:val="auto"/>
              </w:rPr>
            </w:pPr>
            <w:r>
              <w:rPr>
                <w:rFonts w:ascii="Calibri" w:cs="Calibri" w:eastAsia="Calibri" w:hAnsi="Calibri"/>
                <w:sz w:val="10"/>
                <w:szCs w:val="10"/>
                <w:b w:val="1"/>
                <w:bCs w:val="1"/>
                <w:color w:val="auto"/>
              </w:rPr>
              <w:t>2020</w:t>
            </w:r>
          </w:p>
        </w:tc>
      </w:tr>
      <w:tr>
        <w:trPr>
          <w:trHeight w:val="164"/>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Contributons from noncontrolling interest holders</w:t>
            </w:r>
          </w:p>
        </w:tc>
        <w:tc>
          <w:tcPr>
            <w:tcW w:w="56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0.9</w:t>
            </w:r>
          </w:p>
        </w:tc>
        <w:tc>
          <w:tcPr>
            <w:tcW w:w="220" w:type="dxa"/>
            <w:vAlign w:val="bottom"/>
            <w:tcBorders>
              <w:bottom w:val="single" w:sz="8" w:color="DBDBDB"/>
            </w:tcBorders>
            <w:shd w:val="clear" w:color="auto" w:fill="DBDBDB"/>
          </w:tcPr>
          <w:p>
            <w:pPr>
              <w:spacing w:after="0"/>
              <w:rPr>
                <w:sz w:val="13"/>
                <w:szCs w:val="13"/>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21"/>
        </w:trPr>
        <w:tc>
          <w:tcPr>
            <w:tcW w:w="6720" w:type="dxa"/>
            <w:vAlign w:val="bottom"/>
            <w:tcBorders>
              <w:top w:val="single" w:sz="8" w:color="auto"/>
            </w:tcBorders>
          </w:tcPr>
          <w:p>
            <w:pPr>
              <w:ind w:left="20"/>
              <w:spacing w:after="0" w:line="121" w:lineRule="exact"/>
              <w:rPr>
                <w:sz w:val="20"/>
                <w:szCs w:val="20"/>
                <w:color w:val="auto"/>
              </w:rPr>
            </w:pPr>
            <w:r>
              <w:rPr>
                <w:rFonts w:ascii="Calibri" w:cs="Calibri" w:eastAsia="Calibri" w:hAnsi="Calibri"/>
                <w:sz w:val="10"/>
                <w:szCs w:val="10"/>
                <w:color w:val="auto"/>
              </w:rPr>
              <w:t>Net cash (used in) provided by fnancing actvites</w:t>
            </w:r>
          </w:p>
        </w:tc>
        <w:tc>
          <w:tcPr>
            <w:tcW w:w="560" w:type="dxa"/>
            <w:vAlign w:val="bottom"/>
            <w:tcBorders>
              <w:top w:val="single" w:sz="8" w:color="auto"/>
            </w:tcBorders>
          </w:tcPr>
          <w:p>
            <w:pPr>
              <w:jc w:val="right"/>
              <w:ind w:right="451"/>
              <w:spacing w:after="0" w:line="121" w:lineRule="exact"/>
              <w:rPr>
                <w:sz w:val="20"/>
                <w:szCs w:val="20"/>
                <w:color w:val="auto"/>
              </w:rPr>
            </w:pPr>
            <w:r>
              <w:rPr>
                <w:rFonts w:ascii="Calibri" w:cs="Calibri" w:eastAsia="Calibri" w:hAnsi="Calibri"/>
                <w:sz w:val="10"/>
                <w:szCs w:val="10"/>
                <w:color w:val="auto"/>
                <w:w w:val="77"/>
              </w:rPr>
              <w:t>$</w:t>
            </w:r>
          </w:p>
        </w:tc>
        <w:tc>
          <w:tcPr>
            <w:tcW w:w="900" w:type="dxa"/>
            <w:vAlign w:val="bottom"/>
            <w:tcBorders>
              <w:top w:val="single" w:sz="8" w:color="auto"/>
            </w:tcBorders>
          </w:tcPr>
          <w:p>
            <w:pPr>
              <w:jc w:val="right"/>
              <w:ind w:right="91"/>
              <w:spacing w:after="0" w:line="121" w:lineRule="exact"/>
              <w:rPr>
                <w:sz w:val="20"/>
                <w:szCs w:val="20"/>
                <w:color w:val="auto"/>
              </w:rPr>
            </w:pPr>
            <w:r>
              <w:rPr>
                <w:rFonts w:ascii="Calibri" w:cs="Calibri" w:eastAsia="Calibri" w:hAnsi="Calibri"/>
                <w:sz w:val="10"/>
                <w:szCs w:val="10"/>
                <w:color w:val="auto"/>
              </w:rPr>
              <w:t>(21.8)</w:t>
            </w:r>
          </w:p>
        </w:tc>
        <w:tc>
          <w:tcPr>
            <w:tcW w:w="22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w:t>
            </w:r>
          </w:p>
        </w:tc>
        <w:tc>
          <w:tcPr>
            <w:tcW w:w="1340" w:type="dxa"/>
            <w:vAlign w:val="bottom"/>
            <w:tcBorders>
              <w:top w:val="single" w:sz="8" w:color="auto"/>
            </w:tcBorders>
          </w:tcPr>
          <w:p>
            <w:pPr>
              <w:jc w:val="right"/>
              <w:ind w:right="91"/>
              <w:spacing w:after="0" w:line="121" w:lineRule="exact"/>
              <w:rPr>
                <w:sz w:val="20"/>
                <w:szCs w:val="20"/>
                <w:color w:val="auto"/>
              </w:rPr>
            </w:pPr>
            <w:r>
              <w:rPr>
                <w:rFonts w:ascii="Calibri" w:cs="Calibri" w:eastAsia="Calibri" w:hAnsi="Calibri"/>
                <w:sz w:val="10"/>
                <w:szCs w:val="10"/>
                <w:color w:val="auto"/>
              </w:rPr>
              <w:t>(11.5)</w:t>
            </w:r>
          </w:p>
        </w:tc>
        <w:tc>
          <w:tcPr>
            <w:tcW w:w="680" w:type="dxa"/>
            <w:vAlign w:val="bottom"/>
            <w:tcBorders>
              <w:top w:val="single" w:sz="8" w:color="auto"/>
            </w:tcBorders>
          </w:tcPr>
          <w:p>
            <w:pPr>
              <w:jc w:val="right"/>
              <w:ind w:right="45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50.1</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64"/>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Efect of exchange rate changes on cash</w:t>
            </w:r>
          </w:p>
        </w:tc>
        <w:tc>
          <w:tcPr>
            <w:tcW w:w="56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rPr>
              <w:t>(0.3)</w:t>
            </w:r>
          </w:p>
        </w:tc>
        <w:tc>
          <w:tcPr>
            <w:tcW w:w="220" w:type="dxa"/>
            <w:vAlign w:val="bottom"/>
            <w:tcBorders>
              <w:bottom w:val="single" w:sz="8" w:color="DBDBDB"/>
            </w:tcBorders>
            <w:shd w:val="clear" w:color="auto" w:fill="DBDBDB"/>
          </w:tcPr>
          <w:p>
            <w:pPr>
              <w:spacing w:after="0"/>
              <w:rPr>
                <w:sz w:val="13"/>
                <w:szCs w:val="13"/>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0.1</w:t>
            </w:r>
          </w:p>
        </w:tc>
      </w:tr>
      <w:tr>
        <w:trPr>
          <w:trHeight w:val="121"/>
        </w:trPr>
        <w:tc>
          <w:tcPr>
            <w:tcW w:w="6720" w:type="dxa"/>
            <w:vAlign w:val="bottom"/>
            <w:tcBorders>
              <w:top w:val="single" w:sz="8" w:color="auto"/>
            </w:tcBorders>
          </w:tcPr>
          <w:p>
            <w:pPr>
              <w:ind w:left="20"/>
              <w:spacing w:after="0" w:line="121" w:lineRule="exact"/>
              <w:rPr>
                <w:sz w:val="20"/>
                <w:szCs w:val="20"/>
                <w:color w:val="auto"/>
              </w:rPr>
            </w:pPr>
            <w:r>
              <w:rPr>
                <w:rFonts w:ascii="Calibri" w:cs="Calibri" w:eastAsia="Calibri" w:hAnsi="Calibri"/>
                <w:sz w:val="10"/>
                <w:szCs w:val="10"/>
                <w:color w:val="auto"/>
              </w:rPr>
              <w:t>Net (decrease) increase in cash, cash equivalents and restricted cash</w:t>
            </w:r>
          </w:p>
        </w:tc>
        <w:tc>
          <w:tcPr>
            <w:tcW w:w="5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1"/>
              <w:spacing w:after="0" w:line="121" w:lineRule="exact"/>
              <w:rPr>
                <w:sz w:val="20"/>
                <w:szCs w:val="20"/>
                <w:color w:val="auto"/>
              </w:rPr>
            </w:pPr>
            <w:r>
              <w:rPr>
                <w:rFonts w:ascii="Calibri" w:cs="Calibri" w:eastAsia="Calibri" w:hAnsi="Calibri"/>
                <w:sz w:val="10"/>
                <w:szCs w:val="10"/>
                <w:color w:val="auto"/>
              </w:rPr>
              <w:t>(38.3)</w:t>
            </w: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91"/>
              <w:spacing w:after="0" w:line="121" w:lineRule="exact"/>
              <w:rPr>
                <w:sz w:val="20"/>
                <w:szCs w:val="20"/>
                <w:color w:val="auto"/>
              </w:rPr>
            </w:pPr>
            <w:r>
              <w:rPr>
                <w:rFonts w:ascii="Calibri" w:cs="Calibri" w:eastAsia="Calibri" w:hAnsi="Calibri"/>
                <w:sz w:val="10"/>
                <w:szCs w:val="10"/>
                <w:color w:val="auto"/>
              </w:rPr>
              <w:t>(34.8)</w:t>
            </w:r>
          </w:p>
        </w:tc>
        <w:tc>
          <w:tcPr>
            <w:tcW w:w="6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61.4</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64"/>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Cash, cash equivalents and restricted cash, beginning of period</w:t>
            </w:r>
          </w:p>
        </w:tc>
        <w:tc>
          <w:tcPr>
            <w:tcW w:w="56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92.2</w:t>
            </w:r>
          </w:p>
        </w:tc>
        <w:tc>
          <w:tcPr>
            <w:tcW w:w="220" w:type="dxa"/>
            <w:vAlign w:val="bottom"/>
            <w:tcBorders>
              <w:bottom w:val="single" w:sz="8" w:color="DBDBDB"/>
            </w:tcBorders>
            <w:shd w:val="clear" w:color="auto" w:fill="DBDBDB"/>
          </w:tcPr>
          <w:p>
            <w:pPr>
              <w:spacing w:after="0"/>
              <w:rPr>
                <w:sz w:val="13"/>
                <w:szCs w:val="13"/>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127.0</w:t>
            </w:r>
          </w:p>
        </w:tc>
        <w:tc>
          <w:tcPr>
            <w:tcW w:w="6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65.6</w:t>
            </w:r>
          </w:p>
        </w:tc>
      </w:tr>
      <w:tr>
        <w:trPr>
          <w:trHeight w:val="121"/>
        </w:trPr>
        <w:tc>
          <w:tcPr>
            <w:tcW w:w="6720" w:type="dxa"/>
            <w:vAlign w:val="bottom"/>
            <w:tcBorders>
              <w:top w:val="single" w:sz="8" w:color="auto"/>
            </w:tcBorders>
          </w:tcPr>
          <w:p>
            <w:pPr>
              <w:ind w:left="20"/>
              <w:spacing w:after="0" w:line="121" w:lineRule="exact"/>
              <w:rPr>
                <w:sz w:val="20"/>
                <w:szCs w:val="20"/>
                <w:color w:val="auto"/>
              </w:rPr>
            </w:pPr>
            <w:r>
              <w:rPr>
                <w:rFonts w:ascii="Calibri" w:cs="Calibri" w:eastAsia="Calibri" w:hAnsi="Calibri"/>
                <w:sz w:val="10"/>
                <w:szCs w:val="10"/>
                <w:color w:val="auto"/>
              </w:rPr>
              <w:t>Cash, cash equivalents and restricted cash, end of period</w:t>
            </w:r>
          </w:p>
        </w:tc>
        <w:tc>
          <w:tcPr>
            <w:tcW w:w="560" w:type="dxa"/>
            <w:vAlign w:val="bottom"/>
            <w:tcBorders>
              <w:top w:val="single" w:sz="8" w:color="auto"/>
            </w:tcBorders>
          </w:tcPr>
          <w:p>
            <w:pPr>
              <w:jc w:val="right"/>
              <w:ind w:right="451"/>
              <w:spacing w:after="0" w:line="121" w:lineRule="exact"/>
              <w:rPr>
                <w:sz w:val="20"/>
                <w:szCs w:val="20"/>
                <w:color w:val="auto"/>
              </w:rPr>
            </w:pPr>
            <w:r>
              <w:rPr>
                <w:rFonts w:ascii="Calibri" w:cs="Calibri" w:eastAsia="Calibri" w:hAnsi="Calibri"/>
                <w:sz w:val="10"/>
                <w:szCs w:val="10"/>
                <w:color w:val="auto"/>
                <w:w w:val="77"/>
              </w:rPr>
              <w:t>$</w:t>
            </w:r>
          </w:p>
        </w:tc>
        <w:tc>
          <w:tcPr>
            <w:tcW w:w="900" w:type="dxa"/>
            <w:vAlign w:val="bottom"/>
            <w:tcBorders>
              <w:top w:val="single" w:sz="8" w:color="auto"/>
            </w:tcBorders>
          </w:tcPr>
          <w:p>
            <w:pPr>
              <w:jc w:val="right"/>
              <w:ind w:right="111"/>
              <w:spacing w:after="0" w:line="121" w:lineRule="exact"/>
              <w:rPr>
                <w:sz w:val="20"/>
                <w:szCs w:val="20"/>
                <w:color w:val="auto"/>
              </w:rPr>
            </w:pPr>
            <w:r>
              <w:rPr>
                <w:rFonts w:ascii="Calibri" w:cs="Calibri" w:eastAsia="Calibri" w:hAnsi="Calibri"/>
                <w:sz w:val="10"/>
                <w:szCs w:val="10"/>
                <w:color w:val="auto"/>
              </w:rPr>
              <w:t>53.9</w:t>
            </w:r>
          </w:p>
        </w:tc>
        <w:tc>
          <w:tcPr>
            <w:tcW w:w="22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w:t>
            </w:r>
          </w:p>
        </w:tc>
        <w:tc>
          <w:tcPr>
            <w:tcW w:w="1340" w:type="dxa"/>
            <w:vAlign w:val="bottom"/>
            <w:tcBorders>
              <w:top w:val="single" w:sz="8" w:color="auto"/>
            </w:tcBorders>
          </w:tcPr>
          <w:p>
            <w:pPr>
              <w:jc w:val="right"/>
              <w:ind w:right="111"/>
              <w:spacing w:after="0" w:line="121" w:lineRule="exact"/>
              <w:rPr>
                <w:sz w:val="20"/>
                <w:szCs w:val="20"/>
                <w:color w:val="auto"/>
              </w:rPr>
            </w:pPr>
            <w:r>
              <w:rPr>
                <w:rFonts w:ascii="Calibri" w:cs="Calibri" w:eastAsia="Calibri" w:hAnsi="Calibri"/>
                <w:sz w:val="10"/>
                <w:szCs w:val="10"/>
                <w:color w:val="auto"/>
              </w:rPr>
              <w:t>92.2</w:t>
            </w:r>
          </w:p>
        </w:tc>
        <w:tc>
          <w:tcPr>
            <w:tcW w:w="680" w:type="dxa"/>
            <w:vAlign w:val="bottom"/>
            <w:tcBorders>
              <w:top w:val="single" w:sz="8" w:color="auto"/>
            </w:tcBorders>
          </w:tcPr>
          <w:p>
            <w:pPr>
              <w:jc w:val="right"/>
              <w:ind w:right="45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top w:val="single" w:sz="8" w:color="auto"/>
            </w:tcBorders>
          </w:tcPr>
          <w:p>
            <w:pPr>
              <w:jc w:val="right"/>
              <w:spacing w:after="0" w:line="121" w:lineRule="exact"/>
              <w:rPr>
                <w:sz w:val="20"/>
                <w:szCs w:val="20"/>
                <w:color w:val="auto"/>
              </w:rPr>
            </w:pPr>
            <w:r>
              <w:rPr>
                <w:rFonts w:ascii="Calibri" w:cs="Calibri" w:eastAsia="Calibri" w:hAnsi="Calibri"/>
                <w:sz w:val="10"/>
                <w:szCs w:val="10"/>
                <w:color w:val="auto"/>
              </w:rPr>
              <w:t>127.0</w:t>
            </w:r>
          </w:p>
        </w:tc>
      </w:tr>
      <w:tr>
        <w:trPr>
          <w:trHeight w:val="29"/>
        </w:trPr>
        <w:tc>
          <w:tcPr>
            <w:tcW w:w="6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6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b w:val="1"/>
                <w:bCs w:val="1"/>
                <w:color w:val="auto"/>
              </w:rPr>
              <w:t>Summary of cash, cash equivalents and restricted cash reported within the consolidated balance sheets: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spacing w:after="0"/>
              <w:rPr>
                <w:sz w:val="12"/>
                <w:szCs w:val="12"/>
                <w:color w:val="auto"/>
              </w:rPr>
            </w:pP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Cash and cash equivalents</w:t>
            </w:r>
          </w:p>
        </w:tc>
        <w:tc>
          <w:tcPr>
            <w:tcW w:w="560" w:type="dxa"/>
            <w:vAlign w:val="bottom"/>
          </w:tcPr>
          <w:p>
            <w:pPr>
              <w:jc w:val="right"/>
              <w:ind w:right="451"/>
              <w:spacing w:after="0"/>
              <w:rPr>
                <w:sz w:val="20"/>
                <w:szCs w:val="20"/>
                <w:color w:val="auto"/>
              </w:rPr>
            </w:pPr>
            <w:r>
              <w:rPr>
                <w:rFonts w:ascii="Calibri" w:cs="Calibri" w:eastAsia="Calibri" w:hAnsi="Calibri"/>
                <w:sz w:val="10"/>
                <w:szCs w:val="10"/>
                <w:color w:val="auto"/>
                <w:w w:val="77"/>
              </w:rPr>
              <w:t>$</w:t>
            </w: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52.8</w:t>
            </w:r>
          </w:p>
        </w:tc>
        <w:tc>
          <w:tcPr>
            <w:tcW w:w="2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84.5</w:t>
            </w:r>
          </w:p>
        </w:tc>
        <w:tc>
          <w:tcPr>
            <w:tcW w:w="680" w:type="dxa"/>
            <w:vAlign w:val="bottom"/>
          </w:tcPr>
          <w:p>
            <w:pPr>
              <w:jc w:val="right"/>
              <w:ind w:right="451"/>
              <w:spacing w:after="0"/>
              <w:rPr>
                <w:sz w:val="20"/>
                <w:szCs w:val="20"/>
                <w:color w:val="auto"/>
              </w:rPr>
            </w:pPr>
            <w:r>
              <w:rPr>
                <w:rFonts w:ascii="Calibri" w:cs="Calibri" w:eastAsia="Calibri" w:hAnsi="Calibri"/>
                <w:sz w:val="10"/>
                <w:szCs w:val="10"/>
                <w:color w:val="auto"/>
              </w:rPr>
              <w:t>$</w:t>
            </w:r>
          </w:p>
        </w:tc>
        <w:tc>
          <w:tcPr>
            <w:tcW w:w="780" w:type="dxa"/>
            <w:vAlign w:val="bottom"/>
          </w:tcPr>
          <w:p>
            <w:pPr>
              <w:jc w:val="right"/>
              <w:spacing w:after="0"/>
              <w:rPr>
                <w:sz w:val="20"/>
                <w:szCs w:val="20"/>
                <w:color w:val="auto"/>
              </w:rPr>
            </w:pPr>
            <w:r>
              <w:rPr>
                <w:rFonts w:ascii="Calibri" w:cs="Calibri" w:eastAsia="Calibri" w:hAnsi="Calibri"/>
                <w:sz w:val="10"/>
                <w:szCs w:val="10"/>
                <w:color w:val="auto"/>
              </w:rPr>
              <w:t>124.0</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color w:val="auto"/>
              </w:rPr>
              <w:t>Restricted cash</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1.1</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6.1</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1.4</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color w:val="auto"/>
              </w:rPr>
              <w:t>Restricted cash included in other assets</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1.6</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1.6</w:t>
            </w:r>
          </w:p>
        </w:tc>
      </w:tr>
      <w:tr>
        <w:trPr>
          <w:trHeight w:val="29"/>
        </w:trPr>
        <w:tc>
          <w:tcPr>
            <w:tcW w:w="6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5"/>
        </w:trPr>
        <w:tc>
          <w:tcPr>
            <w:tcW w:w="672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color w:val="auto"/>
              </w:rPr>
              <w:t>Total cash, cash equivalents, and restricted cash shown in the consolidated statements of cash fows</w:t>
            </w:r>
          </w:p>
        </w:tc>
        <w:tc>
          <w:tcPr>
            <w:tcW w:w="560" w:type="dxa"/>
            <w:vAlign w:val="bottom"/>
            <w:tcBorders>
              <w:bottom w:val="single" w:sz="8" w:color="DBDBDB"/>
            </w:tcBorders>
            <w:shd w:val="clear" w:color="auto" w:fill="DBDBDB"/>
          </w:tcPr>
          <w:p>
            <w:pPr>
              <w:jc w:val="right"/>
              <w:ind w:right="451"/>
              <w:spacing w:after="0" w:line="121" w:lineRule="exact"/>
              <w:rPr>
                <w:sz w:val="20"/>
                <w:szCs w:val="20"/>
                <w:color w:val="auto"/>
              </w:rPr>
            </w:pPr>
            <w:r>
              <w:rPr>
                <w:rFonts w:ascii="Calibri" w:cs="Calibri" w:eastAsia="Calibri" w:hAnsi="Calibri"/>
                <w:sz w:val="10"/>
                <w:szCs w:val="10"/>
                <w:color w:val="auto"/>
                <w:w w:val="77"/>
              </w:rPr>
              <w:t>$</w:t>
            </w:r>
          </w:p>
        </w:tc>
        <w:tc>
          <w:tcPr>
            <w:tcW w:w="90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53.9</w:t>
            </w:r>
          </w:p>
        </w:tc>
        <w:tc>
          <w:tcPr>
            <w:tcW w:w="2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w:t>
            </w:r>
          </w:p>
        </w:tc>
        <w:tc>
          <w:tcPr>
            <w:tcW w:w="134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92.2</w:t>
            </w:r>
          </w:p>
        </w:tc>
        <w:tc>
          <w:tcPr>
            <w:tcW w:w="680" w:type="dxa"/>
            <w:vAlign w:val="bottom"/>
            <w:tcBorders>
              <w:bottom w:val="single" w:sz="8" w:color="DBDBDB"/>
            </w:tcBorders>
            <w:shd w:val="clear" w:color="auto" w:fill="DBDBDB"/>
          </w:tcPr>
          <w:p>
            <w:pPr>
              <w:jc w:val="right"/>
              <w:ind w:right="45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127.0</w:t>
            </w:r>
          </w:p>
        </w:tc>
      </w:tr>
      <w:tr>
        <w:trPr>
          <w:trHeight w:val="192"/>
        </w:trPr>
        <w:tc>
          <w:tcPr>
            <w:tcW w:w="67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39"/>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b w:val="1"/>
                <w:bCs w:val="1"/>
                <w:color w:val="auto"/>
              </w:rPr>
              <w:t>Cash paid during the year for:</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spacing w:after="0"/>
              <w:rPr>
                <w:sz w:val="12"/>
                <w:szCs w:val="12"/>
                <w:color w:val="auto"/>
              </w:rPr>
            </w:pP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r>
      <w:tr>
        <w:trPr>
          <w:trHeight w:val="130"/>
        </w:trPr>
        <w:tc>
          <w:tcPr>
            <w:tcW w:w="6720" w:type="dxa"/>
            <w:vAlign w:val="bottom"/>
          </w:tcPr>
          <w:p>
            <w:pPr>
              <w:ind w:left="360"/>
              <w:spacing w:after="0"/>
              <w:rPr>
                <w:sz w:val="20"/>
                <w:szCs w:val="20"/>
                <w:color w:val="auto"/>
              </w:rPr>
            </w:pPr>
            <w:r>
              <w:rPr>
                <w:rFonts w:ascii="Calibri" w:cs="Calibri" w:eastAsia="Calibri" w:hAnsi="Calibri"/>
                <w:sz w:val="10"/>
                <w:szCs w:val="10"/>
                <w:color w:val="auto"/>
              </w:rPr>
              <w:t>Interest</w:t>
            </w:r>
          </w:p>
        </w:tc>
        <w:tc>
          <w:tcPr>
            <w:tcW w:w="560" w:type="dxa"/>
            <w:vAlign w:val="bottom"/>
          </w:tcPr>
          <w:p>
            <w:pPr>
              <w:jc w:val="right"/>
              <w:ind w:right="451"/>
              <w:spacing w:after="0"/>
              <w:rPr>
                <w:sz w:val="20"/>
                <w:szCs w:val="20"/>
                <w:color w:val="auto"/>
              </w:rPr>
            </w:pPr>
            <w:r>
              <w:rPr>
                <w:rFonts w:ascii="Calibri" w:cs="Calibri" w:eastAsia="Calibri" w:hAnsi="Calibri"/>
                <w:sz w:val="10"/>
                <w:szCs w:val="10"/>
                <w:color w:val="auto"/>
                <w:w w:val="77"/>
              </w:rPr>
              <w:t>$</w:t>
            </w: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5.7</w:t>
            </w:r>
          </w:p>
        </w:tc>
        <w:tc>
          <w:tcPr>
            <w:tcW w:w="22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4.3</w:t>
            </w:r>
          </w:p>
        </w:tc>
        <w:tc>
          <w:tcPr>
            <w:tcW w:w="680" w:type="dxa"/>
            <w:vAlign w:val="bottom"/>
          </w:tcPr>
          <w:p>
            <w:pPr>
              <w:jc w:val="right"/>
              <w:ind w:right="451"/>
              <w:spacing w:after="0"/>
              <w:rPr>
                <w:sz w:val="20"/>
                <w:szCs w:val="20"/>
                <w:color w:val="auto"/>
              </w:rPr>
            </w:pPr>
            <w:r>
              <w:rPr>
                <w:rFonts w:ascii="Calibri" w:cs="Calibri" w:eastAsia="Calibri" w:hAnsi="Calibri"/>
                <w:sz w:val="10"/>
                <w:szCs w:val="10"/>
                <w:color w:val="auto"/>
              </w:rPr>
              <w:t>$</w:t>
            </w:r>
          </w:p>
        </w:tc>
        <w:tc>
          <w:tcPr>
            <w:tcW w:w="780" w:type="dxa"/>
            <w:vAlign w:val="bottom"/>
          </w:tcPr>
          <w:p>
            <w:pPr>
              <w:jc w:val="right"/>
              <w:spacing w:after="0"/>
              <w:rPr>
                <w:sz w:val="20"/>
                <w:szCs w:val="20"/>
                <w:color w:val="auto"/>
              </w:rPr>
            </w:pPr>
            <w:r>
              <w:rPr>
                <w:rFonts w:ascii="Calibri" w:cs="Calibri" w:eastAsia="Calibri" w:hAnsi="Calibri"/>
                <w:sz w:val="10"/>
                <w:szCs w:val="10"/>
                <w:color w:val="auto"/>
              </w:rPr>
              <w:t>6.3</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0"/>
                <w:szCs w:val="10"/>
                <w:color w:val="auto"/>
              </w:rPr>
              <w:t>Income taxes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6.2</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14.8</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18.5</w:t>
            </w:r>
          </w:p>
        </w:tc>
      </w:tr>
      <w:tr>
        <w:trPr>
          <w:trHeight w:val="130"/>
        </w:trPr>
        <w:tc>
          <w:tcPr>
            <w:tcW w:w="6720" w:type="dxa"/>
            <w:vAlign w:val="bottom"/>
          </w:tcPr>
          <w:p>
            <w:pPr>
              <w:ind w:left="20"/>
              <w:spacing w:after="0"/>
              <w:rPr>
                <w:sz w:val="20"/>
                <w:szCs w:val="20"/>
                <w:color w:val="auto"/>
              </w:rPr>
            </w:pPr>
            <w:r>
              <w:rPr>
                <w:rFonts w:ascii="Calibri" w:cs="Calibri" w:eastAsia="Calibri" w:hAnsi="Calibri"/>
                <w:sz w:val="10"/>
                <w:szCs w:val="10"/>
                <w:b w:val="1"/>
                <w:bCs w:val="1"/>
                <w:color w:val="auto"/>
              </w:rPr>
              <w:t>Non-cash investng and fnancing actvites:</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Property, plant and equipment included in liabilites</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7.6</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3.4</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4.0</w:t>
            </w: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Advances for property, plant and equipment included in assets</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2.1</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1.4</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Eliminaton of loan receivable from Moruga upon consolidaton (Note 3)</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1.9</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6720" w:type="dxa"/>
            <w:vAlign w:val="bottom"/>
          </w:tcPr>
          <w:p>
            <w:pPr>
              <w:ind w:left="340"/>
              <w:spacing w:after="0"/>
              <w:rPr>
                <w:sz w:val="20"/>
                <w:szCs w:val="20"/>
                <w:color w:val="auto"/>
              </w:rPr>
            </w:pPr>
            <w:r>
              <w:rPr>
                <w:rFonts w:ascii="Calibri" w:cs="Calibri" w:eastAsia="Calibri" w:hAnsi="Calibri"/>
                <w:sz w:val="10"/>
                <w:szCs w:val="10"/>
                <w:color w:val="auto"/>
              </w:rPr>
              <w:t>Finance leases for equipment and machinery</w:t>
            </w:r>
          </w:p>
        </w:tc>
        <w:tc>
          <w:tcPr>
            <w:tcW w:w="5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Calibri" w:cs="Calibri" w:eastAsia="Calibri" w:hAnsi="Calibri"/>
                <w:sz w:val="10"/>
                <w:szCs w:val="10"/>
                <w:color w:val="auto"/>
              </w:rPr>
              <w:t>0.5</w:t>
            </w:r>
          </w:p>
        </w:tc>
        <w:tc>
          <w:tcPr>
            <w:tcW w:w="220" w:type="dxa"/>
            <w:vAlign w:val="bottom"/>
          </w:tcPr>
          <w:p>
            <w:pPr>
              <w:spacing w:after="0"/>
              <w:rPr>
                <w:sz w:val="11"/>
                <w:szCs w:val="11"/>
                <w:color w:val="auto"/>
              </w:rPr>
            </w:pPr>
          </w:p>
        </w:tc>
        <w:tc>
          <w:tcPr>
            <w:tcW w:w="1340" w:type="dxa"/>
            <w:vAlign w:val="bottom"/>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6720" w:type="dxa"/>
            <w:vAlign w:val="bottom"/>
            <w:tcBorders>
              <w:bottom w:val="single" w:sz="8" w:color="DBDBDB"/>
            </w:tcBorders>
            <w:shd w:val="clear" w:color="auto" w:fill="DBDBDB"/>
          </w:tcPr>
          <w:p>
            <w:pPr>
              <w:ind w:left="340"/>
              <w:spacing w:after="0"/>
              <w:rPr>
                <w:sz w:val="20"/>
                <w:szCs w:val="20"/>
                <w:color w:val="auto"/>
              </w:rPr>
            </w:pPr>
            <w:r>
              <w:rPr>
                <w:rFonts w:ascii="Calibri" w:cs="Calibri" w:eastAsia="Calibri" w:hAnsi="Calibri"/>
                <w:sz w:val="10"/>
                <w:szCs w:val="10"/>
                <w:color w:val="auto"/>
              </w:rPr>
              <w:t>Common stock issued in lieu of compensaton 7,921 shares issued in 2020)</w:t>
            </w:r>
          </w:p>
        </w:tc>
        <w:tc>
          <w:tcPr>
            <w:tcW w:w="56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340" w:type="dxa"/>
            <w:vAlign w:val="bottom"/>
            <w:tcBorders>
              <w:bottom w:val="single" w:sz="8" w:color="DBDBDB"/>
            </w:tcBorders>
            <w:shd w:val="clear" w:color="auto" w:fill="DBDBDB"/>
          </w:tcPr>
          <w:p>
            <w:pPr>
              <w:jc w:val="right"/>
              <w:ind w:right="111"/>
              <w:spacing w:after="0"/>
              <w:rPr>
                <w:sz w:val="20"/>
                <w:szCs w:val="20"/>
                <w:color w:val="auto"/>
              </w:rPr>
            </w:pPr>
            <w:r>
              <w:rPr>
                <w:rFonts w:ascii="Calibri" w:cs="Calibri" w:eastAsia="Calibri" w:hAnsi="Calibri"/>
                <w:sz w:val="10"/>
                <w:szCs w:val="10"/>
                <w:color w:val="auto"/>
              </w:rPr>
              <w:t>—</w:t>
            </w:r>
          </w:p>
        </w:tc>
        <w:tc>
          <w:tcPr>
            <w:tcW w:w="6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0.1</w:t>
            </w:r>
          </w:p>
        </w:tc>
      </w:tr>
      <w:tr>
        <w:trPr>
          <w:trHeight w:val="20"/>
        </w:trPr>
        <w:tc>
          <w:tcPr>
            <w:tcW w:w="6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Calibri" w:cs="Calibri" w:eastAsia="Calibri" w:hAnsi="Calibri"/>
          <w:sz w:val="11"/>
          <w:szCs w:val="11"/>
          <w:i w:val="1"/>
          <w:iCs w:val="1"/>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Calibri" w:cs="Calibri" w:eastAsia="Calibri" w:hAnsi="Calibri"/>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7" w:right="359" w:bottom="1440" w:gutter="0" w:footer="0" w:header="0"/>
        </w:sectPr>
      </w:pPr>
    </w:p>
    <w:bookmarkStart w:id="48" w:name="page49"/>
    <w:bookmarkEnd w:id="48"/>
    <w:p>
      <w:pPr>
        <w:jc w:val="center"/>
        <w:ind w:right="-59"/>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hanging="295"/>
        <w:spacing w:after="0"/>
        <w:tabs>
          <w:tab w:leader="none" w:pos="300" w:val="left"/>
        </w:tabs>
        <w:numPr>
          <w:ilvl w:val="0"/>
          <w:numId w:val="17"/>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Nature of Business</w:t>
      </w:r>
    </w:p>
    <w:p>
      <w:pPr>
        <w:spacing w:after="0" w:line="182" w:lineRule="exact"/>
        <w:rPr>
          <w:sz w:val="20"/>
          <w:szCs w:val="20"/>
          <w:color w:val="auto"/>
        </w:rPr>
      </w:pPr>
    </w:p>
    <w:p>
      <w:pPr>
        <w:ind w:right="80" w:firstLine="509"/>
        <w:spacing w:after="0" w:line="229" w:lineRule="auto"/>
        <w:rPr>
          <w:sz w:val="20"/>
          <w:szCs w:val="20"/>
          <w:color w:val="auto"/>
        </w:rPr>
      </w:pPr>
      <w:r>
        <w:rPr>
          <w:rFonts w:ascii="Calibri" w:cs="Calibri" w:eastAsia="Calibri" w:hAnsi="Calibri"/>
          <w:sz w:val="13"/>
          <w:szCs w:val="13"/>
          <w:color w:val="auto"/>
        </w:rPr>
        <w:t>Mission Produce, Inc. together with its consolidated subsidiaries (“Mission,” “the Company,” “we,” “us” or “our”), is a global leader in the avocado industry. The Company’s expertse lies in the farming, packaging, marketng and distributon of avocados to food retailers, distributors and produce wholesalers worldwide. The Company procures avocados principally from California, Mexico and Peru. Through our various operatng facilites, we grow, sort, pack, bag and ripen avocados and a small amount of other fruits for distributon to domestc and internatonal markets. We report our results of operatons in three reportable segments which are also equivalent to operatng segments: Marketng and Distributon, Internatonal Farming and Blueberries (see Note 15).</w:t>
      </w:r>
    </w:p>
    <w:p>
      <w:pPr>
        <w:spacing w:after="0" w:line="200" w:lineRule="exact"/>
        <w:rPr>
          <w:sz w:val="20"/>
          <w:szCs w:val="20"/>
          <w:color w:val="auto"/>
        </w:rPr>
      </w:pPr>
    </w:p>
    <w:p>
      <w:pPr>
        <w:spacing w:after="0" w:line="302" w:lineRule="exact"/>
        <w:rPr>
          <w:sz w:val="20"/>
          <w:szCs w:val="20"/>
          <w:color w:val="auto"/>
        </w:rPr>
      </w:pPr>
    </w:p>
    <w:p>
      <w:pPr>
        <w:ind w:left="300" w:hanging="295"/>
        <w:spacing w:after="0"/>
        <w:tabs>
          <w:tab w:leader="none" w:pos="300" w:val="left"/>
        </w:tabs>
        <w:numPr>
          <w:ilvl w:val="0"/>
          <w:numId w:val="18"/>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Summary of Signifcant Accountng Policies</w:t>
      </w:r>
    </w:p>
    <w:p>
      <w:pPr>
        <w:spacing w:after="0" w:line="162"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Basis of presentaton and consolidaton</w:t>
      </w:r>
    </w:p>
    <w:p>
      <w:pPr>
        <w:spacing w:after="0" w:line="158" w:lineRule="exact"/>
        <w:rPr>
          <w:sz w:val="20"/>
          <w:szCs w:val="20"/>
          <w:color w:val="auto"/>
        </w:rPr>
      </w:pPr>
    </w:p>
    <w:p>
      <w:pPr>
        <w:ind w:right="40" w:firstLine="509"/>
        <w:spacing w:after="0" w:line="230" w:lineRule="auto"/>
        <w:rPr>
          <w:sz w:val="20"/>
          <w:szCs w:val="20"/>
          <w:color w:val="auto"/>
        </w:rPr>
      </w:pPr>
      <w:r>
        <w:rPr>
          <w:rFonts w:ascii="Calibri" w:cs="Calibri" w:eastAsia="Calibri" w:hAnsi="Calibri"/>
          <w:sz w:val="13"/>
          <w:szCs w:val="13"/>
          <w:color w:val="auto"/>
        </w:rPr>
        <w:t>The accompanying consolidated fnancial statements include the accounts of the Company, its consolidated subsidiaries and variable interest entty (“VIE”) for which we are the primary benefciary and have a controlling interest. The consolidated fnancial statements have been prepared in accordance with accountng principles generally accepted in the United States (“U.S. GAAP”). All intercompany balances have been eliminated in consolidaton.</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Consolidaton of VIE</w:t>
      </w:r>
    </w:p>
    <w:p>
      <w:pPr>
        <w:spacing w:after="0" w:line="158" w:lineRule="exact"/>
        <w:rPr>
          <w:sz w:val="20"/>
          <w:szCs w:val="20"/>
          <w:color w:val="auto"/>
        </w:rPr>
      </w:pPr>
    </w:p>
    <w:p>
      <w:pPr>
        <w:ind w:right="40" w:firstLine="509"/>
        <w:spacing w:after="0" w:line="229" w:lineRule="auto"/>
        <w:rPr>
          <w:sz w:val="20"/>
          <w:szCs w:val="20"/>
          <w:color w:val="auto"/>
        </w:rPr>
      </w:pPr>
      <w:r>
        <w:rPr>
          <w:rFonts w:ascii="Calibri" w:cs="Calibri" w:eastAsia="Calibri" w:hAnsi="Calibri"/>
          <w:sz w:val="13"/>
          <w:szCs w:val="13"/>
          <w:color w:val="auto"/>
        </w:rPr>
        <w:t>On May 1, 2022, a reconsideraton event (explained in Note 3) occurred related to Moruga S.A.C., an entty for which we have a 60% equity ownership interest. Moruga S.A.C. is a holding company with one wholly owned subsidiary Blueberries Peru, S.A.C. (collectvely referred to as “Moruga”). Moruga was previously accounted for under the equity method of accountng, where investments are stated at inital cost and adjusted for subsequent additonal investments and our proportonate share of earnings or losses and distributons. As a result of the reconsideraton event, we concluded that Moruga is a VIE, and that the Company is the primary benefciary with a controlling fnancial interest. Based on this conclusion, Moruga was prospectvely consolidated on May 1, 2022.</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Use of estmates</w:t>
      </w:r>
    </w:p>
    <w:p>
      <w:pPr>
        <w:spacing w:after="0" w:line="158" w:lineRule="exact"/>
        <w:rPr>
          <w:sz w:val="20"/>
          <w:szCs w:val="20"/>
          <w:color w:val="auto"/>
        </w:rPr>
      </w:pPr>
    </w:p>
    <w:p>
      <w:pPr>
        <w:jc w:val="both"/>
        <w:ind w:right="80" w:firstLine="509"/>
        <w:spacing w:after="0" w:line="230" w:lineRule="auto"/>
        <w:rPr>
          <w:sz w:val="20"/>
          <w:szCs w:val="20"/>
          <w:color w:val="auto"/>
        </w:rPr>
      </w:pPr>
      <w:r>
        <w:rPr>
          <w:rFonts w:ascii="Calibri" w:cs="Calibri" w:eastAsia="Calibri" w:hAnsi="Calibri"/>
          <w:sz w:val="13"/>
          <w:szCs w:val="13"/>
          <w:color w:val="auto"/>
        </w:rPr>
        <w:t>The preparaton of the consolidated fnancial statements in conformity with U.S. GAAP requires management to make estmates and assumptons that afect the reported amounts of assets and liabilites and disclosure of contngent assets and liabilites at the date of the consolidated fnancial statements and the reported amounts of revenues and expenses during the reportng period. Actual results could difer from those estmates.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Cash, cash equivalents and restricted cash</w:t>
      </w:r>
    </w:p>
    <w:p>
      <w:pPr>
        <w:spacing w:after="0" w:line="169" w:lineRule="exact"/>
        <w:rPr>
          <w:sz w:val="20"/>
          <w:szCs w:val="20"/>
          <w:color w:val="auto"/>
        </w:rPr>
      </w:pPr>
    </w:p>
    <w:p>
      <w:pPr>
        <w:ind w:right="560" w:firstLine="509"/>
        <w:spacing w:after="0" w:line="225" w:lineRule="auto"/>
        <w:rPr>
          <w:sz w:val="20"/>
          <w:szCs w:val="20"/>
          <w:color w:val="auto"/>
        </w:rPr>
      </w:pPr>
      <w:r>
        <w:rPr>
          <w:rFonts w:ascii="Calibri" w:cs="Calibri" w:eastAsia="Calibri" w:hAnsi="Calibri"/>
          <w:sz w:val="13"/>
          <w:szCs w:val="13"/>
          <w:color w:val="auto"/>
        </w:rPr>
        <w:t>The Company considers all highly liquid instruments with an original maturity of three months or less and money market mutual funds to be cash equivalents. The carrying amounts of cash and cash equivalents approximate their fair values.</w:t>
      </w:r>
    </w:p>
    <w:p>
      <w:pPr>
        <w:spacing w:after="0" w:line="159"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Restricted cash represents cash and cash equivalents that are restricted to withdrawal or use as of the reportng date under contractual terms or regulatory requirements. As of October 31, 2022 and 2021, the restricted cash balance related to statutory requirements to support various programs at the Company’s farms. Restricted cash is included with cash and cash equivalents when reconciling the beginning-of-period and end-of-period total amounts shown on the statements of cash fows.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Trade accounts receivable</w:t>
      </w:r>
    </w:p>
    <w:p>
      <w:pPr>
        <w:spacing w:after="0" w:line="158" w:lineRule="exact"/>
        <w:rPr>
          <w:sz w:val="20"/>
          <w:szCs w:val="20"/>
          <w:color w:val="auto"/>
        </w:rPr>
      </w:pPr>
    </w:p>
    <w:p>
      <w:pPr>
        <w:ind w:right="220" w:firstLine="509"/>
        <w:spacing w:after="0" w:line="233" w:lineRule="auto"/>
        <w:rPr>
          <w:sz w:val="20"/>
          <w:szCs w:val="20"/>
          <w:color w:val="auto"/>
        </w:rPr>
      </w:pPr>
      <w:r>
        <w:rPr>
          <w:rFonts w:ascii="Calibri" w:cs="Calibri" w:eastAsia="Calibri" w:hAnsi="Calibri"/>
          <w:sz w:val="13"/>
          <w:szCs w:val="13"/>
          <w:color w:val="auto"/>
        </w:rPr>
        <w:t>Trade accounts receivable are reported at amounts due from customers, net of an allowance for doubtul accounts. The Company maintains an allowance for doubtul accounts to refect its estmate of the uncollectability of the trade accounts receivable based on past collecton history, the identfcaton of specifc potental customer risks, and other factors.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Grower and fruit advances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 Company makes advances to growers and foreign suppliers who supply fruit to the Company. Such advances reduce amounts otherwise due to the growers or suppliers for fruit sales.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Calibri" w:cs="Calibri" w:eastAsia="Calibri" w:hAnsi="Calibri"/>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2" w:right="359" w:bottom="1440" w:gutter="0" w:footer="0" w:header="0"/>
        </w:sectPr>
      </w:pPr>
    </w:p>
    <w:bookmarkStart w:id="49" w:name="page50"/>
    <w:bookmarkEnd w:id="49"/>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Other accounts receivable</w:t>
      </w:r>
    </w:p>
    <w:p>
      <w:pPr>
        <w:spacing w:after="0" w:line="158" w:lineRule="exact"/>
        <w:rPr>
          <w:sz w:val="20"/>
          <w:szCs w:val="20"/>
          <w:color w:val="auto"/>
        </w:rPr>
      </w:pPr>
    </w:p>
    <w:p>
      <w:pPr>
        <w:ind w:right="60" w:firstLine="509"/>
        <w:spacing w:after="0" w:line="225" w:lineRule="auto"/>
        <w:rPr>
          <w:sz w:val="20"/>
          <w:szCs w:val="20"/>
          <w:color w:val="auto"/>
        </w:rPr>
      </w:pPr>
      <w:r>
        <w:rPr>
          <w:rFonts w:ascii="Calibri" w:cs="Calibri" w:eastAsia="Calibri" w:hAnsi="Calibri"/>
          <w:sz w:val="13"/>
          <w:szCs w:val="13"/>
          <w:color w:val="auto"/>
        </w:rPr>
        <w:t>Other accounts receivable represent non-trade receivables and primarily consist of value-added taxes (“VAT”) collected on behalf of tax authorites. VAT included in other accounts receivable was $14.4 million and $11.0 million as of October 31, 2022 and 2021, respectvely.</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Inventory</w:t>
      </w:r>
    </w:p>
    <w:p>
      <w:pPr>
        <w:spacing w:after="0" w:line="158" w:lineRule="exact"/>
        <w:rPr>
          <w:sz w:val="20"/>
          <w:szCs w:val="20"/>
          <w:color w:val="auto"/>
        </w:rPr>
      </w:pPr>
    </w:p>
    <w:p>
      <w:pPr>
        <w:ind w:right="260" w:firstLine="509"/>
        <w:spacing w:after="0" w:line="225" w:lineRule="auto"/>
        <w:rPr>
          <w:sz w:val="20"/>
          <w:szCs w:val="20"/>
          <w:color w:val="auto"/>
        </w:rPr>
      </w:pPr>
      <w:r>
        <w:rPr>
          <w:rFonts w:ascii="Calibri" w:cs="Calibri" w:eastAsia="Calibri" w:hAnsi="Calibri"/>
          <w:sz w:val="13"/>
          <w:szCs w:val="13"/>
          <w:color w:val="auto"/>
        </w:rPr>
        <w:t>Inventories are recorded at the lower of cost or net realizable value using the frst-in, frst-out method for fnished goods and raw materials. Net realizable value is the estmated selling price in the ordinary course of business, less reasonably predictable costs of completon, disposal, and transportaton.</w:t>
      </w:r>
    </w:p>
    <w:p>
      <w:pPr>
        <w:spacing w:after="0" w:line="159" w:lineRule="exact"/>
        <w:rPr>
          <w:sz w:val="20"/>
          <w:szCs w:val="20"/>
          <w:color w:val="auto"/>
        </w:rPr>
      </w:pPr>
    </w:p>
    <w:p>
      <w:pPr>
        <w:ind w:right="360" w:firstLine="509"/>
        <w:spacing w:after="0" w:line="233" w:lineRule="auto"/>
        <w:rPr>
          <w:sz w:val="20"/>
          <w:szCs w:val="20"/>
          <w:color w:val="auto"/>
        </w:rPr>
      </w:pPr>
      <w:r>
        <w:rPr>
          <w:rFonts w:ascii="Calibri" w:cs="Calibri" w:eastAsia="Calibri" w:hAnsi="Calibri"/>
          <w:sz w:val="13"/>
          <w:szCs w:val="13"/>
          <w:color w:val="auto"/>
        </w:rPr>
        <w:t>Crop growing costs are valued at the lower of cost or net realizable value and are deferred and charged to cost of goods sold when the related crop is harvested and sold. The deferred crop growing costs included in inventory consist primarily of orchard maintenance costs such as cultvaton, irrigaton, fertlizaton, soil amendments, pest control and pruning.</w:t>
      </w:r>
    </w:p>
    <w:p>
      <w:pPr>
        <w:spacing w:after="0" w:line="159" w:lineRule="exact"/>
        <w:rPr>
          <w:sz w:val="20"/>
          <w:szCs w:val="20"/>
          <w:color w:val="auto"/>
        </w:rPr>
      </w:pPr>
    </w:p>
    <w:p>
      <w:pPr>
        <w:ind w:right="280" w:firstLine="509"/>
        <w:spacing w:after="0" w:line="230" w:lineRule="auto"/>
        <w:rPr>
          <w:sz w:val="20"/>
          <w:szCs w:val="20"/>
          <w:color w:val="auto"/>
        </w:rPr>
      </w:pPr>
      <w:r>
        <w:rPr>
          <w:rFonts w:ascii="Calibri" w:cs="Calibri" w:eastAsia="Calibri" w:hAnsi="Calibri"/>
          <w:sz w:val="13"/>
          <w:szCs w:val="13"/>
          <w:color w:val="auto"/>
        </w:rPr>
        <w:t>We assess the recoverability of inventories through an ongoing review of inventory levels in relaton to sales and forecasts and product marketng plans. When the inventory on hand, at the tme of review, exceeds the foreseeable demand, the value of inventory that is not expected to be sold is writen down. The amount of the write-down is the excess of historical cost over estmated net realizable value. Once established, these write-downs are considered permanent adjustments to the cost basis of the excess inventory.</w:t>
      </w:r>
    </w:p>
    <w:p>
      <w:pPr>
        <w:spacing w:after="0" w:line="159" w:lineRule="exact"/>
        <w:rPr>
          <w:sz w:val="20"/>
          <w:szCs w:val="20"/>
          <w:color w:val="auto"/>
        </w:rPr>
      </w:pPr>
    </w:p>
    <w:p>
      <w:pPr>
        <w:jc w:val="both"/>
        <w:ind w:right="100" w:firstLine="509"/>
        <w:spacing w:after="0" w:line="225" w:lineRule="auto"/>
        <w:rPr>
          <w:sz w:val="20"/>
          <w:szCs w:val="20"/>
          <w:color w:val="auto"/>
        </w:rPr>
      </w:pPr>
      <w:r>
        <w:rPr>
          <w:rFonts w:ascii="Calibri" w:cs="Calibri" w:eastAsia="Calibri" w:hAnsi="Calibri"/>
          <w:sz w:val="13"/>
          <w:szCs w:val="13"/>
          <w:color w:val="auto"/>
        </w:rPr>
        <w:t>The assessment of the recoverability of inventories and the amounts of any write-downs are based on currently available informaton and assumptons about future demand and market conditons. Demand for avocados and other fruit may fuctuate signifcantly over tme, and actual demand and market conditons may be more or less favorable than our projectons. In the event that actual demand is lower than originally projected, additonal inventory write-downs may be required.</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Property, plant and equipment, net</w:t>
      </w:r>
    </w:p>
    <w:p>
      <w:pPr>
        <w:spacing w:after="0" w:line="158" w:lineRule="exact"/>
        <w:rPr>
          <w:sz w:val="20"/>
          <w:szCs w:val="20"/>
          <w:color w:val="auto"/>
        </w:rPr>
      </w:pPr>
    </w:p>
    <w:p>
      <w:pPr>
        <w:ind w:right="100" w:firstLine="509"/>
        <w:spacing w:after="0" w:line="230" w:lineRule="auto"/>
        <w:rPr>
          <w:sz w:val="20"/>
          <w:szCs w:val="20"/>
          <w:color w:val="auto"/>
        </w:rPr>
      </w:pPr>
      <w:r>
        <w:rPr>
          <w:rFonts w:ascii="Calibri" w:cs="Calibri" w:eastAsia="Calibri" w:hAnsi="Calibri"/>
          <w:sz w:val="13"/>
          <w:szCs w:val="13"/>
          <w:color w:val="auto"/>
        </w:rPr>
        <w:t>Property, plant and equipment, net is stated at cost, net of accumulated depreciaton. Depreciaton is computed using the straight-line method using rates based upon the estmated useful lives of the related assets. Orchards, trees and bushes refer to avocado, mangos and blueberry plants, which accumulate plantng and development costs that are capitalized into their basis untl they become commercially productve, at which point the asset begins depreciatng, and future maintenance costs are expensed as incurred. If proceeds are obtained from sales of fruit before commercial producton begins, the net proceeds are applied to the capitalized cost of the trees. Plantng costs consist primarily of the costs to purchase and plant nursery stock. Development costs consist of cultvaton, pruning, irrigaton, labor, spraying and fertlizaton, and interest costs during the development period. Leased equipment and leasehold improvements meetng certain criteria are capitalized and amortzed over the shorter of the expected lease term or the useful life of the asset using the straight-line method.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26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2"/>
          </w:tcPr>
          <w:p>
            <w:pPr>
              <w:jc w:val="right"/>
              <w:ind w:right="383"/>
              <w:spacing w:after="0"/>
              <w:rPr>
                <w:sz w:val="20"/>
                <w:szCs w:val="20"/>
                <w:color w:val="auto"/>
              </w:rPr>
            </w:pPr>
            <w:r>
              <w:rPr>
                <w:rFonts w:ascii="Calibri" w:cs="Calibri" w:eastAsia="Calibri" w:hAnsi="Calibri"/>
                <w:sz w:val="11"/>
                <w:szCs w:val="11"/>
                <w:b w:val="1"/>
                <w:bCs w:val="1"/>
                <w:color w:val="auto"/>
              </w:rPr>
              <w:t>October 31,</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32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060" w:type="dxa"/>
            <w:vAlign w:val="bottom"/>
            <w:vMerge w:val="restart"/>
          </w:tcPr>
          <w:p>
            <w:pPr>
              <w:ind w:left="1640"/>
              <w:spacing w:after="0"/>
              <w:rPr>
                <w:sz w:val="20"/>
                <w:szCs w:val="20"/>
                <w:color w:val="auto"/>
              </w:rPr>
            </w:pPr>
            <w:r>
              <w:rPr>
                <w:rFonts w:ascii="Calibri" w:cs="Calibri" w:eastAsia="Calibri" w:hAnsi="Calibri"/>
                <w:sz w:val="11"/>
                <w:szCs w:val="11"/>
                <w:b w:val="1"/>
                <w:bCs w:val="1"/>
                <w:color w:val="auto"/>
              </w:rPr>
              <w:t>Useful lives</w:t>
            </w: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260" w:type="dxa"/>
            <w:vAlign w:val="bottom"/>
            <w:vMerge w:val="continue"/>
          </w:tcPr>
          <w:p>
            <w:pPr>
              <w:spacing w:after="0"/>
              <w:rPr>
                <w:sz w:val="10"/>
                <w:szCs w:val="10"/>
                <w:color w:val="auto"/>
              </w:rPr>
            </w:pPr>
          </w:p>
        </w:tc>
        <w:tc>
          <w:tcPr>
            <w:tcW w:w="50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2022</w:t>
            </w:r>
          </w:p>
        </w:tc>
        <w:tc>
          <w:tcPr>
            <w:tcW w:w="72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32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32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Land</w:t>
            </w:r>
          </w:p>
        </w:tc>
        <w:tc>
          <w:tcPr>
            <w:tcW w:w="5060" w:type="dxa"/>
            <w:vAlign w:val="bottom"/>
            <w:tcBorders>
              <w:bottom w:val="single" w:sz="8" w:color="DBDBDB"/>
            </w:tcBorders>
            <w:shd w:val="clear" w:color="auto" w:fill="DBDBDB"/>
          </w:tcPr>
          <w:p>
            <w:pPr>
              <w:spacing w:after="0"/>
              <w:rPr>
                <w:sz w:val="13"/>
                <w:szCs w:val="13"/>
                <w:color w:val="auto"/>
              </w:rPr>
            </w:pP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141.4</w:t>
            </w:r>
          </w:p>
        </w:tc>
        <w:tc>
          <w:tcPr>
            <w:tcW w:w="72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128.8</w:t>
            </w:r>
          </w:p>
        </w:tc>
        <w:tc>
          <w:tcPr>
            <w:tcW w:w="0" w:type="dxa"/>
            <w:vAlign w:val="bottom"/>
          </w:tcPr>
          <w:p>
            <w:pPr>
              <w:spacing w:after="0"/>
              <w:rPr>
                <w:sz w:val="1"/>
                <w:szCs w:val="1"/>
                <w:color w:val="auto"/>
              </w:rPr>
            </w:pPr>
          </w:p>
        </w:tc>
      </w:tr>
      <w:tr>
        <w:trPr>
          <w:trHeight w:val="135"/>
        </w:trPr>
        <w:tc>
          <w:tcPr>
            <w:tcW w:w="3260" w:type="dxa"/>
            <w:vAlign w:val="bottom"/>
          </w:tcPr>
          <w:p>
            <w:pPr>
              <w:ind w:left="20"/>
              <w:spacing w:after="0"/>
              <w:rPr>
                <w:sz w:val="20"/>
                <w:szCs w:val="20"/>
                <w:color w:val="auto"/>
              </w:rPr>
            </w:pPr>
            <w:r>
              <w:rPr>
                <w:rFonts w:ascii="Calibri" w:cs="Calibri" w:eastAsia="Calibri" w:hAnsi="Calibri"/>
                <w:sz w:val="11"/>
                <w:szCs w:val="11"/>
                <w:color w:val="auto"/>
              </w:rPr>
              <w:t>Orchards/trees/bushes</w:t>
            </w:r>
          </w:p>
        </w:tc>
        <w:tc>
          <w:tcPr>
            <w:tcW w:w="5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260" w:type="dxa"/>
            <w:vAlign w:val="bottom"/>
          </w:tcPr>
          <w:p>
            <w:pPr>
              <w:spacing w:after="0"/>
              <w:rPr>
                <w:sz w:val="13"/>
                <w:szCs w:val="13"/>
                <w:color w:val="auto"/>
              </w:rPr>
            </w:pPr>
          </w:p>
        </w:tc>
        <w:tc>
          <w:tcPr>
            <w:tcW w:w="5060" w:type="dxa"/>
            <w:vAlign w:val="bottom"/>
          </w:tcPr>
          <w:p>
            <w:pPr>
              <w:ind w:left="1640"/>
              <w:spacing w:after="0"/>
              <w:rPr>
                <w:sz w:val="20"/>
                <w:szCs w:val="20"/>
                <w:color w:val="auto"/>
              </w:rPr>
            </w:pPr>
            <w:r>
              <w:rPr>
                <w:rFonts w:ascii="Calibri" w:cs="Calibri" w:eastAsia="Calibri" w:hAnsi="Calibri"/>
                <w:sz w:val="11"/>
                <w:szCs w:val="11"/>
                <w:color w:val="auto"/>
              </w:rPr>
              <w:t>7 to 25 years</w:t>
            </w:r>
          </w:p>
        </w:tc>
        <w:tc>
          <w:tcPr>
            <w:tcW w:w="540" w:type="dxa"/>
            <w:vAlign w:val="bottom"/>
          </w:tcPr>
          <w:p>
            <w:pPr>
              <w:spacing w:after="0"/>
              <w:rPr>
                <w:sz w:val="13"/>
                <w:szCs w:val="13"/>
                <w:color w:val="auto"/>
              </w:rPr>
            </w:pPr>
          </w:p>
        </w:tc>
        <w:tc>
          <w:tcPr>
            <w:tcW w:w="940" w:type="dxa"/>
            <w:vAlign w:val="bottom"/>
          </w:tcPr>
          <w:p>
            <w:pPr>
              <w:jc w:val="right"/>
              <w:ind w:right="123"/>
              <w:spacing w:after="0"/>
              <w:rPr>
                <w:sz w:val="20"/>
                <w:szCs w:val="20"/>
                <w:color w:val="auto"/>
              </w:rPr>
            </w:pPr>
            <w:r>
              <w:rPr>
                <w:rFonts w:ascii="Calibri" w:cs="Calibri" w:eastAsia="Calibri" w:hAnsi="Calibri"/>
                <w:sz w:val="11"/>
                <w:szCs w:val="11"/>
                <w:color w:val="auto"/>
              </w:rPr>
              <w:t>102.0</w:t>
            </w:r>
          </w:p>
        </w:tc>
        <w:tc>
          <w:tcPr>
            <w:tcW w:w="7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alibri" w:cs="Calibri" w:eastAsia="Calibri" w:hAnsi="Calibri"/>
                <w:sz w:val="11"/>
                <w:szCs w:val="11"/>
                <w:color w:val="auto"/>
              </w:rPr>
              <w:t>62.6</w:t>
            </w:r>
          </w:p>
        </w:tc>
        <w:tc>
          <w:tcPr>
            <w:tcW w:w="0" w:type="dxa"/>
            <w:vAlign w:val="bottom"/>
          </w:tcPr>
          <w:p>
            <w:pPr>
              <w:spacing w:after="0"/>
              <w:rPr>
                <w:sz w:val="1"/>
                <w:szCs w:val="1"/>
                <w:color w:val="auto"/>
              </w:rPr>
            </w:pPr>
          </w:p>
        </w:tc>
      </w:tr>
      <w:tr>
        <w:trPr>
          <w:trHeight w:val="36"/>
        </w:trPr>
        <w:tc>
          <w:tcPr>
            <w:tcW w:w="3260" w:type="dxa"/>
            <w:vAlign w:val="bottom"/>
          </w:tcPr>
          <w:p>
            <w:pPr>
              <w:spacing w:after="0"/>
              <w:rPr>
                <w:sz w:val="3"/>
                <w:szCs w:val="3"/>
                <w:color w:val="auto"/>
              </w:rPr>
            </w:pPr>
          </w:p>
        </w:tc>
        <w:tc>
          <w:tcPr>
            <w:tcW w:w="5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32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Buildings and improvements</w:t>
            </w:r>
          </w:p>
        </w:tc>
        <w:tc>
          <w:tcPr>
            <w:tcW w:w="5060" w:type="dxa"/>
            <w:vAlign w:val="bottom"/>
            <w:tcBorders>
              <w:bottom w:val="single" w:sz="8" w:color="DBDBDB"/>
            </w:tcBorders>
            <w:shd w:val="clear" w:color="auto" w:fill="DBDBDB"/>
          </w:tcPr>
          <w:p>
            <w:pPr>
              <w:ind w:left="1640"/>
              <w:spacing w:after="0"/>
              <w:rPr>
                <w:sz w:val="20"/>
                <w:szCs w:val="20"/>
                <w:color w:val="auto"/>
              </w:rPr>
            </w:pPr>
            <w:r>
              <w:rPr>
                <w:rFonts w:ascii="Calibri" w:cs="Calibri" w:eastAsia="Calibri" w:hAnsi="Calibri"/>
                <w:sz w:val="11"/>
                <w:szCs w:val="11"/>
                <w:color w:val="auto"/>
              </w:rPr>
              <w:t>20 to 40 years</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120.1</w:t>
            </w:r>
          </w:p>
        </w:tc>
        <w:tc>
          <w:tcPr>
            <w:tcW w:w="72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110.9</w:t>
            </w:r>
          </w:p>
        </w:tc>
        <w:tc>
          <w:tcPr>
            <w:tcW w:w="0" w:type="dxa"/>
            <w:vAlign w:val="bottom"/>
          </w:tcPr>
          <w:p>
            <w:pPr>
              <w:spacing w:after="0"/>
              <w:rPr>
                <w:sz w:val="1"/>
                <w:szCs w:val="1"/>
                <w:color w:val="auto"/>
              </w:rPr>
            </w:pPr>
          </w:p>
        </w:tc>
      </w:tr>
      <w:tr>
        <w:trPr>
          <w:trHeight w:val="135"/>
        </w:trPr>
        <w:tc>
          <w:tcPr>
            <w:tcW w:w="3260" w:type="dxa"/>
            <w:vAlign w:val="bottom"/>
          </w:tcPr>
          <w:p>
            <w:pPr>
              <w:ind w:left="20"/>
              <w:spacing w:after="0"/>
              <w:rPr>
                <w:sz w:val="20"/>
                <w:szCs w:val="20"/>
                <w:color w:val="auto"/>
              </w:rPr>
            </w:pPr>
            <w:r>
              <w:rPr>
                <w:rFonts w:ascii="Calibri" w:cs="Calibri" w:eastAsia="Calibri" w:hAnsi="Calibri"/>
                <w:sz w:val="11"/>
                <w:szCs w:val="11"/>
                <w:color w:val="auto"/>
              </w:rPr>
              <w:t>Equipment</w:t>
            </w:r>
          </w:p>
        </w:tc>
        <w:tc>
          <w:tcPr>
            <w:tcW w:w="5060" w:type="dxa"/>
            <w:vAlign w:val="bottom"/>
          </w:tcPr>
          <w:p>
            <w:pPr>
              <w:ind w:left="1640"/>
              <w:spacing w:after="0"/>
              <w:rPr>
                <w:sz w:val="20"/>
                <w:szCs w:val="20"/>
                <w:color w:val="auto"/>
              </w:rPr>
            </w:pPr>
            <w:r>
              <w:rPr>
                <w:rFonts w:ascii="Calibri" w:cs="Calibri" w:eastAsia="Calibri" w:hAnsi="Calibri"/>
                <w:sz w:val="11"/>
                <w:szCs w:val="11"/>
                <w:color w:val="auto"/>
              </w:rPr>
              <w:t>3 to 20 years</w:t>
            </w:r>
          </w:p>
        </w:tc>
        <w:tc>
          <w:tcPr>
            <w:tcW w:w="540" w:type="dxa"/>
            <w:vAlign w:val="bottom"/>
          </w:tcPr>
          <w:p>
            <w:pPr>
              <w:spacing w:after="0"/>
              <w:rPr>
                <w:sz w:val="11"/>
                <w:szCs w:val="11"/>
                <w:color w:val="auto"/>
              </w:rPr>
            </w:pPr>
          </w:p>
        </w:tc>
        <w:tc>
          <w:tcPr>
            <w:tcW w:w="940" w:type="dxa"/>
            <w:vAlign w:val="bottom"/>
          </w:tcPr>
          <w:p>
            <w:pPr>
              <w:jc w:val="right"/>
              <w:ind w:right="123"/>
              <w:spacing w:after="0"/>
              <w:rPr>
                <w:sz w:val="20"/>
                <w:szCs w:val="20"/>
                <w:color w:val="auto"/>
              </w:rPr>
            </w:pPr>
            <w:r>
              <w:rPr>
                <w:rFonts w:ascii="Calibri" w:cs="Calibri" w:eastAsia="Calibri" w:hAnsi="Calibri"/>
                <w:sz w:val="11"/>
                <w:szCs w:val="11"/>
                <w:color w:val="auto"/>
              </w:rPr>
              <w:t>201.1</w:t>
            </w:r>
          </w:p>
        </w:tc>
        <w:tc>
          <w:tcPr>
            <w:tcW w:w="7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alibri" w:cs="Calibri" w:eastAsia="Calibri" w:hAnsi="Calibri"/>
                <w:sz w:val="11"/>
                <w:szCs w:val="11"/>
                <w:color w:val="auto"/>
              </w:rPr>
              <w:t>177.2</w:t>
            </w:r>
          </w:p>
        </w:tc>
        <w:tc>
          <w:tcPr>
            <w:tcW w:w="0" w:type="dxa"/>
            <w:vAlign w:val="bottom"/>
          </w:tcPr>
          <w:p>
            <w:pPr>
              <w:spacing w:after="0"/>
              <w:rPr>
                <w:sz w:val="1"/>
                <w:szCs w:val="1"/>
                <w:color w:val="auto"/>
              </w:rPr>
            </w:pPr>
          </w:p>
        </w:tc>
      </w:tr>
      <w:tr>
        <w:trPr>
          <w:trHeight w:val="46"/>
        </w:trPr>
        <w:tc>
          <w:tcPr>
            <w:tcW w:w="3260" w:type="dxa"/>
            <w:vAlign w:val="bottom"/>
          </w:tcPr>
          <w:p>
            <w:pPr>
              <w:spacing w:after="0"/>
              <w:rPr>
                <w:sz w:val="3"/>
                <w:szCs w:val="3"/>
                <w:color w:val="auto"/>
              </w:rPr>
            </w:pPr>
          </w:p>
        </w:tc>
        <w:tc>
          <w:tcPr>
            <w:tcW w:w="5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2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Constructon-in-progress</w:t>
            </w:r>
          </w:p>
        </w:tc>
        <w:tc>
          <w:tcPr>
            <w:tcW w:w="506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47.0</w:t>
            </w:r>
          </w:p>
        </w:tc>
        <w:tc>
          <w:tcPr>
            <w:tcW w:w="720" w:type="dxa"/>
            <w:vAlign w:val="bottom"/>
            <w:tcBorders>
              <w:bottom w:val="single" w:sz="8" w:color="DBDBDB"/>
            </w:tcBorders>
            <w:shd w:val="clear" w:color="auto" w:fill="DBDBDB"/>
          </w:tcPr>
          <w:p>
            <w:pPr>
              <w:spacing w:after="0"/>
              <w:rPr>
                <w:sz w:val="15"/>
                <w:szCs w:val="15"/>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43.2</w:t>
            </w:r>
          </w:p>
        </w:tc>
        <w:tc>
          <w:tcPr>
            <w:tcW w:w="0" w:type="dxa"/>
            <w:vAlign w:val="bottom"/>
          </w:tcPr>
          <w:p>
            <w:pPr>
              <w:spacing w:after="0"/>
              <w:rPr>
                <w:sz w:val="1"/>
                <w:szCs w:val="1"/>
                <w:color w:val="auto"/>
              </w:rPr>
            </w:pPr>
          </w:p>
        </w:tc>
      </w:tr>
      <w:tr>
        <w:trPr>
          <w:trHeight w:val="125"/>
        </w:trPr>
        <w:tc>
          <w:tcPr>
            <w:tcW w:w="32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Property, plant and equipment</w:t>
            </w:r>
          </w:p>
        </w:tc>
        <w:tc>
          <w:tcPr>
            <w:tcW w:w="50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611.6</w:t>
            </w:r>
          </w:p>
        </w:tc>
        <w:tc>
          <w:tcPr>
            <w:tcW w:w="72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522.8</w:t>
            </w:r>
          </w:p>
        </w:tc>
        <w:tc>
          <w:tcPr>
            <w:tcW w:w="0" w:type="dxa"/>
            <w:vAlign w:val="bottom"/>
          </w:tcPr>
          <w:p>
            <w:pPr>
              <w:spacing w:after="0"/>
              <w:rPr>
                <w:sz w:val="1"/>
                <w:szCs w:val="1"/>
                <w:color w:val="auto"/>
              </w:rPr>
            </w:pPr>
          </w:p>
        </w:tc>
      </w:tr>
      <w:tr>
        <w:trPr>
          <w:trHeight w:val="46"/>
        </w:trPr>
        <w:tc>
          <w:tcPr>
            <w:tcW w:w="3260" w:type="dxa"/>
            <w:vAlign w:val="bottom"/>
          </w:tcPr>
          <w:p>
            <w:pPr>
              <w:spacing w:after="0"/>
              <w:rPr>
                <w:sz w:val="3"/>
                <w:szCs w:val="3"/>
                <w:color w:val="auto"/>
              </w:rPr>
            </w:pPr>
          </w:p>
        </w:tc>
        <w:tc>
          <w:tcPr>
            <w:tcW w:w="5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2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Accumulated depreciaton</w:t>
            </w:r>
          </w:p>
        </w:tc>
        <w:tc>
          <w:tcPr>
            <w:tcW w:w="506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(121.9)</w:t>
            </w:r>
          </w:p>
        </w:tc>
        <w:tc>
          <w:tcPr>
            <w:tcW w:w="720" w:type="dxa"/>
            <w:vAlign w:val="bottom"/>
            <w:tcBorders>
              <w:bottom w:val="single" w:sz="8" w:color="DBDBDB"/>
            </w:tcBorders>
            <w:shd w:val="clear" w:color="auto" w:fill="DBDBDB"/>
          </w:tcPr>
          <w:p>
            <w:pPr>
              <w:spacing w:after="0"/>
              <w:rPr>
                <w:sz w:val="15"/>
                <w:szCs w:val="15"/>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(98.6)</w:t>
            </w:r>
          </w:p>
        </w:tc>
        <w:tc>
          <w:tcPr>
            <w:tcW w:w="0" w:type="dxa"/>
            <w:vAlign w:val="bottom"/>
          </w:tcPr>
          <w:p>
            <w:pPr>
              <w:spacing w:after="0"/>
              <w:rPr>
                <w:sz w:val="1"/>
                <w:szCs w:val="1"/>
                <w:color w:val="auto"/>
              </w:rPr>
            </w:pPr>
          </w:p>
        </w:tc>
      </w:tr>
      <w:tr>
        <w:trPr>
          <w:trHeight w:val="125"/>
        </w:trPr>
        <w:tc>
          <w:tcPr>
            <w:tcW w:w="326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Property, plant and equipment, net</w:t>
            </w:r>
          </w:p>
        </w:tc>
        <w:tc>
          <w:tcPr>
            <w:tcW w:w="50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489.7</w:t>
            </w:r>
          </w:p>
        </w:tc>
        <w:tc>
          <w:tcPr>
            <w:tcW w:w="72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424.2</w:t>
            </w:r>
          </w:p>
        </w:tc>
        <w:tc>
          <w:tcPr>
            <w:tcW w:w="0" w:type="dxa"/>
            <w:vAlign w:val="bottom"/>
          </w:tcPr>
          <w:p>
            <w:pPr>
              <w:spacing w:after="0"/>
              <w:rPr>
                <w:sz w:val="1"/>
                <w:szCs w:val="1"/>
                <w:color w:val="auto"/>
              </w:rPr>
            </w:pPr>
          </w:p>
        </w:tc>
      </w:tr>
      <w:tr>
        <w:trPr>
          <w:trHeight w:val="46"/>
        </w:trPr>
        <w:tc>
          <w:tcPr>
            <w:tcW w:w="32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Depreciaton expense of property, plant and equipment, net was $24.0 million, $20.4 million, and $18.1 million for the years ended October 31, 2022, 2021 and 2020, respectvely.</w:t>
      </w:r>
    </w:p>
    <w:p>
      <w:pPr>
        <w:spacing w:after="0" w:line="169" w:lineRule="exact"/>
        <w:rPr>
          <w:sz w:val="20"/>
          <w:szCs w:val="20"/>
          <w:color w:val="auto"/>
        </w:rPr>
      </w:pPr>
    </w:p>
    <w:p>
      <w:pPr>
        <w:ind w:right="40" w:firstLine="509"/>
        <w:spacing w:after="0" w:line="225" w:lineRule="auto"/>
        <w:rPr>
          <w:sz w:val="20"/>
          <w:szCs w:val="20"/>
          <w:color w:val="auto"/>
        </w:rPr>
      </w:pPr>
      <w:r>
        <w:rPr>
          <w:rFonts w:ascii="Calibri" w:cs="Calibri" w:eastAsia="Calibri" w:hAnsi="Calibri"/>
          <w:sz w:val="13"/>
          <w:szCs w:val="13"/>
          <w:color w:val="auto"/>
        </w:rPr>
        <w:t>As of October 31, 2021, $2.7 million of property, plant and equipment, net was held for sale and classifed in prepaid and other current assets in the consolidated balance sheets, and was sold during fscal year 2022 for $2.9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0" w:name="page51"/>
    <w:bookmarkEnd w:id="50"/>
    <w:p>
      <w:pPr>
        <w:jc w:val="center"/>
        <w:ind w:right="-19"/>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Farming costs for nonproductve orchards</w:t>
      </w:r>
    </w:p>
    <w:p>
      <w:pPr>
        <w:spacing w:after="0" w:line="158" w:lineRule="exact"/>
        <w:rPr>
          <w:sz w:val="20"/>
          <w:szCs w:val="20"/>
          <w:color w:val="auto"/>
        </w:rPr>
      </w:pPr>
    </w:p>
    <w:p>
      <w:pPr>
        <w:jc w:val="both"/>
        <w:ind w:right="40" w:firstLine="509"/>
        <w:spacing w:after="0" w:line="225" w:lineRule="auto"/>
        <w:rPr>
          <w:sz w:val="20"/>
          <w:szCs w:val="20"/>
          <w:color w:val="auto"/>
        </w:rPr>
      </w:pPr>
      <w:r>
        <w:rPr>
          <w:rFonts w:ascii="Calibri" w:cs="Calibri" w:eastAsia="Calibri" w:hAnsi="Calibri"/>
          <w:sz w:val="13"/>
          <w:szCs w:val="13"/>
          <w:color w:val="auto"/>
        </w:rPr>
        <w:t>We lease land for the development of new orchards. During the development period, these costs are referred to as farming costs for nonproductve orchards and are expensed as incurred, and included in cost of sales in the consolidated statements of (loss) income.</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Leases</w:t>
      </w:r>
    </w:p>
    <w:p>
      <w:pPr>
        <w:spacing w:after="0" w:line="158" w:lineRule="exact"/>
        <w:rPr>
          <w:sz w:val="20"/>
          <w:szCs w:val="20"/>
          <w:color w:val="auto"/>
        </w:rPr>
      </w:pPr>
    </w:p>
    <w:p>
      <w:pPr>
        <w:jc w:val="both"/>
        <w:ind w:right="40" w:firstLine="509"/>
        <w:spacing w:after="0" w:line="230" w:lineRule="auto"/>
        <w:rPr>
          <w:sz w:val="20"/>
          <w:szCs w:val="20"/>
          <w:color w:val="auto"/>
        </w:rPr>
      </w:pPr>
      <w:r>
        <w:rPr>
          <w:rFonts w:ascii="Calibri" w:cs="Calibri" w:eastAsia="Calibri" w:hAnsi="Calibri"/>
          <w:sz w:val="13"/>
          <w:szCs w:val="13"/>
          <w:color w:val="auto"/>
        </w:rPr>
        <w:t>We determine if an arrangement is or contains a lease at incepton or modifcaton of the arrangement. An arrangement is or contains a lease if there are identfed assets and the right to control the use of an identfed asset is conveyed for a period in exchange for consideraton. Control over the use of the identfed assets means the lessee has both the right to obtain substantally all of the economic benefts from the use of the asset and the right to direct the use of the asset.</w:t>
      </w:r>
    </w:p>
    <w:p>
      <w:pPr>
        <w:spacing w:after="0" w:line="159" w:lineRule="exact"/>
        <w:rPr>
          <w:sz w:val="20"/>
          <w:szCs w:val="20"/>
          <w:color w:val="auto"/>
        </w:rPr>
      </w:pPr>
    </w:p>
    <w:p>
      <w:pPr>
        <w:ind w:right="60" w:firstLine="509"/>
        <w:spacing w:after="0" w:line="230" w:lineRule="auto"/>
        <w:rPr>
          <w:sz w:val="20"/>
          <w:szCs w:val="20"/>
          <w:color w:val="auto"/>
        </w:rPr>
      </w:pPr>
      <w:r>
        <w:rPr>
          <w:rFonts w:ascii="Calibri" w:cs="Calibri" w:eastAsia="Calibri" w:hAnsi="Calibri"/>
          <w:sz w:val="13"/>
          <w:szCs w:val="13"/>
          <w:color w:val="auto"/>
        </w:rPr>
        <w:t>For leases where we are the lessee, we recognize the right-of-use (“ROU”) assets and lease liabilites for all leases other than those with a term of 12 months or less, as we have elected to apply the short-term lease recogniton exempton. ROU assets represent our right to use an underlying asset for the lease term. Lease liabilites represent our obligaton to make lease payments arising from the lease. ROU assets and lease liabilites are classifed and recognized at the commencement date of a lease. Lease liabilites are measured based on the present value of fxed lease payments over the lease term. ROU assets consist of: (i) inital measurement of the lease liability; (ii) lease payments made to the lessor at or before the commencement date less any lease incentves received; and (iii) inital direct costs incurred by us. Lease payments may vary because of changes in facts or circumstances occurring afer the commencement, including changes in infaton indices. Variable lease payments are excluded from the measurement of ROU assets and lease liabilites and are recognized in the period in which the obligaton for those payments is incurred.</w:t>
      </w:r>
    </w:p>
    <w:p>
      <w:pPr>
        <w:spacing w:after="0" w:line="159" w:lineRule="exact"/>
        <w:rPr>
          <w:sz w:val="20"/>
          <w:szCs w:val="20"/>
          <w:color w:val="auto"/>
        </w:rPr>
      </w:pPr>
    </w:p>
    <w:p>
      <w:pPr>
        <w:ind w:right="200" w:firstLine="509"/>
        <w:spacing w:after="0" w:line="225" w:lineRule="auto"/>
        <w:rPr>
          <w:sz w:val="20"/>
          <w:szCs w:val="20"/>
          <w:color w:val="auto"/>
        </w:rPr>
      </w:pPr>
      <w:r>
        <w:rPr>
          <w:rFonts w:ascii="Calibri" w:cs="Calibri" w:eastAsia="Calibri" w:hAnsi="Calibri"/>
          <w:sz w:val="13"/>
          <w:szCs w:val="13"/>
          <w:color w:val="auto"/>
        </w:rPr>
        <w:t>The discount rate used to determine the present value of the lease payments is the rate of interest that the Company would have to pay to borrow on a collateralized basis over a similar term for an amount equal to the lease payments in a similar economic environment.</w:t>
      </w:r>
    </w:p>
    <w:p>
      <w:pPr>
        <w:spacing w:after="0" w:line="159" w:lineRule="exact"/>
        <w:rPr>
          <w:sz w:val="20"/>
          <w:szCs w:val="20"/>
          <w:color w:val="auto"/>
        </w:rPr>
      </w:pPr>
    </w:p>
    <w:p>
      <w:pPr>
        <w:ind w:right="320" w:firstLine="509"/>
        <w:spacing w:after="0" w:line="265" w:lineRule="auto"/>
        <w:rPr>
          <w:sz w:val="20"/>
          <w:szCs w:val="20"/>
          <w:color w:val="auto"/>
        </w:rPr>
      </w:pPr>
      <w:r>
        <w:rPr>
          <w:rFonts w:ascii="Calibri" w:cs="Calibri" w:eastAsia="Calibri" w:hAnsi="Calibri"/>
          <w:sz w:val="12"/>
          <w:szCs w:val="12"/>
          <w:color w:val="auto"/>
        </w:rPr>
        <w:t>For income statement purposes, we recognize straight-line rent expense for operatng leases. For fnance leases, we recognize interest expense associated with the lease liability and depreciaton expense associated with the ROU asset. For ROU assets held under fnance leases and leasehold improvements, the estmated useful lives are limited to the shorter of the useful life of the asset or the term of the lease.</w:t>
      </w:r>
    </w:p>
    <w:p>
      <w:pPr>
        <w:spacing w:after="0" w:line="143" w:lineRule="exact"/>
        <w:rPr>
          <w:sz w:val="20"/>
          <w:szCs w:val="20"/>
          <w:color w:val="auto"/>
        </w:rPr>
      </w:pPr>
    </w:p>
    <w:p>
      <w:pPr>
        <w:ind w:right="20" w:firstLine="509"/>
        <w:spacing w:after="0" w:line="225" w:lineRule="auto"/>
        <w:rPr>
          <w:sz w:val="20"/>
          <w:szCs w:val="20"/>
          <w:color w:val="auto"/>
        </w:rPr>
      </w:pPr>
      <w:r>
        <w:rPr>
          <w:rFonts w:ascii="Calibri" w:cs="Calibri" w:eastAsia="Calibri" w:hAnsi="Calibri"/>
          <w:sz w:val="13"/>
          <w:szCs w:val="13"/>
          <w:color w:val="auto"/>
        </w:rPr>
        <w:t>Many of our lease arrangements include optons to extend the lease, which we do not include in the lease term unless we are reasonably certain to exercise it. We have lease arrangements with lease and non-lease components. From a lessee perspectve, we have elected to apply the practcal expedient to combine lease and related non-lease components, for all classes of underlying assets, and account for the combined contract as a lease component.</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Equity method investees</w:t>
      </w:r>
    </w:p>
    <w:p>
      <w:pPr>
        <w:spacing w:after="0" w:line="158"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We maintain investments in other fruit growers, packers and distributors. These investments are accounted for under the equity method of accountng when we have the ability to exercise signifcant infuence, but not control, over the investee. Signifcant infuence generally exists when we have an ownership interest representng between 20% and 50% of the votng stock of the investee. Under the equity method of accountng, investments are stated at inital cost and are adjusted for subsequent additonal investments and our proportonate share of earnings or losses and distributons.</w:t>
      </w:r>
    </w:p>
    <w:p>
      <w:pPr>
        <w:spacing w:after="0" w:line="159" w:lineRule="exact"/>
        <w:rPr>
          <w:sz w:val="20"/>
          <w:szCs w:val="20"/>
          <w:color w:val="auto"/>
        </w:rPr>
      </w:pPr>
    </w:p>
    <w:p>
      <w:pPr>
        <w:ind w:right="20" w:firstLine="509"/>
        <w:spacing w:after="0" w:line="225" w:lineRule="auto"/>
        <w:rPr>
          <w:sz w:val="20"/>
          <w:szCs w:val="20"/>
          <w:color w:val="auto"/>
        </w:rPr>
      </w:pPr>
      <w:r>
        <w:rPr>
          <w:rFonts w:ascii="Calibri" w:cs="Calibri" w:eastAsia="Calibri" w:hAnsi="Calibri"/>
          <w:sz w:val="13"/>
          <w:szCs w:val="13"/>
          <w:color w:val="auto"/>
        </w:rPr>
        <w:t>We review our investments for other-than temporary-impairment (“OTTI”) on a quarterly basis, or earlier if indicators of impairment arise. If an impairment of an equity method investment is determined to be other than temporary, we would record OTTI sufcient to reduce the investment’s carrying value to its fair value, which results in a new cost basis in the investment. There was no OTTI identfed in the years ended October 31, 2022 and 2021 that would have required us to test for impairment.</w:t>
      </w:r>
    </w:p>
    <w:p>
      <w:pPr>
        <w:spacing w:after="0" w:line="158" w:lineRule="exact"/>
        <w:rPr>
          <w:sz w:val="20"/>
          <w:szCs w:val="20"/>
          <w:color w:val="auto"/>
        </w:rPr>
      </w:pPr>
    </w:p>
    <w:p>
      <w:pPr>
        <w:ind w:right="20" w:firstLine="509"/>
        <w:spacing w:after="0" w:line="231" w:lineRule="auto"/>
        <w:rPr>
          <w:sz w:val="20"/>
          <w:szCs w:val="20"/>
          <w:color w:val="auto"/>
        </w:rPr>
      </w:pPr>
      <w:r>
        <w:rPr>
          <w:rFonts w:ascii="Calibri" w:cs="Calibri" w:eastAsia="Calibri" w:hAnsi="Calibri"/>
          <w:sz w:val="13"/>
          <w:szCs w:val="13"/>
          <w:color w:val="auto"/>
        </w:rPr>
        <w:t>During fscal year 2020, industry-wide producton informaton regarding the 2019-2020 blueberry harvest in Peru became available, indicatng that there is greater competton and expansion by compettors than what we were previously expectng. We believed that the increase in supply due to expansion would result in a reducton in pricing over the long-term. As a result of this factor, among others, management lowered its long-term revenue and proftability forecasts of Moruga during the second quarter of 2020 and concluded that the reducton in the forecasted revenues was an indicator of impairment. As a result, management tested its investment in Moruga for impairment and concluded that the estmated fair value of the investment in Moruga was less than the carrying value of the investment. Due to the change in long-term pricing and revenue expectatons, management concluded that the impairment is other-than-temporary and recorded an impairment charge of $21.2 million in the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1" w:name="page52"/>
    <w:bookmarkEnd w:id="51"/>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Long-lived assets</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The Company evaluates its long-lived assets for impairment whenever events or changes in circumstances indicate that the carrying amount of any such asset may not be recoverable. Long-lived assets are assessed for impairment by comparing the carrying amount of an asset to future undiscounted net cash fows expected to be generated from the use of the asset and its eventual dispositon. If the future undiscounted net cash fows are less than the carrying amount of the asset being tested, an impairment is recorded for the diference between the carrying amount of the asset and the estmated fair value of the asset. The estmate of undiscounted cash fows is based upon, among other things, certain assumptons about future operatng performance, growth rates and other factors. Estmates of undiscounted cash fows may difer from actual cash fows due to, among other things, technological changes, economic conditons, changes to the business model or changes in operatng performance. In the fourth quarter of 2022, the Company determined that there was an impairment indicator associated with our Peruvian farming operatons asset group, however the undiscounted cash fows of the asset group exceeded its carrying value. For fscal years 2021 and 2020, we did not identfy any indicators of impairment that would have required the Company to test its long-lived assets for impairment.</w:t>
      </w:r>
    </w:p>
    <w:p>
      <w:pPr>
        <w:spacing w:after="0" w:line="172"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Goodwill</w:t>
      </w:r>
    </w:p>
    <w:p>
      <w:pPr>
        <w:spacing w:after="0" w:line="158" w:lineRule="exact"/>
        <w:rPr>
          <w:sz w:val="20"/>
          <w:szCs w:val="20"/>
          <w:color w:val="auto"/>
        </w:rPr>
      </w:pPr>
    </w:p>
    <w:p>
      <w:pPr>
        <w:ind w:right="20" w:firstLine="509"/>
        <w:spacing w:after="0" w:line="249" w:lineRule="auto"/>
        <w:rPr>
          <w:sz w:val="20"/>
          <w:szCs w:val="20"/>
          <w:color w:val="auto"/>
        </w:rPr>
      </w:pPr>
      <w:r>
        <w:rPr>
          <w:rFonts w:ascii="Calibri" w:cs="Calibri" w:eastAsia="Calibri" w:hAnsi="Calibri"/>
          <w:sz w:val="12"/>
          <w:szCs w:val="12"/>
          <w:color w:val="auto"/>
        </w:rPr>
        <w:t>Our goodwill represents the excess of the purchase price of business combinatons over the fair value of the net assets acquired. Goodwill impairment testng requires signifcant judgment and management estmates, including, but not limited to, the determinaton of (i) the number of reportng units, (ii) the goodwill and other assets and liabilites to be allocated to the reportng units and (iii) the fair values of the reportng units. The estmates and assumptons described above, along with other factors such as discount rates, will signifcantly afect the outcome of the impairment tests and the amounts of any resultng impairment losses. We perform a qualitatve assessment of goodwill for impairment on an annual basis during the fourth quarter of each year, and between annual tests whenever events or changes in circumstances indicate that the carrying amount may not be recoverable. If qualitatve factors were to indicate that it is more-likely-than-not that the fair value of the reportng unit is less than its carrying value, we would then perform a quanttatve assessment, which would consist primarily of a discounted cash fow (“DCF”) analysis and guideline publicly-traded companies (“GPC”) analysis to determine the fair value of the reportng unit. To the extent the carrying amount of the reportng unit exceeds its fair value, we recognize an impairment of goodwill for the excess up to the amount of goodwill of that reportng unit. Refer to Note 4 for more informaton.</w:t>
      </w:r>
    </w:p>
    <w:p>
      <w:pPr>
        <w:spacing w:after="0" w:line="168"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Fair value of fnancial instruments</w:t>
      </w:r>
    </w:p>
    <w:p>
      <w:pPr>
        <w:spacing w:after="0" w:line="158" w:lineRule="exact"/>
        <w:rPr>
          <w:sz w:val="20"/>
          <w:szCs w:val="20"/>
          <w:color w:val="auto"/>
        </w:rPr>
      </w:pPr>
    </w:p>
    <w:p>
      <w:pPr>
        <w:ind w:right="140" w:firstLine="509"/>
        <w:spacing w:after="0" w:line="229" w:lineRule="auto"/>
        <w:rPr>
          <w:sz w:val="20"/>
          <w:szCs w:val="20"/>
          <w:color w:val="auto"/>
        </w:rPr>
      </w:pPr>
      <w:r>
        <w:rPr>
          <w:rFonts w:ascii="Calibri" w:cs="Calibri" w:eastAsia="Calibri" w:hAnsi="Calibri"/>
          <w:sz w:val="13"/>
          <w:szCs w:val="13"/>
          <w:color w:val="auto"/>
        </w:rPr>
        <w:t>The Company applies the provisions of Accountng Standards Codifcaton (“ASC”) 820, Fair Value Measurements, for fair value measurements of fnancial assets and fnancial liabilites and for fair value measurements of nonfnancial items that are recognized at fair value in the fnancial statements. Fair value is defned as the price that would be received when selling an asset or paid to transfer a liability in an orderly transacton between market partcipants at the measurement date. In determining the fair value for the assets and liabilites required or permited to be recorded, the Company considers the principal or most advantageous market in which it would transact, and it considers assumptons that market partcipants would use when pricing the asset or liability.</w:t>
      </w:r>
    </w:p>
    <w:p>
      <w:pPr>
        <w:spacing w:after="0" w:line="158" w:lineRule="exact"/>
        <w:rPr>
          <w:sz w:val="20"/>
          <w:szCs w:val="20"/>
          <w:color w:val="auto"/>
        </w:rPr>
      </w:pPr>
    </w:p>
    <w:p>
      <w:pPr>
        <w:ind w:right="220" w:firstLine="509"/>
        <w:spacing w:after="0" w:line="230" w:lineRule="auto"/>
        <w:rPr>
          <w:sz w:val="20"/>
          <w:szCs w:val="20"/>
          <w:color w:val="auto"/>
        </w:rPr>
      </w:pPr>
      <w:r>
        <w:rPr>
          <w:rFonts w:ascii="Calibri" w:cs="Calibri" w:eastAsia="Calibri" w:hAnsi="Calibri"/>
          <w:sz w:val="13"/>
          <w:szCs w:val="13"/>
          <w:color w:val="auto"/>
        </w:rPr>
        <w:t>ASC 820 establishes a fair value hierarchy that requires an entty to maximize the use of observable inputs and minimize the use of unobservable inputs when measuring fair value. The framework has three levels of inputs that may be used to measure fair value, giving the highest priority to unadjusted quoted prices in actve markets for identcal assets or liabilites (Level 1 measurements) and the lowest priority to measurements involving signifcant unobservable inputs (Level 3 measurements). The three levels of the fair value hierarchy are as follows:</w:t>
      </w:r>
    </w:p>
    <w:p>
      <w:pPr>
        <w:spacing w:after="0" w:line="150" w:lineRule="exact"/>
        <w:rPr>
          <w:sz w:val="20"/>
          <w:szCs w:val="20"/>
          <w:color w:val="auto"/>
        </w:rPr>
      </w:pPr>
    </w:p>
    <w:p>
      <w:pPr>
        <w:ind w:left="760"/>
        <w:spacing w:after="0"/>
        <w:rPr>
          <w:sz w:val="20"/>
          <w:szCs w:val="20"/>
          <w:color w:val="auto"/>
        </w:rPr>
      </w:pPr>
      <w:r>
        <w:rPr>
          <w:rFonts w:ascii="Calibri" w:cs="Calibri" w:eastAsia="Calibri" w:hAnsi="Calibri"/>
          <w:sz w:val="13"/>
          <w:szCs w:val="13"/>
          <w:color w:val="auto"/>
        </w:rPr>
        <w:t>Level 1: Unadjusted quoted prices in actve markets that are accessible at the measurement date for identcal, unrestricted assets or liabilites;</w:t>
      </w:r>
    </w:p>
    <w:p>
      <w:pPr>
        <w:spacing w:after="0" w:line="158" w:lineRule="exact"/>
        <w:rPr>
          <w:sz w:val="20"/>
          <w:szCs w:val="20"/>
          <w:color w:val="auto"/>
        </w:rPr>
      </w:pPr>
    </w:p>
    <w:p>
      <w:pPr>
        <w:ind w:left="760" w:right="60"/>
        <w:spacing w:after="0" w:line="225" w:lineRule="auto"/>
        <w:rPr>
          <w:sz w:val="20"/>
          <w:szCs w:val="20"/>
          <w:color w:val="auto"/>
        </w:rPr>
      </w:pPr>
      <w:r>
        <w:rPr>
          <w:rFonts w:ascii="Calibri" w:cs="Calibri" w:eastAsia="Calibri" w:hAnsi="Calibri"/>
          <w:sz w:val="13"/>
          <w:szCs w:val="13"/>
          <w:color w:val="auto"/>
        </w:rPr>
        <w:t>Level 2: Quoted prices, other than those in Level 1, in markets that are not actve or for similar assets and liabilites, or inputs that are observable, either directly or indirectly, for substantally the full term of the asset or liability;</w:t>
      </w:r>
    </w:p>
    <w:p>
      <w:pPr>
        <w:spacing w:after="0" w:line="149" w:lineRule="exact"/>
        <w:rPr>
          <w:sz w:val="20"/>
          <w:szCs w:val="20"/>
          <w:color w:val="auto"/>
        </w:rPr>
      </w:pPr>
    </w:p>
    <w:p>
      <w:pPr>
        <w:ind w:left="760"/>
        <w:spacing w:after="0"/>
        <w:rPr>
          <w:sz w:val="20"/>
          <w:szCs w:val="20"/>
          <w:color w:val="auto"/>
        </w:rPr>
      </w:pPr>
      <w:r>
        <w:rPr>
          <w:rFonts w:ascii="Calibri" w:cs="Calibri" w:eastAsia="Calibri" w:hAnsi="Calibri"/>
          <w:sz w:val="13"/>
          <w:szCs w:val="13"/>
          <w:color w:val="auto"/>
        </w:rPr>
        <w:t>Level 3: Prices or valuaton techniques that require inputs that are both signifcant to the fair value measurement and unobservable (supported by litle or no market actvity).</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There were no transfers between level 1, level 2 or level 3 measurements during the years ended October 31, 2022 and 2021.</w:t>
      </w:r>
    </w:p>
    <w:p>
      <w:pPr>
        <w:spacing w:after="0" w:line="158"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We believe that the carrying amounts of cash and cash equivalents, accounts receivable, accounts payable, accrued expenses and short-term borrowings approximates fair value based on either their short-term nature or on terms currently available to the Company in fnancial markets. Due to current market rates, we believe that our long-term obligatons have fair values that approximate carrying values. Refer to Note 12 for further informaton.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2" w:name="page53"/>
    <w:bookmarkEnd w:id="52"/>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Interest rate swaps</w:t>
      </w:r>
    </w:p>
    <w:p>
      <w:pPr>
        <w:spacing w:after="0" w:line="158" w:lineRule="exact"/>
        <w:rPr>
          <w:sz w:val="20"/>
          <w:szCs w:val="20"/>
          <w:color w:val="auto"/>
        </w:rPr>
      </w:pPr>
    </w:p>
    <w:p>
      <w:pPr>
        <w:ind w:right="40" w:firstLine="509"/>
        <w:spacing w:after="0" w:line="231" w:lineRule="auto"/>
        <w:rPr>
          <w:sz w:val="20"/>
          <w:szCs w:val="20"/>
          <w:color w:val="auto"/>
        </w:rPr>
      </w:pPr>
      <w:r>
        <w:rPr>
          <w:rFonts w:ascii="Calibri" w:cs="Calibri" w:eastAsia="Calibri" w:hAnsi="Calibri"/>
          <w:sz w:val="13"/>
          <w:szCs w:val="13"/>
          <w:color w:val="auto"/>
        </w:rPr>
        <w:t>The Company has four separate interest rate swaps with a total notonal amount of $100 million to hedge changes in variable interest rates on the principal value of the Company’s term loans. The interest rate swaps carry fxed LIBOR rates ranging from 1.75% to 2.57%. We account for the interest rate swaps in accordance with ASC 815, Derivatves and Hedging, as amended, which requires the recogniton of all derivatve instruments as either assets or liabilites in the consolidated balance sheets and measurement of those instruments at fair value. The Company has not designated the interest rate swaps as cash fow hedges, and as a result under the accountng guidance, changes in the fair value of the interest rate swaps have been recorded in other income (expense), net in the consolidated statements of (loss) income and changes in the asset or liability are presented in net cash provided by operatng actvites in the consolidated statements of cash fow. Refer to Note 12 for more details.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Revenue recogniton</w:t>
      </w:r>
    </w:p>
    <w:p>
      <w:pPr>
        <w:spacing w:after="0" w:line="158" w:lineRule="exact"/>
        <w:rPr>
          <w:sz w:val="20"/>
          <w:szCs w:val="20"/>
          <w:color w:val="auto"/>
        </w:rPr>
      </w:pPr>
    </w:p>
    <w:p>
      <w:pPr>
        <w:ind w:right="60" w:firstLine="509"/>
        <w:spacing w:after="0" w:line="225" w:lineRule="auto"/>
        <w:rPr>
          <w:sz w:val="20"/>
          <w:szCs w:val="20"/>
          <w:color w:val="auto"/>
        </w:rPr>
      </w:pPr>
      <w:r>
        <w:rPr>
          <w:rFonts w:ascii="Calibri" w:cs="Calibri" w:eastAsia="Calibri" w:hAnsi="Calibri"/>
          <w:sz w:val="13"/>
          <w:szCs w:val="13"/>
          <w:color w:val="auto"/>
        </w:rPr>
        <w:t>We recognize revenue according to the model under ASC 606, which requires the recogniton of revenue when performance obligatons to customers have been satsfed in amounts equal to the consideraton to which we expect to be enttled.</w:t>
      </w:r>
    </w:p>
    <w:p>
      <w:pPr>
        <w:spacing w:after="0" w:line="159" w:lineRule="exact"/>
        <w:rPr>
          <w:sz w:val="20"/>
          <w:szCs w:val="20"/>
          <w:color w:val="auto"/>
        </w:rPr>
      </w:pPr>
    </w:p>
    <w:p>
      <w:pPr>
        <w:ind w:right="40" w:firstLine="509"/>
        <w:spacing w:after="0" w:line="230" w:lineRule="auto"/>
        <w:rPr>
          <w:sz w:val="20"/>
          <w:szCs w:val="20"/>
          <w:color w:val="auto"/>
        </w:rPr>
      </w:pPr>
      <w:r>
        <w:rPr>
          <w:rFonts w:ascii="Calibri" w:cs="Calibri" w:eastAsia="Calibri" w:hAnsi="Calibri"/>
          <w:sz w:val="13"/>
          <w:szCs w:val="13"/>
          <w:color w:val="auto"/>
        </w:rPr>
        <w:t>For our customer contracts, we identfy the performance obligatons (products or services), determine the transacton price, allocate the contract transacton price to the performance obligatons, and recognize the revenue when the performance obligaton is fulflled, which is when the product is shipped to or received by the customer, depending on the specifc terms of the arrangement. Our revenues are recorded at a point in tme. Revenue recognized from product sales is based primarily on purchase orders issued by customers which specify shipping terms and details of the transacton. The performance obligatons in a given transacton are determined by the individual purchase orders with revenue recognized at the tme that the performance obligatons have been satsfed. Shipping and handling actvites that occur prior to the transfer of control of goods to the customer are treated as fulfllment actvites related to the promise to transfer goods, rather than as performance obligatons. Amounts collected from customers for sales and other similar taxes are excluded from the transacton price.</w:t>
      </w:r>
    </w:p>
    <w:p>
      <w:pPr>
        <w:spacing w:after="0" w:line="159" w:lineRule="exact"/>
        <w:rPr>
          <w:sz w:val="20"/>
          <w:szCs w:val="20"/>
          <w:color w:val="auto"/>
        </w:rPr>
      </w:pPr>
    </w:p>
    <w:p>
      <w:pPr>
        <w:ind w:right="40" w:firstLine="509"/>
        <w:spacing w:after="0" w:line="230" w:lineRule="auto"/>
        <w:rPr>
          <w:sz w:val="20"/>
          <w:szCs w:val="20"/>
          <w:color w:val="auto"/>
        </w:rPr>
      </w:pPr>
      <w:r>
        <w:rPr>
          <w:rFonts w:ascii="Calibri" w:cs="Calibri" w:eastAsia="Calibri" w:hAnsi="Calibri"/>
          <w:sz w:val="13"/>
          <w:szCs w:val="13"/>
          <w:color w:val="auto"/>
        </w:rPr>
        <w:t>Most performance obligatons are subject to customer acceptance. However, our customers have an implicit and explicit right to return products following acceptance, if they are found not to conform to the specifcatons generally agreed upon or detailed in the individual purchase orders. We evaluate the need for provisions related to product return allowances based on estmates and record such provisions as a reducton in revenue in the same period that revenue for the related transactons is recognized.</w:t>
      </w:r>
    </w:p>
    <w:p>
      <w:pPr>
        <w:spacing w:after="0" w:line="159"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We routnely enter into consignment arrangements to purchase avocados from foreign suppliers in which we do not take legal ttle of the good prior to selling those goods to customers. The Company has evaluated its role in such transactons and has concluded that it has control of the products due to our ability to determine the sales price and our role as the primary obligor in the transactons with the end customer. As a result, we are deemed to act as the principle rather than the agent, and therefore recognize and report revenue on a gross basis for its consignment arrangements.</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Stock-based compensaton</w:t>
      </w:r>
    </w:p>
    <w:p>
      <w:pPr>
        <w:spacing w:after="0" w:line="169" w:lineRule="exact"/>
        <w:rPr>
          <w:sz w:val="20"/>
          <w:szCs w:val="20"/>
          <w:color w:val="auto"/>
        </w:rPr>
      </w:pPr>
    </w:p>
    <w:p>
      <w:pPr>
        <w:ind w:right="80" w:firstLine="509"/>
        <w:spacing w:after="0" w:line="225" w:lineRule="auto"/>
        <w:rPr>
          <w:sz w:val="20"/>
          <w:szCs w:val="20"/>
          <w:color w:val="auto"/>
        </w:rPr>
      </w:pPr>
      <w:r>
        <w:rPr>
          <w:rFonts w:ascii="Calibri" w:cs="Calibri" w:eastAsia="Calibri" w:hAnsi="Calibri"/>
          <w:sz w:val="13"/>
          <w:szCs w:val="13"/>
          <w:color w:val="auto"/>
        </w:rPr>
        <w:t>The Company uses the fair value recogniton method for accountng for stock-based compensaton. Under the fair value recogniton method, cost is measured at the grant date based on the fair value of the award and is recognized as expense on the straight-line basis over the requisite service period, which is generally the vestng period. When vestng is based on the occurrence of certain defned liquidity events, expense relatve to such awards is measured based on the grant date fair value of the award and is recorded when the event occurs. Forfeitures are recognized in the period they occur.</w:t>
      </w:r>
    </w:p>
    <w:p>
      <w:pPr>
        <w:spacing w:after="0" w:line="201" w:lineRule="exact"/>
        <w:rPr>
          <w:sz w:val="20"/>
          <w:szCs w:val="20"/>
          <w:color w:val="auto"/>
        </w:rPr>
      </w:pPr>
    </w:p>
    <w:p>
      <w:pPr>
        <w:ind w:right="60" w:firstLine="509"/>
        <w:spacing w:after="0" w:line="248" w:lineRule="auto"/>
        <w:rPr>
          <w:sz w:val="20"/>
          <w:szCs w:val="20"/>
          <w:color w:val="auto"/>
        </w:rPr>
      </w:pPr>
      <w:r>
        <w:rPr>
          <w:rFonts w:ascii="Calibri" w:cs="Calibri" w:eastAsia="Calibri" w:hAnsi="Calibri"/>
          <w:sz w:val="12"/>
          <w:szCs w:val="12"/>
          <w:color w:val="auto"/>
        </w:rPr>
        <w:t>The fair value of stock optons is estmated as of the date of grant using the Black-Scholes opton model, which requires various inputs, including volatlity, risk-free interest rate, and the estmated life of the opton term. See Note 11 for more informaton. The fair value of restricted stock units (“RSUs”) and performance stock units (“PSUs”) is determined based on the market price of our common stock on the date of grant.</w:t>
      </w:r>
    </w:p>
    <w:p>
      <w:pPr>
        <w:spacing w:after="0" w:line="155"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Advertsing costs</w:t>
      </w:r>
    </w:p>
    <w:p>
      <w:pPr>
        <w:spacing w:after="0" w:line="169" w:lineRule="exact"/>
        <w:rPr>
          <w:sz w:val="20"/>
          <w:szCs w:val="20"/>
          <w:color w:val="auto"/>
        </w:rPr>
      </w:pPr>
    </w:p>
    <w:p>
      <w:pPr>
        <w:ind w:right="20" w:firstLine="509"/>
        <w:spacing w:after="0" w:line="225" w:lineRule="auto"/>
        <w:rPr>
          <w:sz w:val="20"/>
          <w:szCs w:val="20"/>
          <w:color w:val="auto"/>
        </w:rPr>
      </w:pPr>
      <w:r>
        <w:rPr>
          <w:rFonts w:ascii="Calibri" w:cs="Calibri" w:eastAsia="Calibri" w:hAnsi="Calibri"/>
          <w:sz w:val="13"/>
          <w:szCs w:val="13"/>
          <w:color w:val="auto"/>
        </w:rPr>
        <w:t>Advertsing costs are expensed when incurred and are included as a component of selling, general and administratve expense. Such costs were $0.3 million for the years ended October 31, 2022 and 2021, and $0.4 million for the year ended October 31, 2020.</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Employee benefts</w:t>
      </w:r>
    </w:p>
    <w:p>
      <w:pPr>
        <w:spacing w:after="0" w:line="158" w:lineRule="exact"/>
        <w:rPr>
          <w:sz w:val="20"/>
          <w:szCs w:val="20"/>
          <w:color w:val="auto"/>
        </w:rPr>
      </w:pPr>
    </w:p>
    <w:p>
      <w:pPr>
        <w:ind w:right="20" w:firstLine="509"/>
        <w:spacing w:after="0" w:line="233" w:lineRule="auto"/>
        <w:rPr>
          <w:sz w:val="20"/>
          <w:szCs w:val="20"/>
          <w:color w:val="auto"/>
        </w:rPr>
      </w:pPr>
      <w:r>
        <w:rPr>
          <w:rFonts w:ascii="Calibri" w:cs="Calibri" w:eastAsia="Calibri" w:hAnsi="Calibri"/>
          <w:sz w:val="13"/>
          <w:szCs w:val="13"/>
          <w:color w:val="auto"/>
        </w:rPr>
        <w:t>Eligible employees of the Company may partcipate in a 401(k)-retrement plan, whereby employees may elect to make contributons pursuant to a salary reducton agreement upon meetng age and length-of-service requirements. Employees can defer up to 60% of their compensaton subject to fxed annual limits. The Company makes a 100% matching contributon on deferrals up to 3%,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3" w:name="page54"/>
    <w:bookmarkEnd w:id="53"/>
    <w:p>
      <w:pPr>
        <w:jc w:val="center"/>
        <w:ind w:right="-19"/>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alibri" w:cs="Calibri" w:eastAsia="Calibri" w:hAnsi="Calibri"/>
          <w:sz w:val="13"/>
          <w:szCs w:val="13"/>
          <w:color w:val="auto"/>
        </w:rPr>
        <w:t>50% on deferrals over 3% up to 5%. Total contributons made by the Company were $0.9 million for the years ended October 31, 2022 and 2021, and $0.7 million for the year ended October 31, 2020.</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Income taxes</w:t>
      </w:r>
    </w:p>
    <w:p>
      <w:pPr>
        <w:spacing w:after="0" w:line="158" w:lineRule="exact"/>
        <w:rPr>
          <w:sz w:val="20"/>
          <w:szCs w:val="20"/>
          <w:color w:val="auto"/>
        </w:rPr>
      </w:pPr>
    </w:p>
    <w:p>
      <w:pPr>
        <w:ind w:right="20" w:firstLine="509"/>
        <w:spacing w:after="0" w:line="225" w:lineRule="auto"/>
        <w:rPr>
          <w:sz w:val="20"/>
          <w:szCs w:val="20"/>
          <w:color w:val="auto"/>
        </w:rPr>
      </w:pPr>
      <w:r>
        <w:rPr>
          <w:rFonts w:ascii="Calibri" w:cs="Calibri" w:eastAsia="Calibri" w:hAnsi="Calibri"/>
          <w:sz w:val="13"/>
          <w:szCs w:val="13"/>
          <w:color w:val="auto"/>
        </w:rPr>
        <w:t>The Company uses the liability method to account for income taxes as prescribed by ASC 740. Deferred tax assets and liabilites are determined based on the diference between the fnancial statement and tax bases of assets and liabilites as measured by the enacted tax rates which will be in efect when these diferences reverse. Deferred tax expense (beneft) is the result of changes in deferred tax assets and</w:t>
      </w:r>
    </w:p>
    <w:p>
      <w:pPr>
        <w:spacing w:after="0" w:line="10" w:lineRule="exact"/>
        <w:rPr>
          <w:sz w:val="20"/>
          <w:szCs w:val="20"/>
          <w:color w:val="auto"/>
        </w:rPr>
      </w:pPr>
    </w:p>
    <w:p>
      <w:pPr>
        <w:ind w:right="100"/>
        <w:spacing w:after="0" w:line="229" w:lineRule="auto"/>
        <w:rPr>
          <w:sz w:val="20"/>
          <w:szCs w:val="20"/>
          <w:color w:val="auto"/>
        </w:rPr>
      </w:pPr>
      <w:r>
        <w:rPr>
          <w:rFonts w:ascii="Calibri" w:cs="Calibri" w:eastAsia="Calibri" w:hAnsi="Calibri"/>
          <w:sz w:val="13"/>
          <w:szCs w:val="13"/>
          <w:color w:val="auto"/>
        </w:rPr>
        <w:t>liabilites. Deferred income tax assets and liabilites are adjusted to recognize the efects of changes in tax laws or enacted tax rates in the period during which they are signed into law. The factors used to assess the Company’s ability to realize its deferred tax assets are the Company’s forecast of future taxable income and available tax planning strategies that could be implemented. Under ASC 740 a valuaton allowance is required when it is more likely than not that all or some porton of the deferred tax assets will not be realized due to the inability to generate sufcient future taxable income of the correct character. Failure to achieve previous forecasted taxable income could afect the ultmate realizaton of deferred tax assets and could negatvely impact the Company’s efectve tax rate on future earnings.</w:t>
      </w:r>
    </w:p>
    <w:p>
      <w:pPr>
        <w:spacing w:after="0" w:line="158" w:lineRule="exact"/>
        <w:rPr>
          <w:sz w:val="20"/>
          <w:szCs w:val="20"/>
          <w:color w:val="auto"/>
        </w:rPr>
      </w:pPr>
    </w:p>
    <w:p>
      <w:pPr>
        <w:jc w:val="both"/>
        <w:ind w:right="80" w:firstLine="509"/>
        <w:spacing w:after="0" w:line="248" w:lineRule="auto"/>
        <w:rPr>
          <w:sz w:val="20"/>
          <w:szCs w:val="20"/>
          <w:color w:val="auto"/>
        </w:rPr>
      </w:pPr>
      <w:r>
        <w:rPr>
          <w:rFonts w:ascii="Calibri" w:cs="Calibri" w:eastAsia="Calibri" w:hAnsi="Calibri"/>
          <w:sz w:val="12"/>
          <w:szCs w:val="12"/>
          <w:color w:val="auto"/>
        </w:rPr>
        <w:t>We recognize the tax beneft from an uncertain tax positon only if it is more likely than not that the tax positon will be sustained on examinaton by the taxing authorites, based on the technical merits of the positon. The tax benefts recognized in the fnancial statements from such a positon should be measured based on the largest beneft that has a greater than 50% likelihood of being realized upon ultmate setlement.</w:t>
      </w:r>
    </w:p>
    <w:p>
      <w:pPr>
        <w:spacing w:after="0" w:line="164" w:lineRule="exact"/>
        <w:rPr>
          <w:sz w:val="20"/>
          <w:szCs w:val="20"/>
          <w:color w:val="auto"/>
        </w:rPr>
      </w:pPr>
    </w:p>
    <w:p>
      <w:pPr>
        <w:ind w:right="40" w:firstLine="509"/>
        <w:spacing w:after="0" w:line="225" w:lineRule="auto"/>
        <w:rPr>
          <w:sz w:val="20"/>
          <w:szCs w:val="20"/>
          <w:color w:val="auto"/>
        </w:rPr>
      </w:pPr>
      <w:r>
        <w:rPr>
          <w:rFonts w:ascii="Calibri" w:cs="Calibri" w:eastAsia="Calibri" w:hAnsi="Calibri"/>
          <w:sz w:val="13"/>
          <w:szCs w:val="13"/>
          <w:color w:val="auto"/>
        </w:rPr>
        <w:t>As a multnatonal corporaton, we are subject to taxaton in many jurisdictons, and the calculaton of our tax liabilites involves dealing with uncertaintes in the applicaton of complex tax laws and regulatons in various taxing jurisdictons. If we ultmately determine that the payment of these liabilites will be unnecessary, the liability will be reversed, and we will recognize a tax beneft during the period in which it is determined the liability no longer applies. Conversely, we record additonal tax charges in a period in which it is determined that a recorded tax liability is less than the ultmate assessment is expected to be.</w:t>
      </w:r>
    </w:p>
    <w:p>
      <w:pPr>
        <w:spacing w:after="0" w:line="158"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The applicaton of tax laws and regulatons is subject to legal and factual interpretaton, judgment and uncertainty. Tax laws and regulatons themselves are subject to change as a result of changes in fscal policy, changes in legislaton, the evoluton of regulatons and court rulings. Therefore, the actual liability for U.S. or foreign taxes may be materially diferent from management’s estmates, which could result in the need to record additonal tax liabilites or potentally reverse previously recorded tax liabilites.</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Foreign currency translaton and remeasurement</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Our foreign operatons are subject to exchange rate fuctuatons and foreign currency transacton costs. The functonal currency for substantally all of our foreign subsidiaries is the United States dollar. When remeasuring from a local currency to the functonal currency, monetary assets and liabilites are remeasured into U.S. dollars at exchange rates in efect at the balance sheet dates and non-monetary assets, liabilites and equity are remeasured at historical rates when remeasuring from a local currency to the functonal currency. Sales and expenses are remeasured using weighted-average exchange rates for each period. Gains and losses resultng from foreign currency transactons are recognized in other income (expense), net in the consolidated statements of (loss) income.</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Earnings per share</w:t>
      </w:r>
    </w:p>
    <w:p>
      <w:pPr>
        <w:spacing w:after="0" w:line="158"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2"/>
          <w:szCs w:val="12"/>
          <w:color w:val="auto"/>
        </w:rPr>
        <w:t>We compute earnings per share (“EPS”) in accordance with ASC 260, which requires companies with complex capital structures to present basic and diluted EPS. Basic EPS is measured as net income atributable to us, divided by the weighted average shares outstanding during the period. Diluted EPS is similar to basic EPS but presents the dilutve efect on a per share basis of contracts to issue shares (e.g., equity awards) as if they had been converted at the beginning of the periods presented, or issuance date, if later. The computaton of diluted EPS includes the estmated impact of the exercise of contracts to purchase common stock using the treasury stock method. Potental shares that have an ant-dilutve efect (i.e., those that increase earnings per share or decrease loss per share) are excluded from the calculaton of diluted EPS.</w:t>
      </w:r>
    </w:p>
    <w:p>
      <w:pPr>
        <w:spacing w:after="0" w:line="166"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Risk concentraton</w:t>
      </w:r>
    </w:p>
    <w:p>
      <w:pPr>
        <w:spacing w:after="0" w:line="158" w:lineRule="exact"/>
        <w:rPr>
          <w:sz w:val="20"/>
          <w:szCs w:val="20"/>
          <w:color w:val="auto"/>
        </w:rPr>
      </w:pPr>
    </w:p>
    <w:p>
      <w:pPr>
        <w:ind w:right="340" w:firstLine="509"/>
        <w:spacing w:after="0" w:line="225" w:lineRule="auto"/>
        <w:rPr>
          <w:sz w:val="20"/>
          <w:szCs w:val="20"/>
          <w:color w:val="auto"/>
        </w:rPr>
      </w:pPr>
      <w:r>
        <w:rPr>
          <w:rFonts w:ascii="Calibri" w:cs="Calibri" w:eastAsia="Calibri" w:hAnsi="Calibri"/>
          <w:sz w:val="13"/>
          <w:szCs w:val="13"/>
          <w:color w:val="auto"/>
        </w:rPr>
        <w:t>Accounts receivable from three single customers each represented 13%, 12% and 11% of trade accounts receivables, net of allowance, as of October 31, 2022. Accounts receivable from these same three customers each represented 7%, 8%, and 13%, respectvely, as of October 31, 2021.</w:t>
      </w:r>
    </w:p>
    <w:p>
      <w:pPr>
        <w:spacing w:after="0" w:line="159" w:lineRule="exact"/>
        <w:rPr>
          <w:sz w:val="20"/>
          <w:szCs w:val="20"/>
          <w:color w:val="auto"/>
        </w:rPr>
      </w:pPr>
    </w:p>
    <w:p>
      <w:pPr>
        <w:jc w:val="both"/>
        <w:ind w:right="100" w:firstLine="509"/>
        <w:spacing w:after="0" w:line="230" w:lineRule="auto"/>
        <w:rPr>
          <w:sz w:val="20"/>
          <w:szCs w:val="20"/>
          <w:color w:val="auto"/>
        </w:rPr>
      </w:pPr>
      <w:r>
        <w:rPr>
          <w:rFonts w:ascii="Calibri" w:cs="Calibri" w:eastAsia="Calibri" w:hAnsi="Calibri"/>
          <w:sz w:val="13"/>
          <w:szCs w:val="13"/>
          <w:color w:val="auto"/>
        </w:rPr>
        <w:t>Sales to our top 10 customers amounted to approximately 59% of net sales for both years ended October 31, 2022 and 2021, and approximately 64% for the year ended October 31, 2020. For the year ended October 31, 2022, one single customer represented 13% of net sales. For the year ended October 31, 2021, no single customer represented more than 10% of net sales. For the year ended October 31, 2020, two single customers represented 12% and 10% of net sales, respectvely. All of these customers were from our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4" w:name="page55"/>
    <w:bookmarkEnd w:id="54"/>
    <w:p>
      <w:pPr>
        <w:jc w:val="center"/>
        <w:ind w:right="-19"/>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alibri" w:cs="Calibri" w:eastAsia="Calibri" w:hAnsi="Calibri"/>
          <w:sz w:val="13"/>
          <w:szCs w:val="13"/>
          <w:color w:val="auto"/>
        </w:rPr>
        <w:t>Marketng and Distributon segment. Substantally all sales generated by our Blueberries segment are from a single customer with which we have an exclusive marketng agreement with.</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Recently issued accountng standards</w:t>
      </w:r>
    </w:p>
    <w:p>
      <w:pPr>
        <w:spacing w:after="0" w:line="158" w:lineRule="exact"/>
        <w:rPr>
          <w:sz w:val="20"/>
          <w:szCs w:val="20"/>
          <w:color w:val="auto"/>
        </w:rPr>
      </w:pPr>
    </w:p>
    <w:p>
      <w:pPr>
        <w:ind w:firstLine="509"/>
        <w:spacing w:after="0" w:line="254" w:lineRule="auto"/>
        <w:rPr>
          <w:sz w:val="20"/>
          <w:szCs w:val="20"/>
          <w:color w:val="auto"/>
        </w:rPr>
      </w:pPr>
      <w:r>
        <w:rPr>
          <w:rFonts w:ascii="Calibri" w:cs="Calibri" w:eastAsia="Calibri" w:hAnsi="Calibri"/>
          <w:sz w:val="12"/>
          <w:szCs w:val="12"/>
          <w:color w:val="auto"/>
        </w:rPr>
        <w:t>In September 2022, the Financial Accountng Standards Board (“FASB”) issued Accountng Standards Update (“ASU”) 2022-04, Liabilites—Supplier Finance Programs (Topic 405), which among other things, requires certain disclosures for a buyer in a supplier fnance program. Some of the amendments in this ASU are required to be adopted for fscal years beginning afer December 15, 2022, including interim periods within those fscal years, and others are required to be adopted for fscal years beginning afer December 15, 2023. Early adopton is permited. We are currently evaluatng the impact of adopton on our fnancial disclosures.</w:t>
      </w:r>
    </w:p>
    <w:p>
      <w:pPr>
        <w:spacing w:after="0" w:line="150" w:lineRule="exact"/>
        <w:rPr>
          <w:sz w:val="20"/>
          <w:szCs w:val="20"/>
          <w:color w:val="auto"/>
        </w:rPr>
      </w:pPr>
    </w:p>
    <w:p>
      <w:pPr>
        <w:ind w:right="80" w:firstLine="509"/>
        <w:spacing w:after="0" w:line="230" w:lineRule="auto"/>
        <w:rPr>
          <w:sz w:val="20"/>
          <w:szCs w:val="20"/>
          <w:color w:val="auto"/>
        </w:rPr>
      </w:pPr>
      <w:r>
        <w:rPr>
          <w:rFonts w:ascii="Calibri" w:cs="Calibri" w:eastAsia="Calibri" w:hAnsi="Calibri"/>
          <w:sz w:val="13"/>
          <w:szCs w:val="13"/>
          <w:color w:val="auto"/>
        </w:rPr>
        <w:t>In March 2022, the FASB issued ASU, Financial Instruments–Credit Losses (Topic 326) Troubled Debt Restructurings and Vintage Disclosures, which among other things, requires that enttes disclose current-period gross write-ofs by year of originaton for fnancing receivables. The amendments in this ASU are required to be adopted for fscal years beginning afer December 15, 2022, including interim periods within those fscal years. The impact of ASU 2022-02 is not expected to be material on our fnancial conditon, results of operatons and cash fows.</w:t>
      </w:r>
    </w:p>
    <w:p>
      <w:pPr>
        <w:spacing w:after="0" w:line="200" w:lineRule="exact"/>
        <w:rPr>
          <w:sz w:val="20"/>
          <w:szCs w:val="20"/>
          <w:color w:val="auto"/>
        </w:rPr>
      </w:pPr>
    </w:p>
    <w:p>
      <w:pPr>
        <w:spacing w:after="0" w:line="303" w:lineRule="exact"/>
        <w:rPr>
          <w:sz w:val="20"/>
          <w:szCs w:val="20"/>
          <w:color w:val="auto"/>
        </w:rPr>
      </w:pPr>
    </w:p>
    <w:p>
      <w:pPr>
        <w:spacing w:after="0"/>
        <w:tabs>
          <w:tab w:leader="none" w:pos="260" w:val="left"/>
        </w:tabs>
        <w:rPr>
          <w:sz w:val="20"/>
          <w:szCs w:val="20"/>
          <w:color w:val="auto"/>
        </w:rPr>
      </w:pPr>
      <w:r>
        <w:rPr>
          <w:rFonts w:ascii="Calibri" w:cs="Calibri" w:eastAsia="Calibri" w:hAnsi="Calibri"/>
          <w:sz w:val="16"/>
          <w:szCs w:val="16"/>
          <w:b w:val="1"/>
          <w:bCs w:val="1"/>
          <w:color w:val="auto"/>
        </w:rPr>
        <w:t>3.</w:t>
        <w:tab/>
        <w:t>Business Combinaton</w:t>
      </w:r>
    </w:p>
    <w:p>
      <w:pPr>
        <w:spacing w:after="0" w:line="171" w:lineRule="exact"/>
        <w:rPr>
          <w:sz w:val="20"/>
          <w:szCs w:val="20"/>
          <w:color w:val="auto"/>
        </w:rPr>
      </w:pPr>
    </w:p>
    <w:p>
      <w:pPr>
        <w:ind w:right="80" w:firstLine="509"/>
        <w:spacing w:after="0" w:line="230" w:lineRule="auto"/>
        <w:rPr>
          <w:sz w:val="20"/>
          <w:szCs w:val="20"/>
          <w:color w:val="auto"/>
        </w:rPr>
      </w:pPr>
      <w:r>
        <w:rPr>
          <w:rFonts w:ascii="Calibri" w:cs="Calibri" w:eastAsia="Calibri" w:hAnsi="Calibri"/>
          <w:sz w:val="13"/>
          <w:szCs w:val="13"/>
          <w:color w:val="auto"/>
        </w:rPr>
        <w:t>The Company owns a 60% equity interest in Moruga, which was established in 2014 when it began small-scale blueberry plantngs in Peru. Since incepton, Moruga has expanded to approximately 900 productve acres. On May 1, 2022, the shareholders of Moruga amended and restated its shareholders agreement (“the Amendment”), wherein certain supermajority requirements that previously prevented the Company from directng the primary actvites of Moruga were removed. In connecton with the Amendment, shareholders approved a new capital project to farm approximately 1,500 additonal acres of blueberries in the Olmos region of Peru. Blueberries produced will be marketed through an agreement which gives exclusive marketng rights to a minority shareholder. The new capital project is antcipated to require a total investment of approximately $50 million, the majority of which will be funded by cash fow generated by Moruga and supplemented by pro-rata shareholder contributons based on each shareholders’ respectve ownership interest.</w:t>
      </w:r>
    </w:p>
    <w:p>
      <w:pPr>
        <w:spacing w:after="0" w:line="159" w:lineRule="exact"/>
        <w:rPr>
          <w:sz w:val="20"/>
          <w:szCs w:val="20"/>
          <w:color w:val="auto"/>
        </w:rPr>
      </w:pPr>
    </w:p>
    <w:p>
      <w:pPr>
        <w:ind w:right="180" w:firstLine="509"/>
        <w:spacing w:after="0" w:line="230" w:lineRule="auto"/>
        <w:rPr>
          <w:sz w:val="20"/>
          <w:szCs w:val="20"/>
          <w:color w:val="auto"/>
        </w:rPr>
      </w:pPr>
      <w:r>
        <w:rPr>
          <w:rFonts w:ascii="Calibri" w:cs="Calibri" w:eastAsia="Calibri" w:hAnsi="Calibri"/>
          <w:sz w:val="13"/>
          <w:szCs w:val="13"/>
          <w:color w:val="auto"/>
        </w:rPr>
        <w:t>The Amendment resulted in the consolidaton of Moruga because the Company concluded that that Moruga was a VIE, and the Company could control the primary actvites of Moruga and is the primary benefciary of the entty. Upon consolidaton, Moruga was accounted for using the acquisiton method of accountng. In relaton to our preexistng equity interest, we recognized a remeasurement gain of $2.0 million, calculated as the diference between our 60% investment carrying value of $28.2 million and its acquisiton date fair value of $30.2 million.</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Preliminary fair value allocaton of Moruga</w:t>
      </w:r>
    </w:p>
    <w:p>
      <w:pPr>
        <w:spacing w:after="0" w:line="158" w:lineRule="exact"/>
        <w:rPr>
          <w:sz w:val="20"/>
          <w:szCs w:val="20"/>
          <w:color w:val="auto"/>
        </w:rPr>
      </w:pPr>
    </w:p>
    <w:p>
      <w:pPr>
        <w:ind w:right="120" w:firstLine="509"/>
        <w:spacing w:after="0" w:line="225" w:lineRule="auto"/>
        <w:rPr>
          <w:sz w:val="20"/>
          <w:szCs w:val="20"/>
          <w:color w:val="auto"/>
        </w:rPr>
      </w:pPr>
      <w:r>
        <w:rPr>
          <w:rFonts w:ascii="Calibri" w:cs="Calibri" w:eastAsia="Calibri" w:hAnsi="Calibri"/>
          <w:sz w:val="13"/>
          <w:szCs w:val="13"/>
          <w:color w:val="auto"/>
        </w:rPr>
        <w:t>The fair value of Moruga is a Level 3 measurement in the fair value hierarchy. Management estmated the fair value of Moruga with the assistance of a third-party valuaton specialist, using a combinaton of the GPC method under the market approach and the DCF method under the income approach. We applied an equal weightng to the value conclusions resultng from the two employed approaches, because there was sufcient informaton available to estmate fair value under both methods.</w:t>
      </w:r>
    </w:p>
    <w:p>
      <w:pPr>
        <w:spacing w:after="0" w:line="158" w:lineRule="exact"/>
        <w:rPr>
          <w:sz w:val="20"/>
          <w:szCs w:val="20"/>
          <w:color w:val="auto"/>
        </w:rPr>
      </w:pPr>
    </w:p>
    <w:p>
      <w:pPr>
        <w:ind w:right="40" w:firstLine="509"/>
        <w:spacing w:after="0" w:line="233" w:lineRule="auto"/>
        <w:rPr>
          <w:sz w:val="20"/>
          <w:szCs w:val="20"/>
          <w:color w:val="auto"/>
        </w:rPr>
      </w:pPr>
      <w:r>
        <w:rPr>
          <w:rFonts w:ascii="Calibri" w:cs="Calibri" w:eastAsia="Calibri" w:hAnsi="Calibri"/>
          <w:sz w:val="13"/>
          <w:szCs w:val="13"/>
          <w:color w:val="auto"/>
        </w:rPr>
        <w:t>Under the GPC method, valuaton multples are calculated from the operatng data and market metrics of the GPCs, and are then evaluated and adjusted based on the strengths and weaknesses of the entty relatve to the comparable GPCs. The signifcant inputs used to estmate the fair value of the investment under the GPC method are the selected business enterprise value (“BEV”) to EBITDA multple and BEV to revenue multple. Of the derived multples, we selected 8.0x for BEV to EBITDA and 1.1x for BEV to revenue. The mean and median multples of the GPCs were 9.1x and 9.2x for BEV to EBITDA, respectvely, and 1.1x and 0.7x for BEV to revenue, respectvely.</w:t>
      </w:r>
    </w:p>
    <w:p>
      <w:pPr>
        <w:spacing w:after="0" w:line="158" w:lineRule="exact"/>
        <w:rPr>
          <w:sz w:val="20"/>
          <w:szCs w:val="20"/>
          <w:color w:val="auto"/>
        </w:rPr>
      </w:pPr>
    </w:p>
    <w:p>
      <w:pPr>
        <w:ind w:right="120" w:firstLine="509"/>
        <w:spacing w:after="0" w:line="245" w:lineRule="auto"/>
        <w:rPr>
          <w:sz w:val="20"/>
          <w:szCs w:val="20"/>
          <w:color w:val="auto"/>
        </w:rPr>
      </w:pPr>
      <w:r>
        <w:rPr>
          <w:rFonts w:ascii="Calibri" w:cs="Calibri" w:eastAsia="Calibri" w:hAnsi="Calibri"/>
          <w:sz w:val="12"/>
          <w:szCs w:val="12"/>
          <w:color w:val="auto"/>
        </w:rPr>
        <w:t>Under the DCF method, the most signifcant inputs used to estmate the fair value are the cash fow projectons, which are sensitve to the revenue projectons, and the weighted average cost of capital ("WACC”) which is used to discount and present value the projected cash fows. For the revenue projectons, we assumed a nearly fat annual growth rate based on the maturity of the existng blueberry plants for the discrete forecast period from 2023 to 2032, prior to reaching the terminal period. The WACC was estmated using a capital asset pricing model and the discount rate used to present value the future cash fows was 9%.</w:t>
      </w:r>
    </w:p>
    <w:p>
      <w:pPr>
        <w:spacing w:after="0" w:line="156" w:lineRule="exact"/>
        <w:rPr>
          <w:sz w:val="20"/>
          <w:szCs w:val="20"/>
          <w:color w:val="auto"/>
        </w:rPr>
      </w:pPr>
    </w:p>
    <w:p>
      <w:pPr>
        <w:jc w:val="both"/>
        <w:ind w:right="120" w:firstLine="509"/>
        <w:spacing w:after="0" w:line="230" w:lineRule="auto"/>
        <w:rPr>
          <w:sz w:val="20"/>
          <w:szCs w:val="20"/>
          <w:color w:val="auto"/>
        </w:rPr>
      </w:pPr>
      <w:r>
        <w:rPr>
          <w:rFonts w:ascii="Calibri" w:cs="Calibri" w:eastAsia="Calibri" w:hAnsi="Calibri"/>
          <w:sz w:val="13"/>
          <w:szCs w:val="13"/>
          <w:color w:val="auto"/>
        </w:rPr>
        <w:t>Goodwill represents the excess of the sum of the fair value of our previously held equity interest and the fair value of the noncontrolling interest, over the net of the acquisiton-date values of the identfable assets and liabilites assumed. The goodwill is atributable to our expected ability to utlize our existng infrastructure and workforce in Peru during the complementary periods between avocado harvest and processing seasons. The goodwill recognized is not expected to be deductble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5" w:name="page56"/>
    <w:bookmarkEnd w:id="55"/>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60" w:firstLine="509"/>
        <w:spacing w:after="0" w:line="225" w:lineRule="auto"/>
        <w:rPr>
          <w:sz w:val="20"/>
          <w:szCs w:val="20"/>
          <w:color w:val="auto"/>
        </w:rPr>
      </w:pPr>
      <w:r>
        <w:rPr>
          <w:rFonts w:ascii="Calibri" w:cs="Calibri" w:eastAsia="Calibri" w:hAnsi="Calibri"/>
          <w:sz w:val="13"/>
          <w:szCs w:val="13"/>
          <w:color w:val="auto"/>
        </w:rPr>
        <w:t>The allocaton of the fair value of Moruga as of the acquisiton date is preliminary and subject to change within the allowable measurement period from the acquisiton date, primarily for the calculaton of deferred taxes. Amounts of identfable assets acquired and liabilites assumed as of the acquisiton date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b w:val="1"/>
                <w:bCs w:val="1"/>
                <w:color w:val="auto"/>
              </w:rPr>
              <w:t>(In millions)</w:t>
            </w:r>
          </w:p>
        </w:tc>
      </w:tr>
      <w:tr>
        <w:trPr>
          <w:trHeight w:val="46"/>
        </w:trPr>
        <w:tc>
          <w:tcPr>
            <w:tcW w:w="97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51"/>
        </w:trPr>
        <w:tc>
          <w:tcPr>
            <w:tcW w:w="97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Fair value of 100% of Moruga</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10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50.4</w:t>
            </w:r>
          </w:p>
        </w:tc>
      </w:tr>
      <w:tr>
        <w:trPr>
          <w:trHeight w:val="170"/>
        </w:trPr>
        <w:tc>
          <w:tcPr>
            <w:tcW w:w="9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9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Recognized amounts of identfable assets acquired and liabilites assumed:</w:t>
            </w:r>
          </w:p>
        </w:tc>
        <w:tc>
          <w:tcPr>
            <w:tcW w:w="54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spacing w:after="0"/>
              <w:rPr>
                <w:sz w:val="13"/>
                <w:szCs w:val="13"/>
                <w:color w:val="auto"/>
              </w:rPr>
            </w:pPr>
          </w:p>
        </w:tc>
      </w:tr>
      <w:tr>
        <w:trPr>
          <w:trHeight w:val="135"/>
        </w:trPr>
        <w:tc>
          <w:tcPr>
            <w:tcW w:w="9720" w:type="dxa"/>
            <w:vAlign w:val="bottom"/>
          </w:tcPr>
          <w:p>
            <w:pPr>
              <w:ind w:left="180"/>
              <w:spacing w:after="0"/>
              <w:rPr>
                <w:sz w:val="20"/>
                <w:szCs w:val="20"/>
                <w:color w:val="auto"/>
              </w:rPr>
            </w:pPr>
            <w:r>
              <w:rPr>
                <w:rFonts w:ascii="Calibri" w:cs="Calibri" w:eastAsia="Calibri" w:hAnsi="Calibri"/>
                <w:sz w:val="11"/>
                <w:szCs w:val="11"/>
                <w:color w:val="auto"/>
              </w:rPr>
              <w:t>Inventory</w:t>
            </w: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color w:val="auto"/>
              </w:rPr>
              <w:t>7.7</w:t>
            </w:r>
          </w:p>
        </w:tc>
      </w:tr>
      <w:tr>
        <w:trPr>
          <w:trHeight w:val="46"/>
        </w:trPr>
        <w:tc>
          <w:tcPr>
            <w:tcW w:w="9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60"/>
        </w:trPr>
        <w:tc>
          <w:tcPr>
            <w:tcW w:w="9720" w:type="dxa"/>
            <w:vAlign w:val="bottom"/>
            <w:tcBorders>
              <w:bottom w:val="single" w:sz="8" w:color="DBDBDB"/>
            </w:tcBorders>
            <w:shd w:val="clear" w:color="auto" w:fill="DBDBDB"/>
          </w:tcPr>
          <w:p>
            <w:pPr>
              <w:ind w:left="180"/>
              <w:spacing w:after="0"/>
              <w:rPr>
                <w:sz w:val="20"/>
                <w:szCs w:val="20"/>
                <w:color w:val="auto"/>
              </w:rPr>
            </w:pPr>
            <w:r>
              <w:rPr>
                <w:rFonts w:ascii="Calibri" w:cs="Calibri" w:eastAsia="Calibri" w:hAnsi="Calibri"/>
                <w:sz w:val="11"/>
                <w:szCs w:val="11"/>
                <w:color w:val="auto"/>
              </w:rPr>
              <w:t>Other current assets</w:t>
            </w:r>
          </w:p>
        </w:tc>
        <w:tc>
          <w:tcPr>
            <w:tcW w:w="54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7.7</w:t>
            </w:r>
          </w:p>
        </w:tc>
      </w:tr>
      <w:tr>
        <w:trPr>
          <w:trHeight w:val="135"/>
        </w:trPr>
        <w:tc>
          <w:tcPr>
            <w:tcW w:w="9720" w:type="dxa"/>
            <w:vAlign w:val="bottom"/>
          </w:tcPr>
          <w:p>
            <w:pPr>
              <w:ind w:left="180"/>
              <w:spacing w:after="0"/>
              <w:rPr>
                <w:sz w:val="20"/>
                <w:szCs w:val="20"/>
                <w:color w:val="auto"/>
              </w:rPr>
            </w:pPr>
            <w:r>
              <w:rPr>
                <w:rFonts w:ascii="Calibri" w:cs="Calibri" w:eastAsia="Calibri" w:hAnsi="Calibri"/>
                <w:sz w:val="11"/>
                <w:szCs w:val="11"/>
                <w:color w:val="auto"/>
              </w:rPr>
              <w:t>Property, plant and equipment</w:t>
            </w: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color w:val="auto"/>
              </w:rPr>
              <w:t>29.6</w:t>
            </w:r>
          </w:p>
        </w:tc>
      </w:tr>
      <w:tr>
        <w:trPr>
          <w:trHeight w:val="46"/>
        </w:trPr>
        <w:tc>
          <w:tcPr>
            <w:tcW w:w="9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60"/>
        </w:trPr>
        <w:tc>
          <w:tcPr>
            <w:tcW w:w="9720" w:type="dxa"/>
            <w:vAlign w:val="bottom"/>
            <w:tcBorders>
              <w:bottom w:val="single" w:sz="8" w:color="DBDBDB"/>
            </w:tcBorders>
            <w:shd w:val="clear" w:color="auto" w:fill="DBDBDB"/>
          </w:tcPr>
          <w:p>
            <w:pPr>
              <w:ind w:left="180"/>
              <w:spacing w:after="0"/>
              <w:rPr>
                <w:sz w:val="20"/>
                <w:szCs w:val="20"/>
                <w:color w:val="auto"/>
              </w:rPr>
            </w:pPr>
            <w:r>
              <w:rPr>
                <w:rFonts w:ascii="Calibri" w:cs="Calibri" w:eastAsia="Calibri" w:hAnsi="Calibri"/>
                <w:sz w:val="11"/>
                <w:szCs w:val="11"/>
                <w:color w:val="auto"/>
              </w:rPr>
              <w:t>Intangible asset</w:t>
            </w:r>
          </w:p>
        </w:tc>
        <w:tc>
          <w:tcPr>
            <w:tcW w:w="54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2.8</w:t>
            </w:r>
          </w:p>
        </w:tc>
      </w:tr>
      <w:tr>
        <w:trPr>
          <w:trHeight w:val="135"/>
        </w:trPr>
        <w:tc>
          <w:tcPr>
            <w:tcW w:w="9720" w:type="dxa"/>
            <w:vAlign w:val="bottom"/>
          </w:tcPr>
          <w:p>
            <w:pPr>
              <w:ind w:left="180"/>
              <w:spacing w:after="0"/>
              <w:rPr>
                <w:sz w:val="20"/>
                <w:szCs w:val="20"/>
                <w:color w:val="auto"/>
              </w:rPr>
            </w:pPr>
            <w:r>
              <w:rPr>
                <w:rFonts w:ascii="Calibri" w:cs="Calibri" w:eastAsia="Calibri" w:hAnsi="Calibri"/>
                <w:sz w:val="11"/>
                <w:szCs w:val="11"/>
                <w:color w:val="auto"/>
              </w:rPr>
              <w:t>Other assets</w:t>
            </w: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color w:val="auto"/>
              </w:rPr>
              <w:t>5.6</w:t>
            </w:r>
          </w:p>
        </w:tc>
      </w:tr>
      <w:tr>
        <w:trPr>
          <w:trHeight w:val="46"/>
        </w:trPr>
        <w:tc>
          <w:tcPr>
            <w:tcW w:w="9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60"/>
        </w:trPr>
        <w:tc>
          <w:tcPr>
            <w:tcW w:w="9720" w:type="dxa"/>
            <w:vAlign w:val="bottom"/>
            <w:tcBorders>
              <w:bottom w:val="single" w:sz="8" w:color="DBDBDB"/>
            </w:tcBorders>
            <w:shd w:val="clear" w:color="auto" w:fill="DBDBDB"/>
          </w:tcPr>
          <w:p>
            <w:pPr>
              <w:ind w:left="180"/>
              <w:spacing w:after="0"/>
              <w:rPr>
                <w:sz w:val="20"/>
                <w:szCs w:val="20"/>
                <w:color w:val="auto"/>
              </w:rPr>
            </w:pPr>
            <w:r>
              <w:rPr>
                <w:rFonts w:ascii="Calibri" w:cs="Calibri" w:eastAsia="Calibri" w:hAnsi="Calibri"/>
                <w:sz w:val="11"/>
                <w:szCs w:val="11"/>
                <w:color w:val="auto"/>
              </w:rPr>
              <w:t>Goodwill</w:t>
            </w:r>
          </w:p>
        </w:tc>
        <w:tc>
          <w:tcPr>
            <w:tcW w:w="54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12.5</w:t>
            </w:r>
          </w:p>
        </w:tc>
      </w:tr>
      <w:tr>
        <w:trPr>
          <w:trHeight w:val="135"/>
        </w:trPr>
        <w:tc>
          <w:tcPr>
            <w:tcW w:w="9720" w:type="dxa"/>
            <w:vAlign w:val="bottom"/>
          </w:tcPr>
          <w:p>
            <w:pPr>
              <w:ind w:left="180"/>
              <w:spacing w:after="0"/>
              <w:rPr>
                <w:sz w:val="20"/>
                <w:szCs w:val="20"/>
                <w:color w:val="auto"/>
              </w:rPr>
            </w:pPr>
            <w:r>
              <w:rPr>
                <w:rFonts w:ascii="Calibri" w:cs="Calibri" w:eastAsia="Calibri" w:hAnsi="Calibri"/>
                <w:sz w:val="11"/>
                <w:szCs w:val="11"/>
                <w:color w:val="auto"/>
              </w:rPr>
              <w:t>Current liabilites</w:t>
            </w: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color w:val="auto"/>
              </w:rPr>
              <w:t>(4.5)</w:t>
            </w:r>
          </w:p>
        </w:tc>
      </w:tr>
      <w:tr>
        <w:trPr>
          <w:trHeight w:val="46"/>
        </w:trPr>
        <w:tc>
          <w:tcPr>
            <w:tcW w:w="9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60"/>
        </w:trPr>
        <w:tc>
          <w:tcPr>
            <w:tcW w:w="9720" w:type="dxa"/>
            <w:vAlign w:val="bottom"/>
            <w:tcBorders>
              <w:bottom w:val="single" w:sz="8" w:color="DBDBDB"/>
            </w:tcBorders>
            <w:shd w:val="clear" w:color="auto" w:fill="DBDBDB"/>
          </w:tcPr>
          <w:p>
            <w:pPr>
              <w:ind w:left="180"/>
              <w:spacing w:after="0"/>
              <w:rPr>
                <w:sz w:val="20"/>
                <w:szCs w:val="20"/>
                <w:color w:val="auto"/>
              </w:rPr>
            </w:pPr>
            <w:r>
              <w:rPr>
                <w:rFonts w:ascii="Calibri" w:cs="Calibri" w:eastAsia="Calibri" w:hAnsi="Calibri"/>
                <w:sz w:val="11"/>
                <w:szCs w:val="11"/>
                <w:color w:val="auto"/>
              </w:rPr>
              <w:t>Deferred tax liability</w:t>
            </w:r>
          </w:p>
        </w:tc>
        <w:tc>
          <w:tcPr>
            <w:tcW w:w="54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(3.0)</w:t>
            </w:r>
          </w:p>
        </w:tc>
      </w:tr>
      <w:tr>
        <w:trPr>
          <w:trHeight w:val="135"/>
        </w:trPr>
        <w:tc>
          <w:tcPr>
            <w:tcW w:w="9720" w:type="dxa"/>
            <w:vAlign w:val="bottom"/>
          </w:tcPr>
          <w:p>
            <w:pPr>
              <w:ind w:left="180"/>
              <w:spacing w:after="0"/>
              <w:rPr>
                <w:sz w:val="20"/>
                <w:szCs w:val="20"/>
                <w:color w:val="auto"/>
              </w:rPr>
            </w:pPr>
            <w:r>
              <w:rPr>
                <w:rFonts w:ascii="Calibri" w:cs="Calibri" w:eastAsia="Calibri" w:hAnsi="Calibri"/>
                <w:sz w:val="11"/>
                <w:szCs w:val="11"/>
                <w:color w:val="auto"/>
              </w:rPr>
              <w:t>Other liabilites</w:t>
            </w:r>
          </w:p>
        </w:tc>
        <w:tc>
          <w:tcPr>
            <w:tcW w:w="5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color w:val="auto"/>
              </w:rPr>
              <w:t>(8.0)</w:t>
            </w:r>
          </w:p>
        </w:tc>
      </w:tr>
      <w:tr>
        <w:trPr>
          <w:trHeight w:val="46"/>
        </w:trPr>
        <w:tc>
          <w:tcPr>
            <w:tcW w:w="9720" w:type="dxa"/>
            <w:vAlign w:val="bottom"/>
            <w:tcBorders>
              <w:bottom w:val="single" w:sz="8" w:color="DBDBDB"/>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6"/>
        </w:trPr>
        <w:tc>
          <w:tcPr>
            <w:tcW w:w="9720" w:type="dxa"/>
            <w:vAlign w:val="bottom"/>
            <w:tcBorders>
              <w:bottom w:val="single" w:sz="8" w:color="DBDBDB"/>
            </w:tcBorders>
            <w:shd w:val="clear" w:color="auto" w:fill="DBDBDB"/>
          </w:tcPr>
          <w:p>
            <w:pPr>
              <w:spacing w:after="0"/>
              <w:rPr>
                <w:sz w:val="14"/>
                <w:szCs w:val="14"/>
                <w:color w:val="auto"/>
              </w:rPr>
            </w:pP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10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50.4</w:t>
            </w:r>
          </w:p>
        </w:tc>
      </w:tr>
      <w:tr>
        <w:trPr>
          <w:trHeight w:val="360"/>
        </w:trPr>
        <w:tc>
          <w:tcPr>
            <w:tcW w:w="9720" w:type="dxa"/>
            <w:vAlign w:val="bottom"/>
            <w:tcBorders>
              <w:top w:val="single" w:sz="8" w:color="auto"/>
            </w:tcBorders>
          </w:tcPr>
          <w:p>
            <w:pPr>
              <w:ind w:left="520"/>
              <w:spacing w:after="0"/>
              <w:rPr>
                <w:sz w:val="20"/>
                <w:szCs w:val="20"/>
                <w:color w:val="auto"/>
              </w:rPr>
            </w:pPr>
            <w:r>
              <w:rPr>
                <w:rFonts w:ascii="Calibri" w:cs="Calibri" w:eastAsia="Calibri" w:hAnsi="Calibri"/>
                <w:sz w:val="13"/>
                <w:szCs w:val="13"/>
                <w:color w:val="auto"/>
              </w:rPr>
              <w:t>The fair value of the noncontrolling interest in Moruga on the acquisiton date was $20.2 million.</w:t>
            </w:r>
          </w:p>
        </w:tc>
        <w:tc>
          <w:tcPr>
            <w:tcW w:w="5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bl>
    <w:p>
      <w:pPr>
        <w:spacing w:after="0" w:line="343" w:lineRule="exact"/>
        <w:rPr>
          <w:sz w:val="20"/>
          <w:szCs w:val="20"/>
          <w:color w:val="auto"/>
        </w:rPr>
      </w:pPr>
    </w:p>
    <w:p>
      <w:pPr>
        <w:spacing w:after="0"/>
        <w:tabs>
          <w:tab w:leader="none" w:pos="260" w:val="left"/>
        </w:tabs>
        <w:rPr>
          <w:sz w:val="20"/>
          <w:szCs w:val="20"/>
          <w:color w:val="auto"/>
        </w:rPr>
      </w:pPr>
      <w:r>
        <w:rPr>
          <w:rFonts w:ascii="Calibri" w:cs="Calibri" w:eastAsia="Calibri" w:hAnsi="Calibri"/>
          <w:sz w:val="16"/>
          <w:szCs w:val="16"/>
          <w:b w:val="1"/>
          <w:bCs w:val="1"/>
          <w:color w:val="auto"/>
        </w:rPr>
        <w:t>4.</w:t>
      </w:r>
      <w:r>
        <w:rPr>
          <w:sz w:val="20"/>
          <w:szCs w:val="20"/>
          <w:color w:val="auto"/>
        </w:rPr>
        <w:tab/>
      </w:r>
      <w:r>
        <w:rPr>
          <w:rFonts w:ascii="Calibri" w:cs="Calibri" w:eastAsia="Calibri" w:hAnsi="Calibri"/>
          <w:sz w:val="14"/>
          <w:szCs w:val="14"/>
          <w:b w:val="1"/>
          <w:bCs w:val="1"/>
          <w:color w:val="auto"/>
        </w:rPr>
        <w:t>Goodwill and Intangible Asset, net</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Goodwill</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Changes in the net carrying amount of goodwill by reportable segment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0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2460" w:type="dxa"/>
            <w:vAlign w:val="bottom"/>
          </w:tcPr>
          <w:p>
            <w:pPr>
              <w:spacing w:after="0"/>
              <w:rPr>
                <w:sz w:val="11"/>
                <w:szCs w:val="11"/>
                <w:color w:val="auto"/>
              </w:rPr>
            </w:pPr>
          </w:p>
        </w:tc>
        <w:tc>
          <w:tcPr>
            <w:tcW w:w="13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Internatonal Farming</w:t>
            </w:r>
          </w:p>
        </w:tc>
        <w:tc>
          <w:tcPr>
            <w:tcW w:w="600" w:type="dxa"/>
            <w:vAlign w:val="bottom"/>
          </w:tcPr>
          <w:p>
            <w:pPr>
              <w:spacing w:after="0"/>
              <w:rPr>
                <w:sz w:val="11"/>
                <w:szCs w:val="11"/>
                <w:color w:val="auto"/>
              </w:rPr>
            </w:pPr>
          </w:p>
        </w:tc>
        <w:tc>
          <w:tcPr>
            <w:tcW w:w="108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Blueberries</w:t>
            </w:r>
          </w:p>
        </w:tc>
        <w:tc>
          <w:tcPr>
            <w:tcW w:w="740" w:type="dxa"/>
            <w:vAlign w:val="bottom"/>
          </w:tcPr>
          <w:p>
            <w:pPr>
              <w:spacing w:after="0"/>
              <w:rPr>
                <w:sz w:val="11"/>
                <w:szCs w:val="11"/>
                <w:color w:val="auto"/>
              </w:rPr>
            </w:pPr>
          </w:p>
        </w:tc>
        <w:tc>
          <w:tcPr>
            <w:tcW w:w="880" w:type="dxa"/>
            <w:vAlign w:val="bottom"/>
          </w:tcPr>
          <w:p>
            <w:pPr>
              <w:ind w:left="640"/>
              <w:spacing w:after="0"/>
              <w:rPr>
                <w:sz w:val="20"/>
                <w:szCs w:val="20"/>
                <w:color w:val="auto"/>
              </w:rPr>
            </w:pPr>
            <w:r>
              <w:rPr>
                <w:rFonts w:ascii="Calibri" w:cs="Calibri" w:eastAsia="Calibri" w:hAnsi="Calibri"/>
                <w:sz w:val="11"/>
                <w:szCs w:val="11"/>
                <w:b w:val="1"/>
                <w:bCs w:val="1"/>
                <w:color w:val="auto"/>
                <w:w w:val="94"/>
              </w:rPr>
              <w:t>Total</w:t>
            </w:r>
          </w:p>
        </w:tc>
      </w:tr>
      <w:tr>
        <w:trPr>
          <w:trHeight w:val="46"/>
        </w:trPr>
        <w:tc>
          <w:tcPr>
            <w:tcW w:w="420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51"/>
        </w:trPr>
        <w:tc>
          <w:tcPr>
            <w:tcW w:w="42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Goodwill as of October 31, 2021</w:t>
            </w:r>
          </w:p>
        </w:tc>
        <w:tc>
          <w:tcPr>
            <w:tcW w:w="2460" w:type="dxa"/>
            <w:vAlign w:val="bottom"/>
            <w:tcBorders>
              <w:bottom w:val="single" w:sz="8" w:color="DBDBDB"/>
            </w:tcBorders>
            <w:shd w:val="clear" w:color="auto" w:fill="DBDBDB"/>
          </w:tcPr>
          <w:p>
            <w:pPr>
              <w:jc w:val="right"/>
              <w:ind w:right="183"/>
              <w:spacing w:after="0" w:line="126" w:lineRule="exact"/>
              <w:rPr>
                <w:sz w:val="20"/>
                <w:szCs w:val="20"/>
                <w:color w:val="auto"/>
              </w:rPr>
            </w:pPr>
            <w:r>
              <w:rPr>
                <w:rFonts w:ascii="Calibri" w:cs="Calibri" w:eastAsia="Calibri" w:hAnsi="Calibri"/>
                <w:sz w:val="11"/>
                <w:szCs w:val="11"/>
                <w:color w:val="auto"/>
              </w:rPr>
              <w:t>$</w:t>
            </w:r>
          </w:p>
        </w:tc>
        <w:tc>
          <w:tcPr>
            <w:tcW w:w="132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76.4</w:t>
            </w:r>
          </w:p>
        </w:tc>
        <w:tc>
          <w:tcPr>
            <w:tcW w:w="60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108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w:t>
            </w:r>
          </w:p>
        </w:tc>
        <w:tc>
          <w:tcPr>
            <w:tcW w:w="740" w:type="dxa"/>
            <w:vAlign w:val="bottom"/>
            <w:tcBorders>
              <w:bottom w:val="single" w:sz="8" w:color="DBDBDB"/>
            </w:tcBorders>
            <w:shd w:val="clear" w:color="auto" w:fill="DBDBDB"/>
          </w:tcPr>
          <w:p>
            <w:pPr>
              <w:jc w:val="right"/>
              <w:ind w:right="543"/>
              <w:spacing w:after="0" w:line="126" w:lineRule="exact"/>
              <w:rPr>
                <w:sz w:val="20"/>
                <w:szCs w:val="20"/>
                <w:color w:val="auto"/>
              </w:rPr>
            </w:pPr>
            <w:r>
              <w:rPr>
                <w:rFonts w:ascii="Calibri" w:cs="Calibri" w:eastAsia="Calibri" w:hAnsi="Calibri"/>
                <w:sz w:val="11"/>
                <w:szCs w:val="11"/>
                <w:color w:val="auto"/>
              </w:rPr>
              <w:t>$</w:t>
            </w:r>
          </w:p>
        </w:tc>
        <w:tc>
          <w:tcPr>
            <w:tcW w:w="880" w:type="dxa"/>
            <w:vAlign w:val="bottom"/>
            <w:tcBorders>
              <w:bottom w:val="single" w:sz="8" w:color="DBDBDB"/>
            </w:tcBorders>
            <w:shd w:val="clear" w:color="auto" w:fill="DBDBDB"/>
          </w:tcPr>
          <w:p>
            <w:pPr>
              <w:ind w:left="640"/>
              <w:spacing w:after="0" w:line="126" w:lineRule="exact"/>
              <w:rPr>
                <w:sz w:val="20"/>
                <w:szCs w:val="20"/>
                <w:color w:val="auto"/>
              </w:rPr>
            </w:pPr>
            <w:r>
              <w:rPr>
                <w:rFonts w:ascii="Calibri" w:cs="Calibri" w:eastAsia="Calibri" w:hAnsi="Calibri"/>
                <w:sz w:val="11"/>
                <w:szCs w:val="11"/>
                <w:color w:val="auto"/>
              </w:rPr>
              <w:t>76.4</w:t>
            </w:r>
          </w:p>
        </w:tc>
      </w:tr>
      <w:tr>
        <w:trPr>
          <w:trHeight w:val="135"/>
        </w:trPr>
        <w:tc>
          <w:tcPr>
            <w:tcW w:w="4200" w:type="dxa"/>
            <w:vAlign w:val="bottom"/>
          </w:tcPr>
          <w:p>
            <w:pPr>
              <w:ind w:left="20"/>
              <w:spacing w:after="0"/>
              <w:rPr>
                <w:sz w:val="20"/>
                <w:szCs w:val="20"/>
                <w:color w:val="auto"/>
              </w:rPr>
            </w:pPr>
            <w:r>
              <w:rPr>
                <w:rFonts w:ascii="Calibri" w:cs="Calibri" w:eastAsia="Calibri" w:hAnsi="Calibri"/>
                <w:sz w:val="11"/>
                <w:szCs w:val="11"/>
                <w:color w:val="auto"/>
              </w:rPr>
              <w:t>Business combinaton with Moruga (Note 3)</w:t>
            </w:r>
          </w:p>
        </w:tc>
        <w:tc>
          <w:tcPr>
            <w:tcW w:w="2460" w:type="dxa"/>
            <w:vAlign w:val="bottom"/>
          </w:tcPr>
          <w:p>
            <w:pPr>
              <w:spacing w:after="0"/>
              <w:rPr>
                <w:sz w:val="11"/>
                <w:szCs w:val="11"/>
                <w:color w:val="auto"/>
              </w:rPr>
            </w:pPr>
          </w:p>
        </w:tc>
        <w:tc>
          <w:tcPr>
            <w:tcW w:w="132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Pr>
          <w:p>
            <w:pPr>
              <w:spacing w:after="0"/>
              <w:rPr>
                <w:sz w:val="11"/>
                <w:szCs w:val="11"/>
                <w:color w:val="auto"/>
              </w:rPr>
            </w:pPr>
          </w:p>
        </w:tc>
        <w:tc>
          <w:tcPr>
            <w:tcW w:w="1080" w:type="dxa"/>
            <w:vAlign w:val="bottom"/>
          </w:tcPr>
          <w:p>
            <w:pPr>
              <w:jc w:val="right"/>
              <w:ind w:right="63"/>
              <w:spacing w:after="0"/>
              <w:rPr>
                <w:sz w:val="20"/>
                <w:szCs w:val="20"/>
                <w:color w:val="auto"/>
              </w:rPr>
            </w:pPr>
            <w:r>
              <w:rPr>
                <w:rFonts w:ascii="Calibri" w:cs="Calibri" w:eastAsia="Calibri" w:hAnsi="Calibri"/>
                <w:sz w:val="11"/>
                <w:szCs w:val="11"/>
                <w:color w:val="auto"/>
              </w:rPr>
              <w:t>12.5</w:t>
            </w:r>
          </w:p>
        </w:tc>
        <w:tc>
          <w:tcPr>
            <w:tcW w:w="740" w:type="dxa"/>
            <w:vAlign w:val="bottom"/>
          </w:tcPr>
          <w:p>
            <w:pPr>
              <w:spacing w:after="0"/>
              <w:rPr>
                <w:sz w:val="11"/>
                <w:szCs w:val="11"/>
                <w:color w:val="auto"/>
              </w:rPr>
            </w:pPr>
          </w:p>
        </w:tc>
        <w:tc>
          <w:tcPr>
            <w:tcW w:w="880" w:type="dxa"/>
            <w:vAlign w:val="bottom"/>
          </w:tcPr>
          <w:p>
            <w:pPr>
              <w:ind w:left="640"/>
              <w:spacing w:after="0"/>
              <w:rPr>
                <w:sz w:val="20"/>
                <w:szCs w:val="20"/>
                <w:color w:val="auto"/>
              </w:rPr>
            </w:pPr>
            <w:r>
              <w:rPr>
                <w:rFonts w:ascii="Calibri" w:cs="Calibri" w:eastAsia="Calibri" w:hAnsi="Calibri"/>
                <w:sz w:val="11"/>
                <w:szCs w:val="11"/>
                <w:color w:val="auto"/>
              </w:rPr>
              <w:t>12.5</w:t>
            </w:r>
          </w:p>
        </w:tc>
      </w:tr>
      <w:tr>
        <w:trPr>
          <w:trHeight w:val="46"/>
        </w:trPr>
        <w:tc>
          <w:tcPr>
            <w:tcW w:w="42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85"/>
        </w:trPr>
        <w:tc>
          <w:tcPr>
            <w:tcW w:w="42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Impairment</w:t>
            </w:r>
          </w:p>
        </w:tc>
        <w:tc>
          <w:tcPr>
            <w:tcW w:w="2460" w:type="dxa"/>
            <w:vAlign w:val="bottom"/>
            <w:tcBorders>
              <w:bottom w:val="single" w:sz="8" w:color="DBDBDB"/>
            </w:tcBorders>
            <w:shd w:val="clear" w:color="auto" w:fill="DBDBDB"/>
          </w:tcPr>
          <w:p>
            <w:pPr>
              <w:spacing w:after="0"/>
              <w:rPr>
                <w:sz w:val="15"/>
                <w:szCs w:val="15"/>
                <w:color w:val="auto"/>
              </w:rPr>
            </w:pPr>
          </w:p>
        </w:tc>
        <w:tc>
          <w:tcPr>
            <w:tcW w:w="1320" w:type="dxa"/>
            <w:vAlign w:val="bottom"/>
            <w:tcBorders>
              <w:bottom w:val="single" w:sz="8" w:color="DBDBDB"/>
            </w:tcBorders>
            <w:shd w:val="clear" w:color="auto" w:fill="DBDBDB"/>
          </w:tcPr>
          <w:p>
            <w:pPr>
              <w:jc w:val="right"/>
              <w:ind w:right="43"/>
              <w:spacing w:after="0"/>
              <w:rPr>
                <w:sz w:val="20"/>
                <w:szCs w:val="20"/>
                <w:color w:val="auto"/>
              </w:rPr>
            </w:pPr>
            <w:r>
              <w:rPr>
                <w:rFonts w:ascii="Calibri" w:cs="Calibri" w:eastAsia="Calibri" w:hAnsi="Calibri"/>
                <w:sz w:val="11"/>
                <w:szCs w:val="11"/>
                <w:color w:val="auto"/>
              </w:rPr>
              <w:t>(49.5)</w:t>
            </w:r>
          </w:p>
        </w:tc>
        <w:tc>
          <w:tcPr>
            <w:tcW w:w="60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74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ind w:left="600"/>
              <w:spacing w:after="0"/>
              <w:rPr>
                <w:sz w:val="20"/>
                <w:szCs w:val="20"/>
                <w:color w:val="auto"/>
              </w:rPr>
            </w:pPr>
            <w:r>
              <w:rPr>
                <w:rFonts w:ascii="Calibri" w:cs="Calibri" w:eastAsia="Calibri" w:hAnsi="Calibri"/>
                <w:sz w:val="11"/>
                <w:szCs w:val="11"/>
                <w:color w:val="auto"/>
                <w:w w:val="99"/>
              </w:rPr>
              <w:t>(49.5)</w:t>
            </w:r>
          </w:p>
        </w:tc>
      </w:tr>
      <w:tr>
        <w:trPr>
          <w:trHeight w:val="125"/>
        </w:trPr>
        <w:tc>
          <w:tcPr>
            <w:tcW w:w="42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Goodwill as of October 31, 2022</w:t>
            </w:r>
          </w:p>
        </w:tc>
        <w:tc>
          <w:tcPr>
            <w:tcW w:w="2460" w:type="dxa"/>
            <w:vAlign w:val="bottom"/>
            <w:tcBorders>
              <w:top w:val="single" w:sz="8" w:color="auto"/>
            </w:tcBorders>
          </w:tcPr>
          <w:p>
            <w:pPr>
              <w:jc w:val="right"/>
              <w:ind w:right="183"/>
              <w:spacing w:after="0" w:line="126" w:lineRule="exact"/>
              <w:rPr>
                <w:sz w:val="20"/>
                <w:szCs w:val="20"/>
                <w:color w:val="auto"/>
              </w:rPr>
            </w:pPr>
            <w:r>
              <w:rPr>
                <w:rFonts w:ascii="Calibri" w:cs="Calibri" w:eastAsia="Calibri" w:hAnsi="Calibri"/>
                <w:sz w:val="11"/>
                <w:szCs w:val="11"/>
                <w:color w:val="auto"/>
              </w:rPr>
              <w:t>$</w:t>
            </w:r>
          </w:p>
        </w:tc>
        <w:tc>
          <w:tcPr>
            <w:tcW w:w="132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26.9</w:t>
            </w:r>
          </w:p>
        </w:tc>
        <w:tc>
          <w:tcPr>
            <w:tcW w:w="600" w:type="dxa"/>
            <w:vAlign w:val="bottom"/>
            <w:tcBorders>
              <w:top w:val="single" w:sz="8" w:color="auto"/>
            </w:tcBorders>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108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12.5</w:t>
            </w:r>
          </w:p>
        </w:tc>
        <w:tc>
          <w:tcPr>
            <w:tcW w:w="740" w:type="dxa"/>
            <w:vAlign w:val="bottom"/>
            <w:tcBorders>
              <w:top w:val="single" w:sz="8" w:color="auto"/>
            </w:tcBorders>
          </w:tcPr>
          <w:p>
            <w:pPr>
              <w:jc w:val="right"/>
              <w:ind w:right="543"/>
              <w:spacing w:after="0" w:line="126" w:lineRule="exact"/>
              <w:rPr>
                <w:sz w:val="20"/>
                <w:szCs w:val="20"/>
                <w:color w:val="auto"/>
              </w:rPr>
            </w:pPr>
            <w:r>
              <w:rPr>
                <w:rFonts w:ascii="Calibri" w:cs="Calibri" w:eastAsia="Calibri" w:hAnsi="Calibri"/>
                <w:sz w:val="11"/>
                <w:szCs w:val="11"/>
                <w:color w:val="auto"/>
              </w:rPr>
              <w:t>$</w:t>
            </w:r>
          </w:p>
        </w:tc>
        <w:tc>
          <w:tcPr>
            <w:tcW w:w="880" w:type="dxa"/>
            <w:vAlign w:val="bottom"/>
            <w:tcBorders>
              <w:top w:val="single" w:sz="8" w:color="auto"/>
            </w:tcBorders>
          </w:tcPr>
          <w:p>
            <w:pPr>
              <w:ind w:left="640"/>
              <w:spacing w:after="0" w:line="126" w:lineRule="exact"/>
              <w:rPr>
                <w:sz w:val="20"/>
                <w:szCs w:val="20"/>
                <w:color w:val="auto"/>
              </w:rPr>
            </w:pPr>
            <w:r>
              <w:rPr>
                <w:rFonts w:ascii="Calibri" w:cs="Calibri" w:eastAsia="Calibri" w:hAnsi="Calibri"/>
                <w:sz w:val="11"/>
                <w:szCs w:val="11"/>
                <w:color w:val="auto"/>
              </w:rPr>
              <w:t>39.4</w:t>
            </w:r>
          </w:p>
        </w:tc>
      </w:tr>
      <w:tr>
        <w:trPr>
          <w:trHeight w:val="46"/>
        </w:trPr>
        <w:tc>
          <w:tcPr>
            <w:tcW w:w="42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bl>
    <w:p>
      <w:pPr>
        <w:spacing w:after="0" w:line="209" w:lineRule="exact"/>
        <w:rPr>
          <w:sz w:val="20"/>
          <w:szCs w:val="20"/>
          <w:color w:val="auto"/>
        </w:rPr>
      </w:pPr>
    </w:p>
    <w:p>
      <w:pPr>
        <w:ind w:right="20" w:firstLine="509"/>
        <w:spacing w:after="0" w:line="231" w:lineRule="auto"/>
        <w:rPr>
          <w:sz w:val="20"/>
          <w:szCs w:val="20"/>
          <w:color w:val="auto"/>
        </w:rPr>
      </w:pPr>
      <w:r>
        <w:rPr>
          <w:rFonts w:ascii="Calibri" w:cs="Calibri" w:eastAsia="Calibri" w:hAnsi="Calibri"/>
          <w:sz w:val="13"/>
          <w:szCs w:val="13"/>
          <w:color w:val="auto"/>
        </w:rPr>
        <w:t>During the fourth quarter of fscal 2022, management performed its annual goodwill impairment test on its Peruvian farming reportng unit within the Internatonal Farming segment. With the assistance of a third-party specialist, management performed a quanttatve assessment of the fair value of the reportng unit using the GPC and DCF methods described above in Note 3. We applied an equal weightng to the value conclusions resultng from the two employed approaches, because there was sufcient informaton to estmate the fair value of the reportng unit under both methods. The selected BEV to EBITDA multple used in the GPC method was 12.0x for the frst forecast year and 8.0x for the second forecast year. The mean and median BEV to EBITDA multples of GPCs were 10.0x and 8.8x, respectvely. The discount rate used in the DCF model was 17.5%, which refects a signifcant increase in the WACC due to recent rising interest rates. In additon, forecasted cash fows have been negatvely impacted by tax law repealing tax benefts to agribusiness enttes in Peru. Peruvian corporate tax rates will increase from the current rate of 15% to 29.5% by calendar year 2028. When forecastng cash fows during the fourth quarter of 2022, producton and sales informaton regarding the 2022 avocado harvest in Peru became available, along with informaton on the impact of infatonary pressures on the Peruvian farming cost structure, lowering management’s proftability forecasts for the reportng unit. As a result of the valuatons performed, management concluded that the fair value of the reportng unit was lower than its carrying value by $49.5 million, which was recorded as an impairment charge to goodwill in the consolidated statements of (loss) income. In the Blueberries segment, there were no indicators of impairment to the blueberries reportng unit following the recording of goodwill in the third quarter of fscal 2022.</w:t>
      </w:r>
    </w:p>
    <w:p>
      <w:pPr>
        <w:spacing w:after="0" w:line="160" w:lineRule="exact"/>
        <w:rPr>
          <w:sz w:val="20"/>
          <w:szCs w:val="20"/>
          <w:color w:val="auto"/>
        </w:rPr>
      </w:pPr>
    </w:p>
    <w:p>
      <w:pPr>
        <w:ind w:right="180" w:firstLine="509"/>
        <w:spacing w:after="0" w:line="225" w:lineRule="auto"/>
        <w:rPr>
          <w:sz w:val="20"/>
          <w:szCs w:val="20"/>
          <w:color w:val="auto"/>
        </w:rPr>
      </w:pPr>
      <w:r>
        <w:rPr>
          <w:rFonts w:ascii="Calibri" w:cs="Calibri" w:eastAsia="Calibri" w:hAnsi="Calibri"/>
          <w:sz w:val="13"/>
          <w:szCs w:val="13"/>
          <w:color w:val="auto"/>
        </w:rPr>
        <w:t>The result of our annual impairment assessment for the years ended October 31, 2021 and 2020 indicated that it was more likely than not that the fair value of our reportng unit’s goodwill had exceeded its carrying value and accordingly,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6" w:name="page57"/>
    <w:bookmarkEnd w:id="56"/>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Intangible asset,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gridSpan w:val="2"/>
          </w:tcPr>
          <w:p>
            <w:pPr>
              <w:jc w:val="right"/>
              <w:ind w:right="523"/>
              <w:spacing w:after="0"/>
              <w:rPr>
                <w:sz w:val="20"/>
                <w:szCs w:val="20"/>
                <w:color w:val="auto"/>
              </w:rPr>
            </w:pPr>
            <w:r>
              <w:rPr>
                <w:rFonts w:ascii="Calibri" w:cs="Calibri" w:eastAsia="Calibri" w:hAnsi="Calibri"/>
                <w:sz w:val="11"/>
                <w:szCs w:val="11"/>
                <w:b w:val="1"/>
                <w:bCs w:val="1"/>
                <w:color w:val="auto"/>
              </w:rPr>
              <w:t>October 31,</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794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6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79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63"/>
              <w:spacing w:after="0" w:line="126" w:lineRule="exact"/>
              <w:rPr>
                <w:sz w:val="20"/>
                <w:szCs w:val="20"/>
                <w:color w:val="auto"/>
              </w:rPr>
            </w:pPr>
            <w:r>
              <w:rPr>
                <w:rFonts w:ascii="Calibri" w:cs="Calibri" w:eastAsia="Calibri" w:hAnsi="Calibri"/>
                <w:sz w:val="11"/>
                <w:szCs w:val="11"/>
                <w:b w:val="1"/>
                <w:bCs w:val="1"/>
                <w:color w:val="auto"/>
              </w:rPr>
              <w:t>2022</w:t>
            </w:r>
          </w:p>
        </w:tc>
        <w:tc>
          <w:tcPr>
            <w:tcW w:w="86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79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Intangible asset, gross</w:t>
            </w:r>
          </w:p>
        </w:tc>
        <w:tc>
          <w:tcPr>
            <w:tcW w:w="680" w:type="dxa"/>
            <w:vAlign w:val="bottom"/>
            <w:tcBorders>
              <w:bottom w:val="single" w:sz="8" w:color="DBDBDB"/>
            </w:tcBorders>
            <w:shd w:val="clear" w:color="auto" w:fill="DBDBDB"/>
          </w:tcPr>
          <w:p>
            <w:pPr>
              <w:jc w:val="right"/>
              <w:ind w:right="563"/>
              <w:spacing w:after="0" w:line="126" w:lineRule="exact"/>
              <w:rPr>
                <w:sz w:val="20"/>
                <w:szCs w:val="20"/>
                <w:color w:val="auto"/>
              </w:rPr>
            </w:pPr>
            <w:r>
              <w:rPr>
                <w:rFonts w:ascii="Calibri" w:cs="Calibri" w:eastAsia="Calibri" w:hAnsi="Calibri"/>
                <w:sz w:val="11"/>
                <w:szCs w:val="11"/>
                <w:color w:val="auto"/>
                <w:w w:val="70"/>
              </w:rPr>
              <w:t>$</w:t>
            </w:r>
          </w:p>
        </w:tc>
        <w:tc>
          <w:tcPr>
            <w:tcW w:w="98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2.8</w:t>
            </w:r>
          </w:p>
        </w:tc>
        <w:tc>
          <w:tcPr>
            <w:tcW w:w="860" w:type="dxa"/>
            <w:vAlign w:val="bottom"/>
            <w:tcBorders>
              <w:bottom w:val="single" w:sz="8" w:color="DBDBDB"/>
            </w:tcBorders>
            <w:shd w:val="clear" w:color="auto" w:fill="DBDBDB"/>
          </w:tcPr>
          <w:p>
            <w:pPr>
              <w:jc w:val="right"/>
              <w:ind w:right="603"/>
              <w:spacing w:after="0" w:line="126" w:lineRule="exact"/>
              <w:rPr>
                <w:sz w:val="20"/>
                <w:szCs w:val="20"/>
                <w:color w:val="auto"/>
              </w:rPr>
            </w:pPr>
            <w:r>
              <w:rPr>
                <w:rFonts w:ascii="Calibri" w:cs="Calibri" w:eastAsia="Calibri" w:hAnsi="Calibri"/>
                <w:sz w:val="11"/>
                <w:szCs w:val="11"/>
                <w:color w:val="auto"/>
              </w:rPr>
              <w:t>$</w:t>
            </w:r>
          </w:p>
        </w:tc>
        <w:tc>
          <w:tcPr>
            <w:tcW w:w="820" w:type="dxa"/>
            <w:vAlign w:val="bottom"/>
            <w:tcBorders>
              <w:bottom w:val="single" w:sz="8" w:color="DBDBDB"/>
            </w:tcBorders>
            <w:shd w:val="clear" w:color="auto" w:fill="DBDBDB"/>
          </w:tcPr>
          <w:p>
            <w:pPr>
              <w:ind w:left="680"/>
              <w:spacing w:after="0" w:line="126" w:lineRule="exact"/>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7940" w:type="dxa"/>
            <w:vAlign w:val="bottom"/>
          </w:tcPr>
          <w:p>
            <w:pPr>
              <w:ind w:left="20"/>
              <w:spacing w:after="0"/>
              <w:rPr>
                <w:sz w:val="20"/>
                <w:szCs w:val="20"/>
                <w:color w:val="auto"/>
              </w:rPr>
            </w:pPr>
            <w:r>
              <w:rPr>
                <w:rFonts w:ascii="Calibri" w:cs="Calibri" w:eastAsia="Calibri" w:hAnsi="Calibri"/>
                <w:sz w:val="11"/>
                <w:szCs w:val="11"/>
                <w:color w:val="auto"/>
              </w:rPr>
              <w:t>Accumulated amortzaton</w:t>
            </w:r>
          </w:p>
        </w:tc>
        <w:tc>
          <w:tcPr>
            <w:tcW w:w="680" w:type="dxa"/>
            <w:vAlign w:val="bottom"/>
          </w:tcPr>
          <w:p>
            <w:pPr>
              <w:spacing w:after="0"/>
              <w:rPr>
                <w:sz w:val="11"/>
                <w:szCs w:val="11"/>
                <w:color w:val="auto"/>
              </w:rPr>
            </w:pPr>
          </w:p>
        </w:tc>
        <w:tc>
          <w:tcPr>
            <w:tcW w:w="980" w:type="dxa"/>
            <w:vAlign w:val="bottom"/>
          </w:tcPr>
          <w:p>
            <w:pPr>
              <w:jc w:val="right"/>
              <w:ind w:right="83"/>
              <w:spacing w:after="0"/>
              <w:rPr>
                <w:sz w:val="20"/>
                <w:szCs w:val="20"/>
                <w:color w:val="auto"/>
              </w:rPr>
            </w:pPr>
            <w:r>
              <w:rPr>
                <w:rFonts w:ascii="Calibri" w:cs="Calibri" w:eastAsia="Calibri" w:hAnsi="Calibri"/>
                <w:sz w:val="11"/>
                <w:szCs w:val="11"/>
                <w:color w:val="auto"/>
              </w:rPr>
              <w:t>(0.8)</w:t>
            </w:r>
          </w:p>
        </w:tc>
        <w:tc>
          <w:tcPr>
            <w:tcW w:w="860" w:type="dxa"/>
            <w:vAlign w:val="bottom"/>
          </w:tcPr>
          <w:p>
            <w:pPr>
              <w:spacing w:after="0"/>
              <w:rPr>
                <w:sz w:val="11"/>
                <w:szCs w:val="11"/>
                <w:color w:val="auto"/>
              </w:rPr>
            </w:pPr>
          </w:p>
        </w:tc>
        <w:tc>
          <w:tcPr>
            <w:tcW w:w="820" w:type="dxa"/>
            <w:vAlign w:val="bottom"/>
          </w:tcPr>
          <w:p>
            <w:pPr>
              <w:ind w:left="680"/>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79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Intangible asset, net</w:t>
            </w:r>
          </w:p>
        </w:tc>
        <w:tc>
          <w:tcPr>
            <w:tcW w:w="680" w:type="dxa"/>
            <w:vAlign w:val="bottom"/>
            <w:tcBorders>
              <w:bottom w:val="single" w:sz="8" w:color="DBDBDB"/>
            </w:tcBorders>
            <w:shd w:val="clear" w:color="auto" w:fill="DBDBDB"/>
          </w:tcPr>
          <w:p>
            <w:pPr>
              <w:jc w:val="right"/>
              <w:ind w:right="563"/>
              <w:spacing w:after="0" w:line="126" w:lineRule="exact"/>
              <w:rPr>
                <w:sz w:val="20"/>
                <w:szCs w:val="20"/>
                <w:color w:val="auto"/>
              </w:rPr>
            </w:pPr>
            <w:r>
              <w:rPr>
                <w:rFonts w:ascii="Calibri" w:cs="Calibri" w:eastAsia="Calibri" w:hAnsi="Calibri"/>
                <w:sz w:val="11"/>
                <w:szCs w:val="11"/>
                <w:color w:val="auto"/>
                <w:w w:val="70"/>
              </w:rPr>
              <w:t>$</w:t>
            </w:r>
          </w:p>
        </w:tc>
        <w:tc>
          <w:tcPr>
            <w:tcW w:w="98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2.0</w:t>
            </w:r>
          </w:p>
        </w:tc>
        <w:tc>
          <w:tcPr>
            <w:tcW w:w="860" w:type="dxa"/>
            <w:vAlign w:val="bottom"/>
            <w:tcBorders>
              <w:bottom w:val="single" w:sz="8" w:color="DBDBDB"/>
            </w:tcBorders>
            <w:shd w:val="clear" w:color="auto" w:fill="DBDBDB"/>
          </w:tcPr>
          <w:p>
            <w:pPr>
              <w:jc w:val="right"/>
              <w:ind w:right="603"/>
              <w:spacing w:after="0" w:line="126" w:lineRule="exact"/>
              <w:rPr>
                <w:sz w:val="20"/>
                <w:szCs w:val="20"/>
                <w:color w:val="auto"/>
              </w:rPr>
            </w:pPr>
            <w:r>
              <w:rPr>
                <w:rFonts w:ascii="Calibri" w:cs="Calibri" w:eastAsia="Calibri" w:hAnsi="Calibri"/>
                <w:sz w:val="11"/>
                <w:szCs w:val="11"/>
                <w:color w:val="auto"/>
              </w:rPr>
              <w:t>$</w:t>
            </w:r>
          </w:p>
        </w:tc>
        <w:tc>
          <w:tcPr>
            <w:tcW w:w="820" w:type="dxa"/>
            <w:vAlign w:val="bottom"/>
            <w:tcBorders>
              <w:bottom w:val="single" w:sz="8" w:color="DBDBDB"/>
            </w:tcBorders>
            <w:shd w:val="clear" w:color="auto" w:fill="DBDBDB"/>
          </w:tcPr>
          <w:p>
            <w:pPr>
              <w:ind w:left="680"/>
              <w:spacing w:after="0" w:line="126" w:lineRule="exact"/>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20"/>
        </w:trPr>
        <w:tc>
          <w:tcPr>
            <w:tcW w:w="7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firstLine="509"/>
        <w:spacing w:after="0" w:line="225" w:lineRule="auto"/>
        <w:rPr>
          <w:sz w:val="20"/>
          <w:szCs w:val="20"/>
          <w:color w:val="auto"/>
        </w:rPr>
      </w:pPr>
      <w:r>
        <w:rPr>
          <w:rFonts w:ascii="Calibri" w:cs="Calibri" w:eastAsia="Calibri" w:hAnsi="Calibri"/>
          <w:sz w:val="13"/>
          <w:szCs w:val="13"/>
          <w:color w:val="auto"/>
        </w:rPr>
        <w:t>The intangible asset, net consists of a distributor relatonship entrely atributed to the business combinaton with Moruga on May 1, 2022 (see Note 3). The intangible asset has an amortzable life of 2 years, to be recognized in selling, general and administratve expenses coinciding with the tming of the estmated revenues. Amortzaton expense was $0.8 million for year ended October 31, 2022. The remaining amortzaton expense is expected to be recognized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60" w:type="dxa"/>
            <w:vAlign w:val="bottom"/>
            <w:gridSpan w:val="2"/>
          </w:tcPr>
          <w:p>
            <w:pPr>
              <w:jc w:val="right"/>
              <w:ind w:right="343"/>
              <w:spacing w:after="0"/>
              <w:rPr>
                <w:sz w:val="20"/>
                <w:szCs w:val="20"/>
                <w:color w:val="auto"/>
              </w:rPr>
            </w:pPr>
            <w:r>
              <w:rPr>
                <w:rFonts w:ascii="Calibri" w:cs="Calibri" w:eastAsia="Calibri" w:hAnsi="Calibri"/>
                <w:sz w:val="11"/>
                <w:szCs w:val="11"/>
                <w:b w:val="1"/>
                <w:bCs w:val="1"/>
                <w:color w:val="auto"/>
              </w:rPr>
              <w:t>Years Ending October 31,</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0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80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tcPr>
          <w:p>
            <w:pPr>
              <w:jc w:val="right"/>
              <w:ind w:right="23"/>
              <w:spacing w:after="0" w:line="126" w:lineRule="exact"/>
              <w:rPr>
                <w:sz w:val="20"/>
                <w:szCs w:val="20"/>
                <w:color w:val="auto"/>
              </w:rPr>
            </w:pPr>
            <w:r>
              <w:rPr>
                <w:rFonts w:ascii="Calibri" w:cs="Calibri" w:eastAsia="Calibri" w:hAnsi="Calibri"/>
                <w:sz w:val="11"/>
                <w:szCs w:val="11"/>
                <w:b w:val="1"/>
                <w:bCs w:val="1"/>
                <w:color w:val="auto"/>
              </w:rPr>
              <w:t>2023</w:t>
            </w:r>
          </w:p>
        </w:tc>
        <w:tc>
          <w:tcPr>
            <w:tcW w:w="10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2024</w:t>
            </w:r>
          </w:p>
        </w:tc>
        <w:tc>
          <w:tcPr>
            <w:tcW w:w="0" w:type="dxa"/>
            <w:vAlign w:val="bottom"/>
          </w:tcPr>
          <w:p>
            <w:pPr>
              <w:spacing w:after="0"/>
              <w:rPr>
                <w:sz w:val="1"/>
                <w:szCs w:val="1"/>
                <w:color w:val="auto"/>
              </w:rPr>
            </w:pPr>
          </w:p>
        </w:tc>
      </w:tr>
      <w:tr>
        <w:trPr>
          <w:trHeight w:val="46"/>
        </w:trPr>
        <w:tc>
          <w:tcPr>
            <w:tcW w:w="8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0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Estmated annual amortzaton expense</w:t>
            </w:r>
          </w:p>
        </w:tc>
        <w:tc>
          <w:tcPr>
            <w:tcW w:w="56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w w:val="70"/>
              </w:rPr>
              <w:t>$</w:t>
            </w:r>
          </w:p>
        </w:tc>
        <w:tc>
          <w:tcPr>
            <w:tcW w:w="106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1.5</w:t>
            </w:r>
          </w:p>
        </w:tc>
        <w:tc>
          <w:tcPr>
            <w:tcW w:w="1000" w:type="dxa"/>
            <w:vAlign w:val="bottom"/>
            <w:tcBorders>
              <w:bottom w:val="single" w:sz="8" w:color="DBDBDB"/>
            </w:tcBorders>
            <w:shd w:val="clear" w:color="auto" w:fill="DBDBDB"/>
          </w:tcPr>
          <w:p>
            <w:pPr>
              <w:jc w:val="right"/>
              <w:ind w:right="783"/>
              <w:spacing w:after="0" w:line="126" w:lineRule="exact"/>
              <w:rPr>
                <w:sz w:val="20"/>
                <w:szCs w:val="20"/>
                <w:color w:val="auto"/>
              </w:rPr>
            </w:pPr>
            <w:r>
              <w:rPr>
                <w:rFonts w:ascii="Calibri" w:cs="Calibri" w:eastAsia="Calibri" w:hAnsi="Calibri"/>
                <w:sz w:val="11"/>
                <w:szCs w:val="11"/>
                <w:color w:val="auto"/>
              </w:rPr>
              <w:t>$</w:t>
            </w:r>
          </w:p>
        </w:tc>
        <w:tc>
          <w:tcPr>
            <w:tcW w:w="6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0.5</w:t>
            </w:r>
          </w:p>
        </w:tc>
        <w:tc>
          <w:tcPr>
            <w:tcW w:w="0" w:type="dxa"/>
            <w:vAlign w:val="bottom"/>
          </w:tcPr>
          <w:p>
            <w:pPr>
              <w:spacing w:after="0"/>
              <w:rPr>
                <w:sz w:val="1"/>
                <w:szCs w:val="1"/>
                <w:color w:val="auto"/>
              </w:rPr>
            </w:pPr>
          </w:p>
        </w:tc>
      </w:tr>
      <w:tr>
        <w:trPr>
          <w:trHeight w:val="20"/>
        </w:trPr>
        <w:tc>
          <w:tcPr>
            <w:tcW w:w="8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spacing w:after="0"/>
        <w:tabs>
          <w:tab w:leader="none" w:pos="260" w:val="left"/>
        </w:tabs>
        <w:rPr>
          <w:sz w:val="20"/>
          <w:szCs w:val="20"/>
          <w:color w:val="auto"/>
        </w:rPr>
      </w:pPr>
      <w:r>
        <w:rPr>
          <w:rFonts w:ascii="Calibri" w:cs="Calibri" w:eastAsia="Calibri" w:hAnsi="Calibri"/>
          <w:sz w:val="16"/>
          <w:szCs w:val="16"/>
          <w:b w:val="1"/>
          <w:bCs w:val="1"/>
          <w:color w:val="auto"/>
        </w:rPr>
        <w:t>5.</w:t>
      </w:r>
      <w:r>
        <w:rPr>
          <w:sz w:val="20"/>
          <w:szCs w:val="20"/>
          <w:color w:val="auto"/>
        </w:rPr>
        <w:tab/>
      </w:r>
      <w:r>
        <w:rPr>
          <w:rFonts w:ascii="Calibri" w:cs="Calibri" w:eastAsia="Calibri" w:hAnsi="Calibri"/>
          <w:sz w:val="14"/>
          <w:szCs w:val="14"/>
          <w:b w:val="1"/>
          <w:bCs w:val="1"/>
          <w:color w:val="auto"/>
        </w:rPr>
        <w:t>Details of Certain Account Balances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Details of certain of our signifcant account balances in our consolidated fnancial statements are included below.</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Inventory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Calibri" w:cs="Calibri" w:eastAsia="Calibri" w:hAnsi="Calibri"/>
                <w:sz w:val="11"/>
                <w:szCs w:val="11"/>
                <w:b w:val="1"/>
                <w:bCs w:val="1"/>
                <w:color w:val="auto"/>
              </w:rPr>
              <w:t>October 31,</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3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8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ind w:left="520"/>
              <w:spacing w:after="0" w:line="126" w:lineRule="exact"/>
              <w:rPr>
                <w:sz w:val="20"/>
                <w:szCs w:val="20"/>
                <w:color w:val="auto"/>
              </w:rPr>
            </w:pPr>
            <w:r>
              <w:rPr>
                <w:rFonts w:ascii="Calibri" w:cs="Calibri" w:eastAsia="Calibri" w:hAnsi="Calibri"/>
                <w:sz w:val="11"/>
                <w:szCs w:val="11"/>
                <w:b w:val="1"/>
                <w:bCs w:val="1"/>
                <w:color w:val="auto"/>
              </w:rPr>
              <w:t>2022</w:t>
            </w:r>
          </w:p>
        </w:tc>
        <w:tc>
          <w:tcPr>
            <w:tcW w:w="760" w:type="dxa"/>
            <w:vAlign w:val="bottom"/>
          </w:tcPr>
          <w:p>
            <w:pPr>
              <w:spacing w:after="0"/>
              <w:rPr>
                <w:sz w:val="10"/>
                <w:szCs w:val="10"/>
                <w:color w:val="auto"/>
              </w:rPr>
            </w:pPr>
          </w:p>
        </w:tc>
        <w:tc>
          <w:tcPr>
            <w:tcW w:w="720" w:type="dxa"/>
            <w:vAlign w:val="bottom"/>
          </w:tcPr>
          <w:p>
            <w:pPr>
              <w:ind w:left="480"/>
              <w:spacing w:after="0" w:line="126" w:lineRule="exact"/>
              <w:rPr>
                <w:sz w:val="20"/>
                <w:szCs w:val="20"/>
                <w:color w:val="auto"/>
              </w:rPr>
            </w:pPr>
            <w:r>
              <w:rPr>
                <w:rFonts w:ascii="Calibri" w:cs="Calibri" w:eastAsia="Calibri" w:hAnsi="Calibri"/>
                <w:sz w:val="11"/>
                <w:szCs w:val="11"/>
                <w:b w:val="1"/>
                <w:bCs w:val="1"/>
                <w:color w:val="auto"/>
                <w:w w:val="98"/>
              </w:rPr>
              <w:t>2021</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Finished goods</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ind w:left="520"/>
              <w:spacing w:after="0" w:line="126" w:lineRule="exact"/>
              <w:rPr>
                <w:sz w:val="20"/>
                <w:szCs w:val="20"/>
                <w:color w:val="auto"/>
              </w:rPr>
            </w:pPr>
            <w:r>
              <w:rPr>
                <w:rFonts w:ascii="Calibri" w:cs="Calibri" w:eastAsia="Calibri" w:hAnsi="Calibri"/>
                <w:sz w:val="11"/>
                <w:szCs w:val="11"/>
                <w:color w:val="auto"/>
              </w:rPr>
              <w:t>33.8</w:t>
            </w:r>
          </w:p>
        </w:tc>
        <w:tc>
          <w:tcPr>
            <w:tcW w:w="760" w:type="dxa"/>
            <w:vAlign w:val="bottom"/>
            <w:tcBorders>
              <w:bottom w:val="single" w:sz="8" w:color="DBDBDB"/>
            </w:tcBorders>
            <w:shd w:val="clear" w:color="auto" w:fill="DBDBDB"/>
          </w:tcPr>
          <w:p>
            <w:pPr>
              <w:jc w:val="right"/>
              <w:ind w:right="483"/>
              <w:spacing w:after="0" w:line="126" w:lineRule="exact"/>
              <w:rPr>
                <w:sz w:val="20"/>
                <w:szCs w:val="20"/>
                <w:color w:val="auto"/>
              </w:rPr>
            </w:pPr>
            <w:r>
              <w:rPr>
                <w:rFonts w:ascii="Calibri" w:cs="Calibri" w:eastAsia="Calibri" w:hAnsi="Calibri"/>
                <w:sz w:val="11"/>
                <w:szCs w:val="11"/>
                <w:color w:val="auto"/>
              </w:rPr>
              <w:t>$</w:t>
            </w:r>
          </w:p>
        </w:tc>
        <w:tc>
          <w:tcPr>
            <w:tcW w:w="720" w:type="dxa"/>
            <w:vAlign w:val="bottom"/>
            <w:tcBorders>
              <w:bottom w:val="single" w:sz="8" w:color="DBDBDB"/>
            </w:tcBorders>
            <w:shd w:val="clear" w:color="auto" w:fill="DBDBDB"/>
          </w:tcPr>
          <w:p>
            <w:pPr>
              <w:ind w:left="480"/>
              <w:spacing w:after="0" w:line="126" w:lineRule="exact"/>
              <w:rPr>
                <w:sz w:val="20"/>
                <w:szCs w:val="20"/>
                <w:color w:val="auto"/>
              </w:rPr>
            </w:pPr>
            <w:r>
              <w:rPr>
                <w:rFonts w:ascii="Calibri" w:cs="Calibri" w:eastAsia="Calibri" w:hAnsi="Calibri"/>
                <w:sz w:val="11"/>
                <w:szCs w:val="11"/>
                <w:color w:val="auto"/>
              </w:rPr>
              <w:t>22.5</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Crop growing costs</w:t>
            </w:r>
          </w:p>
        </w:tc>
        <w:tc>
          <w:tcPr>
            <w:tcW w:w="580" w:type="dxa"/>
            <w:vAlign w:val="bottom"/>
          </w:tcPr>
          <w:p>
            <w:pPr>
              <w:spacing w:after="0"/>
              <w:rPr>
                <w:sz w:val="11"/>
                <w:szCs w:val="11"/>
                <w:color w:val="auto"/>
              </w:rPr>
            </w:pPr>
          </w:p>
        </w:tc>
        <w:tc>
          <w:tcPr>
            <w:tcW w:w="900" w:type="dxa"/>
            <w:vAlign w:val="bottom"/>
          </w:tcPr>
          <w:p>
            <w:pPr>
              <w:ind w:left="520"/>
              <w:spacing w:after="0"/>
              <w:rPr>
                <w:sz w:val="20"/>
                <w:szCs w:val="20"/>
                <w:color w:val="auto"/>
              </w:rPr>
            </w:pPr>
            <w:r>
              <w:rPr>
                <w:rFonts w:ascii="Calibri" w:cs="Calibri" w:eastAsia="Calibri" w:hAnsi="Calibri"/>
                <w:sz w:val="11"/>
                <w:szCs w:val="11"/>
                <w:color w:val="auto"/>
              </w:rPr>
              <w:t>19.5</w:t>
            </w:r>
          </w:p>
        </w:tc>
        <w:tc>
          <w:tcPr>
            <w:tcW w:w="760" w:type="dxa"/>
            <w:vAlign w:val="bottom"/>
          </w:tcPr>
          <w:p>
            <w:pPr>
              <w:spacing w:after="0"/>
              <w:rPr>
                <w:sz w:val="11"/>
                <w:szCs w:val="11"/>
                <w:color w:val="auto"/>
              </w:rPr>
            </w:pPr>
          </w:p>
        </w:tc>
        <w:tc>
          <w:tcPr>
            <w:tcW w:w="720" w:type="dxa"/>
            <w:vAlign w:val="bottom"/>
          </w:tcPr>
          <w:p>
            <w:pPr>
              <w:ind w:left="480"/>
              <w:spacing w:after="0"/>
              <w:rPr>
                <w:sz w:val="20"/>
                <w:szCs w:val="20"/>
                <w:color w:val="auto"/>
              </w:rPr>
            </w:pPr>
            <w:r>
              <w:rPr>
                <w:rFonts w:ascii="Calibri" w:cs="Calibri" w:eastAsia="Calibri" w:hAnsi="Calibri"/>
                <w:sz w:val="11"/>
                <w:szCs w:val="11"/>
                <w:color w:val="auto"/>
              </w:rPr>
              <w:t>11.9</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Packaging and supplies</w:t>
            </w:r>
          </w:p>
        </w:tc>
        <w:tc>
          <w:tcPr>
            <w:tcW w:w="5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ind w:left="520"/>
              <w:spacing w:after="0"/>
              <w:rPr>
                <w:sz w:val="20"/>
                <w:szCs w:val="20"/>
                <w:color w:val="auto"/>
              </w:rPr>
            </w:pPr>
            <w:r>
              <w:rPr>
                <w:rFonts w:ascii="Calibri" w:cs="Calibri" w:eastAsia="Calibri" w:hAnsi="Calibri"/>
                <w:sz w:val="11"/>
                <w:szCs w:val="11"/>
                <w:color w:val="auto"/>
              </w:rPr>
              <w:t>19.8</w:t>
            </w:r>
          </w:p>
        </w:tc>
        <w:tc>
          <w:tcPr>
            <w:tcW w:w="76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ind w:left="480"/>
              <w:spacing w:after="0"/>
              <w:rPr>
                <w:sz w:val="20"/>
                <w:szCs w:val="20"/>
                <w:color w:val="auto"/>
              </w:rPr>
            </w:pPr>
            <w:r>
              <w:rPr>
                <w:rFonts w:ascii="Calibri" w:cs="Calibri" w:eastAsia="Calibri" w:hAnsi="Calibri"/>
                <w:sz w:val="11"/>
                <w:szCs w:val="11"/>
                <w:color w:val="auto"/>
              </w:rPr>
              <w:t>13.8</w:t>
            </w:r>
          </w:p>
        </w:tc>
        <w:tc>
          <w:tcPr>
            <w:tcW w:w="0" w:type="dxa"/>
            <w:vAlign w:val="bottom"/>
          </w:tcPr>
          <w:p>
            <w:pPr>
              <w:spacing w:after="0"/>
              <w:rPr>
                <w:sz w:val="1"/>
                <w:szCs w:val="1"/>
                <w:color w:val="auto"/>
              </w:rPr>
            </w:pPr>
          </w:p>
        </w:tc>
      </w:tr>
      <w:tr>
        <w:trPr>
          <w:trHeight w:val="125"/>
        </w:trPr>
        <w:tc>
          <w:tcPr>
            <w:tcW w:w="832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Inventory</w:t>
            </w:r>
          </w:p>
        </w:tc>
        <w:tc>
          <w:tcPr>
            <w:tcW w:w="58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top w:val="single" w:sz="8" w:color="auto"/>
            </w:tcBorders>
          </w:tcPr>
          <w:p>
            <w:pPr>
              <w:ind w:left="520"/>
              <w:spacing w:after="0" w:line="126" w:lineRule="exact"/>
              <w:rPr>
                <w:sz w:val="20"/>
                <w:szCs w:val="20"/>
                <w:color w:val="auto"/>
              </w:rPr>
            </w:pPr>
            <w:r>
              <w:rPr>
                <w:rFonts w:ascii="Calibri" w:cs="Calibri" w:eastAsia="Calibri" w:hAnsi="Calibri"/>
                <w:sz w:val="11"/>
                <w:szCs w:val="11"/>
                <w:color w:val="auto"/>
              </w:rPr>
              <w:t>73.1</w:t>
            </w:r>
          </w:p>
        </w:tc>
        <w:tc>
          <w:tcPr>
            <w:tcW w:w="760" w:type="dxa"/>
            <w:vAlign w:val="bottom"/>
            <w:tcBorders>
              <w:top w:val="single" w:sz="8" w:color="auto"/>
            </w:tcBorders>
          </w:tcPr>
          <w:p>
            <w:pPr>
              <w:jc w:val="right"/>
              <w:ind w:right="483"/>
              <w:spacing w:after="0" w:line="126" w:lineRule="exact"/>
              <w:rPr>
                <w:sz w:val="20"/>
                <w:szCs w:val="20"/>
                <w:color w:val="auto"/>
              </w:rPr>
            </w:pPr>
            <w:r>
              <w:rPr>
                <w:rFonts w:ascii="Calibri" w:cs="Calibri" w:eastAsia="Calibri" w:hAnsi="Calibri"/>
                <w:sz w:val="11"/>
                <w:szCs w:val="11"/>
                <w:color w:val="auto"/>
              </w:rPr>
              <w:t>$</w:t>
            </w:r>
          </w:p>
        </w:tc>
        <w:tc>
          <w:tcPr>
            <w:tcW w:w="720" w:type="dxa"/>
            <w:vAlign w:val="bottom"/>
            <w:tcBorders>
              <w:top w:val="single" w:sz="8" w:color="auto"/>
            </w:tcBorders>
          </w:tcPr>
          <w:p>
            <w:pPr>
              <w:ind w:left="480"/>
              <w:spacing w:after="0" w:line="126" w:lineRule="exact"/>
              <w:rPr>
                <w:sz w:val="20"/>
                <w:szCs w:val="20"/>
                <w:color w:val="auto"/>
              </w:rPr>
            </w:pPr>
            <w:r>
              <w:rPr>
                <w:rFonts w:ascii="Calibri" w:cs="Calibri" w:eastAsia="Calibri" w:hAnsi="Calibri"/>
                <w:sz w:val="11"/>
                <w:szCs w:val="11"/>
                <w:color w:val="auto"/>
              </w:rPr>
              <w:t>48.2</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80" w:firstLine="509"/>
        <w:spacing w:after="0" w:line="225" w:lineRule="auto"/>
        <w:rPr>
          <w:sz w:val="20"/>
          <w:szCs w:val="20"/>
          <w:color w:val="auto"/>
        </w:rPr>
      </w:pPr>
      <w:r>
        <w:rPr>
          <w:rFonts w:ascii="Calibri" w:cs="Calibri" w:eastAsia="Calibri" w:hAnsi="Calibri"/>
          <w:sz w:val="13"/>
          <w:szCs w:val="13"/>
          <w:color w:val="auto"/>
        </w:rPr>
        <w:t>Inventory at October 31, 2022 included a $0.7 million adjustment to increase inventories recognized in the business combinaton with Moruga to their fair value as of May 1, 2022. These inventories, including the fair value adjustment, will be recognized in cost of sales as the underlying inventories are sold. Refer also to Note 3 for more informaton.</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Accrued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2"/>
          </w:tcPr>
          <w:p>
            <w:pPr>
              <w:jc w:val="right"/>
              <w:ind w:right="423"/>
              <w:spacing w:after="0"/>
              <w:rPr>
                <w:sz w:val="20"/>
                <w:szCs w:val="20"/>
                <w:color w:val="auto"/>
              </w:rPr>
            </w:pPr>
            <w:r>
              <w:rPr>
                <w:rFonts w:ascii="Calibri" w:cs="Calibri" w:eastAsia="Calibri" w:hAnsi="Calibri"/>
                <w:sz w:val="11"/>
                <w:szCs w:val="11"/>
                <w:b w:val="1"/>
                <w:bCs w:val="1"/>
                <w:color w:val="auto"/>
              </w:rPr>
              <w:t>October 31,</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3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8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2022</w:t>
            </w:r>
          </w:p>
        </w:tc>
        <w:tc>
          <w:tcPr>
            <w:tcW w:w="76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Employee-related</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16.3</w:t>
            </w:r>
          </w:p>
        </w:tc>
        <w:tc>
          <w:tcPr>
            <w:tcW w:w="760" w:type="dxa"/>
            <w:vAlign w:val="bottom"/>
            <w:tcBorders>
              <w:bottom w:val="single" w:sz="8" w:color="DBDBDB"/>
            </w:tcBorders>
            <w:shd w:val="clear" w:color="auto" w:fill="DBDBDB"/>
          </w:tcPr>
          <w:p>
            <w:pPr>
              <w:jc w:val="right"/>
              <w:ind w:right="483"/>
              <w:spacing w:after="0" w:line="126" w:lineRule="exact"/>
              <w:rPr>
                <w:sz w:val="20"/>
                <w:szCs w:val="20"/>
                <w:color w:val="auto"/>
              </w:rPr>
            </w:pPr>
            <w:r>
              <w:rPr>
                <w:rFonts w:ascii="Calibri" w:cs="Calibri" w:eastAsia="Calibri" w:hAnsi="Calibri"/>
                <w:sz w:val="11"/>
                <w:szCs w:val="11"/>
                <w:color w:val="auto"/>
              </w:rPr>
              <w:t>$</w:t>
            </w:r>
          </w:p>
        </w:tc>
        <w:tc>
          <w:tcPr>
            <w:tcW w:w="7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14.6</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Freight</w:t>
            </w:r>
          </w:p>
        </w:tc>
        <w:tc>
          <w:tcPr>
            <w:tcW w:w="580" w:type="dxa"/>
            <w:vAlign w:val="bottom"/>
          </w:tcPr>
          <w:p>
            <w:pPr>
              <w:spacing w:after="0"/>
              <w:rPr>
                <w:sz w:val="11"/>
                <w:szCs w:val="11"/>
                <w:color w:val="auto"/>
              </w:rPr>
            </w:pPr>
          </w:p>
        </w:tc>
        <w:tc>
          <w:tcPr>
            <w:tcW w:w="900" w:type="dxa"/>
            <w:vAlign w:val="bottom"/>
          </w:tcPr>
          <w:p>
            <w:pPr>
              <w:jc w:val="right"/>
              <w:ind w:right="123"/>
              <w:spacing w:after="0"/>
              <w:rPr>
                <w:sz w:val="20"/>
                <w:szCs w:val="20"/>
                <w:color w:val="auto"/>
              </w:rPr>
            </w:pPr>
            <w:r>
              <w:rPr>
                <w:rFonts w:ascii="Calibri" w:cs="Calibri" w:eastAsia="Calibri" w:hAnsi="Calibri"/>
                <w:sz w:val="11"/>
                <w:szCs w:val="11"/>
                <w:color w:val="auto"/>
              </w:rPr>
              <w:t>6.2</w:t>
            </w:r>
          </w:p>
        </w:tc>
        <w:tc>
          <w:tcPr>
            <w:tcW w:w="7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3.9</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Outside fruit purchase</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1.0</w:t>
            </w:r>
          </w:p>
        </w:tc>
        <w:tc>
          <w:tcPr>
            <w:tcW w:w="76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2.2</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VAT and local taxes payable</w:t>
            </w:r>
          </w:p>
        </w:tc>
        <w:tc>
          <w:tcPr>
            <w:tcW w:w="580" w:type="dxa"/>
            <w:vAlign w:val="bottom"/>
          </w:tcPr>
          <w:p>
            <w:pPr>
              <w:spacing w:after="0"/>
              <w:rPr>
                <w:sz w:val="11"/>
                <w:szCs w:val="11"/>
                <w:color w:val="auto"/>
              </w:rPr>
            </w:pPr>
          </w:p>
        </w:tc>
        <w:tc>
          <w:tcPr>
            <w:tcW w:w="900" w:type="dxa"/>
            <w:vAlign w:val="bottom"/>
          </w:tcPr>
          <w:p>
            <w:pPr>
              <w:jc w:val="right"/>
              <w:ind w:right="123"/>
              <w:spacing w:after="0"/>
              <w:rPr>
                <w:sz w:val="20"/>
                <w:szCs w:val="20"/>
                <w:color w:val="auto"/>
              </w:rPr>
            </w:pPr>
            <w:r>
              <w:rPr>
                <w:rFonts w:ascii="Calibri" w:cs="Calibri" w:eastAsia="Calibri" w:hAnsi="Calibri"/>
                <w:sz w:val="11"/>
                <w:szCs w:val="11"/>
                <w:color w:val="auto"/>
              </w:rPr>
              <w:t>0.1</w:t>
            </w:r>
          </w:p>
        </w:tc>
        <w:tc>
          <w:tcPr>
            <w:tcW w:w="7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1.0</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Legal setlement</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0.8</w:t>
            </w:r>
          </w:p>
        </w:tc>
        <w:tc>
          <w:tcPr>
            <w:tcW w:w="76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0.8</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Interest rate swaps</w:t>
            </w:r>
          </w:p>
        </w:tc>
        <w:tc>
          <w:tcPr>
            <w:tcW w:w="580" w:type="dxa"/>
            <w:vAlign w:val="bottom"/>
          </w:tcPr>
          <w:p>
            <w:pPr>
              <w:spacing w:after="0"/>
              <w:rPr>
                <w:sz w:val="11"/>
                <w:szCs w:val="11"/>
                <w:color w:val="auto"/>
              </w:rPr>
            </w:pPr>
          </w:p>
        </w:tc>
        <w:tc>
          <w:tcPr>
            <w:tcW w:w="9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7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2.1</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Constructon-in-progress</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0.2</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Other</w:t>
            </w:r>
          </w:p>
        </w:tc>
        <w:tc>
          <w:tcPr>
            <w:tcW w:w="580" w:type="dxa"/>
            <w:vAlign w:val="bottom"/>
          </w:tcPr>
          <w:p>
            <w:pPr>
              <w:spacing w:after="0"/>
              <w:rPr>
                <w:sz w:val="11"/>
                <w:szCs w:val="11"/>
                <w:color w:val="auto"/>
              </w:rPr>
            </w:pPr>
          </w:p>
        </w:tc>
        <w:tc>
          <w:tcPr>
            <w:tcW w:w="900" w:type="dxa"/>
            <w:vAlign w:val="bottom"/>
          </w:tcPr>
          <w:p>
            <w:pPr>
              <w:jc w:val="right"/>
              <w:ind w:right="123"/>
              <w:spacing w:after="0"/>
              <w:rPr>
                <w:sz w:val="20"/>
                <w:szCs w:val="20"/>
                <w:color w:val="auto"/>
              </w:rPr>
            </w:pPr>
            <w:r>
              <w:rPr>
                <w:rFonts w:ascii="Calibri" w:cs="Calibri" w:eastAsia="Calibri" w:hAnsi="Calibri"/>
                <w:sz w:val="11"/>
                <w:szCs w:val="11"/>
                <w:color w:val="auto"/>
              </w:rPr>
              <w:t>5.7</w:t>
            </w:r>
          </w:p>
        </w:tc>
        <w:tc>
          <w:tcPr>
            <w:tcW w:w="7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4.0</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Accrued expenses</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30.1</w:t>
            </w:r>
          </w:p>
        </w:tc>
        <w:tc>
          <w:tcPr>
            <w:tcW w:w="760" w:type="dxa"/>
            <w:vAlign w:val="bottom"/>
            <w:tcBorders>
              <w:bottom w:val="single" w:sz="8" w:color="DBDBDB"/>
            </w:tcBorders>
            <w:shd w:val="clear" w:color="auto" w:fill="DBDBDB"/>
          </w:tcPr>
          <w:p>
            <w:pPr>
              <w:jc w:val="right"/>
              <w:ind w:right="483"/>
              <w:spacing w:after="0" w:line="126" w:lineRule="exact"/>
              <w:rPr>
                <w:sz w:val="20"/>
                <w:szCs w:val="20"/>
                <w:color w:val="auto"/>
              </w:rPr>
            </w:pPr>
            <w:r>
              <w:rPr>
                <w:rFonts w:ascii="Calibri" w:cs="Calibri" w:eastAsia="Calibri" w:hAnsi="Calibri"/>
                <w:sz w:val="11"/>
                <w:szCs w:val="11"/>
                <w:color w:val="auto"/>
              </w:rPr>
              <w:t>$</w:t>
            </w:r>
          </w:p>
        </w:tc>
        <w:tc>
          <w:tcPr>
            <w:tcW w:w="7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28.8</w:t>
            </w:r>
          </w:p>
        </w:tc>
        <w:tc>
          <w:tcPr>
            <w:tcW w:w="0" w:type="dxa"/>
            <w:vAlign w:val="bottom"/>
          </w:tcPr>
          <w:p>
            <w:pPr>
              <w:spacing w:after="0"/>
              <w:rPr>
                <w:sz w:val="1"/>
                <w:szCs w:val="1"/>
                <w:color w:val="auto"/>
              </w:rPr>
            </w:pPr>
          </w:p>
        </w:tc>
      </w:tr>
      <w:tr>
        <w:trPr>
          <w:trHeight w:val="20"/>
        </w:trPr>
        <w:tc>
          <w:tcPr>
            <w:tcW w:w="8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7" w:name="page58"/>
    <w:bookmarkEnd w:id="57"/>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Other long-term liabilites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2"/>
          </w:tcPr>
          <w:p>
            <w:pPr>
              <w:jc w:val="right"/>
              <w:ind w:right="423"/>
              <w:spacing w:after="0"/>
              <w:rPr>
                <w:sz w:val="20"/>
                <w:szCs w:val="20"/>
                <w:color w:val="auto"/>
              </w:rPr>
            </w:pPr>
            <w:r>
              <w:rPr>
                <w:rFonts w:ascii="Calibri" w:cs="Calibri" w:eastAsia="Calibri" w:hAnsi="Calibri"/>
                <w:sz w:val="11"/>
                <w:szCs w:val="11"/>
                <w:b w:val="1"/>
                <w:bCs w:val="1"/>
                <w:color w:val="auto"/>
              </w:rPr>
              <w:t>October 31,</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3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8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2022</w:t>
            </w:r>
          </w:p>
        </w:tc>
        <w:tc>
          <w:tcPr>
            <w:tcW w:w="76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Uncertain tax positons</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17.1</w:t>
            </w:r>
          </w:p>
        </w:tc>
        <w:tc>
          <w:tcPr>
            <w:tcW w:w="760" w:type="dxa"/>
            <w:vAlign w:val="bottom"/>
            <w:tcBorders>
              <w:bottom w:val="single" w:sz="8" w:color="DBDBDB"/>
            </w:tcBorders>
            <w:shd w:val="clear" w:color="auto" w:fill="DBDBDB"/>
          </w:tcPr>
          <w:p>
            <w:pPr>
              <w:jc w:val="right"/>
              <w:ind w:right="483"/>
              <w:spacing w:after="0" w:line="126" w:lineRule="exact"/>
              <w:rPr>
                <w:sz w:val="20"/>
                <w:szCs w:val="20"/>
                <w:color w:val="auto"/>
              </w:rPr>
            </w:pPr>
            <w:r>
              <w:rPr>
                <w:rFonts w:ascii="Calibri" w:cs="Calibri" w:eastAsia="Calibri" w:hAnsi="Calibri"/>
                <w:sz w:val="11"/>
                <w:szCs w:val="11"/>
                <w:color w:val="auto"/>
              </w:rPr>
              <w:t>$</w:t>
            </w:r>
          </w:p>
        </w:tc>
        <w:tc>
          <w:tcPr>
            <w:tcW w:w="7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15.7</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Employee-related</w:t>
            </w:r>
          </w:p>
        </w:tc>
        <w:tc>
          <w:tcPr>
            <w:tcW w:w="580" w:type="dxa"/>
            <w:vAlign w:val="bottom"/>
          </w:tcPr>
          <w:p>
            <w:pPr>
              <w:spacing w:after="0"/>
              <w:rPr>
                <w:sz w:val="11"/>
                <w:szCs w:val="11"/>
                <w:color w:val="auto"/>
              </w:rPr>
            </w:pPr>
          </w:p>
        </w:tc>
        <w:tc>
          <w:tcPr>
            <w:tcW w:w="900" w:type="dxa"/>
            <w:vAlign w:val="bottom"/>
          </w:tcPr>
          <w:p>
            <w:pPr>
              <w:jc w:val="right"/>
              <w:ind w:right="123"/>
              <w:spacing w:after="0"/>
              <w:rPr>
                <w:sz w:val="20"/>
                <w:szCs w:val="20"/>
                <w:color w:val="auto"/>
              </w:rPr>
            </w:pPr>
            <w:r>
              <w:rPr>
                <w:rFonts w:ascii="Calibri" w:cs="Calibri" w:eastAsia="Calibri" w:hAnsi="Calibri"/>
                <w:sz w:val="11"/>
                <w:szCs w:val="11"/>
                <w:color w:val="auto"/>
              </w:rPr>
              <w:t>1.2</w:t>
            </w:r>
          </w:p>
        </w:tc>
        <w:tc>
          <w:tcPr>
            <w:tcW w:w="7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1.6</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Interest rate swaps</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1.4</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Other</w:t>
            </w:r>
          </w:p>
        </w:tc>
        <w:tc>
          <w:tcPr>
            <w:tcW w:w="580" w:type="dxa"/>
            <w:vAlign w:val="bottom"/>
          </w:tcPr>
          <w:p>
            <w:pPr>
              <w:spacing w:after="0"/>
              <w:rPr>
                <w:sz w:val="11"/>
                <w:szCs w:val="11"/>
                <w:color w:val="auto"/>
              </w:rPr>
            </w:pPr>
          </w:p>
        </w:tc>
        <w:tc>
          <w:tcPr>
            <w:tcW w:w="900" w:type="dxa"/>
            <w:vAlign w:val="bottom"/>
          </w:tcPr>
          <w:p>
            <w:pPr>
              <w:jc w:val="right"/>
              <w:ind w:right="123"/>
              <w:spacing w:after="0"/>
              <w:rPr>
                <w:sz w:val="20"/>
                <w:szCs w:val="20"/>
                <w:color w:val="auto"/>
              </w:rPr>
            </w:pPr>
            <w:r>
              <w:rPr>
                <w:rFonts w:ascii="Calibri" w:cs="Calibri" w:eastAsia="Calibri" w:hAnsi="Calibri"/>
                <w:sz w:val="11"/>
                <w:szCs w:val="11"/>
                <w:color w:val="auto"/>
              </w:rPr>
              <w:t>1.9</w:t>
            </w:r>
          </w:p>
        </w:tc>
        <w:tc>
          <w:tcPr>
            <w:tcW w:w="7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1.3</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Other long-term liabilites</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20.2</w:t>
            </w:r>
          </w:p>
        </w:tc>
        <w:tc>
          <w:tcPr>
            <w:tcW w:w="760" w:type="dxa"/>
            <w:vAlign w:val="bottom"/>
            <w:tcBorders>
              <w:bottom w:val="single" w:sz="8" w:color="DBDBDB"/>
            </w:tcBorders>
            <w:shd w:val="clear" w:color="auto" w:fill="DBDBDB"/>
          </w:tcPr>
          <w:p>
            <w:pPr>
              <w:jc w:val="right"/>
              <w:ind w:right="483"/>
              <w:spacing w:after="0" w:line="126" w:lineRule="exact"/>
              <w:rPr>
                <w:sz w:val="20"/>
                <w:szCs w:val="20"/>
                <w:color w:val="auto"/>
              </w:rPr>
            </w:pPr>
            <w:r>
              <w:rPr>
                <w:rFonts w:ascii="Calibri" w:cs="Calibri" w:eastAsia="Calibri" w:hAnsi="Calibri"/>
                <w:sz w:val="11"/>
                <w:szCs w:val="11"/>
                <w:color w:val="auto"/>
              </w:rPr>
              <w:t>$</w:t>
            </w:r>
          </w:p>
        </w:tc>
        <w:tc>
          <w:tcPr>
            <w:tcW w:w="7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20.0</w:t>
            </w:r>
          </w:p>
        </w:tc>
        <w:tc>
          <w:tcPr>
            <w:tcW w:w="0" w:type="dxa"/>
            <w:vAlign w:val="bottom"/>
          </w:tcPr>
          <w:p>
            <w:pPr>
              <w:spacing w:after="0"/>
              <w:rPr>
                <w:sz w:val="1"/>
                <w:szCs w:val="1"/>
                <w:color w:val="auto"/>
              </w:rPr>
            </w:pPr>
          </w:p>
        </w:tc>
      </w:tr>
      <w:tr>
        <w:trPr>
          <w:trHeight w:val="20"/>
        </w:trPr>
        <w:tc>
          <w:tcPr>
            <w:tcW w:w="8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Other income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Years ended October 31,</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400" w:type="dxa"/>
            <w:vAlign w:val="bottom"/>
          </w:tcPr>
          <w:p>
            <w:pPr>
              <w:jc w:val="center"/>
              <w:ind w:left="803"/>
              <w:spacing w:after="0" w:line="126" w:lineRule="exact"/>
              <w:rPr>
                <w:sz w:val="20"/>
                <w:szCs w:val="20"/>
                <w:color w:val="auto"/>
              </w:rPr>
            </w:pPr>
            <w:r>
              <w:rPr>
                <w:rFonts w:ascii="Calibri" w:cs="Calibri" w:eastAsia="Calibri" w:hAnsi="Calibri"/>
                <w:sz w:val="11"/>
                <w:szCs w:val="11"/>
                <w:b w:val="1"/>
                <w:bCs w:val="1"/>
                <w:color w:val="auto"/>
                <w:w w:val="98"/>
              </w:rPr>
              <w:t>2021</w:t>
            </w:r>
          </w:p>
        </w:tc>
        <w:tc>
          <w:tcPr>
            <w:tcW w:w="720" w:type="dxa"/>
            <w:vAlign w:val="bottom"/>
          </w:tcPr>
          <w:p>
            <w:pPr>
              <w:spacing w:after="0"/>
              <w:rPr>
                <w:sz w:val="10"/>
                <w:szCs w:val="10"/>
                <w:color w:val="auto"/>
              </w:rPr>
            </w:pPr>
          </w:p>
        </w:tc>
        <w:tc>
          <w:tcPr>
            <w:tcW w:w="760" w:type="dxa"/>
            <w:vAlign w:val="bottom"/>
          </w:tcPr>
          <w:p>
            <w:pPr>
              <w:jc w:val="center"/>
              <w:ind w:left="443"/>
              <w:spacing w:after="0" w:line="126" w:lineRule="exact"/>
              <w:rPr>
                <w:sz w:val="20"/>
                <w:szCs w:val="20"/>
                <w:color w:val="auto"/>
              </w:rPr>
            </w:pPr>
            <w:r>
              <w:rPr>
                <w:rFonts w:ascii="Calibri" w:cs="Calibri" w:eastAsia="Calibri" w:hAnsi="Calibri"/>
                <w:sz w:val="11"/>
                <w:szCs w:val="11"/>
                <w:b w:val="1"/>
                <w:bCs w:val="1"/>
                <w:color w:val="auto"/>
                <w:w w:val="98"/>
              </w:rPr>
              <w:t>2020</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Net gains (losses) on derivatve fnancial instruments</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4.7</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0.8</w:t>
            </w:r>
          </w:p>
        </w:tc>
        <w:tc>
          <w:tcPr>
            <w:tcW w:w="72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jc w:val="center"/>
              <w:ind w:left="463"/>
              <w:spacing w:after="0" w:line="126" w:lineRule="exact"/>
              <w:rPr>
                <w:sz w:val="20"/>
                <w:szCs w:val="20"/>
                <w:color w:val="auto"/>
              </w:rPr>
            </w:pPr>
            <w:r>
              <w:rPr>
                <w:rFonts w:ascii="Calibri" w:cs="Calibri" w:eastAsia="Calibri" w:hAnsi="Calibri"/>
                <w:sz w:val="11"/>
                <w:szCs w:val="11"/>
                <w:color w:val="auto"/>
                <w:w w:val="96"/>
              </w:rPr>
              <w:t>(4.2)</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Foreign currency transacton (loss) gain, net</w:t>
            </w:r>
          </w:p>
        </w:tc>
        <w:tc>
          <w:tcPr>
            <w:tcW w:w="580" w:type="dxa"/>
            <w:vAlign w:val="bottom"/>
          </w:tcPr>
          <w:p>
            <w:pPr>
              <w:spacing w:after="0"/>
              <w:rPr>
                <w:sz w:val="11"/>
                <w:szCs w:val="11"/>
                <w:color w:val="auto"/>
              </w:rPr>
            </w:pPr>
          </w:p>
        </w:tc>
        <w:tc>
          <w:tcPr>
            <w:tcW w:w="900" w:type="dxa"/>
            <w:vAlign w:val="bottom"/>
          </w:tcPr>
          <w:p>
            <w:pPr>
              <w:jc w:val="right"/>
              <w:ind w:right="103"/>
              <w:spacing w:after="0"/>
              <w:rPr>
                <w:sz w:val="20"/>
                <w:szCs w:val="20"/>
                <w:color w:val="auto"/>
              </w:rPr>
            </w:pPr>
            <w:r>
              <w:rPr>
                <w:rFonts w:ascii="Calibri" w:cs="Calibri" w:eastAsia="Calibri" w:hAnsi="Calibri"/>
                <w:sz w:val="11"/>
                <w:szCs w:val="11"/>
                <w:color w:val="auto"/>
              </w:rPr>
              <w:t>(2.0)</w:t>
            </w:r>
          </w:p>
        </w:tc>
        <w:tc>
          <w:tcPr>
            <w:tcW w:w="220" w:type="dxa"/>
            <w:vAlign w:val="bottom"/>
          </w:tcPr>
          <w:p>
            <w:pPr>
              <w:spacing w:after="0"/>
              <w:rPr>
                <w:sz w:val="11"/>
                <w:szCs w:val="11"/>
                <w:color w:val="auto"/>
              </w:rPr>
            </w:pPr>
          </w:p>
        </w:tc>
        <w:tc>
          <w:tcPr>
            <w:tcW w:w="1400" w:type="dxa"/>
            <w:vAlign w:val="bottom"/>
          </w:tcPr>
          <w:p>
            <w:pPr>
              <w:jc w:val="center"/>
              <w:ind w:left="803"/>
              <w:spacing w:after="0"/>
              <w:rPr>
                <w:sz w:val="20"/>
                <w:szCs w:val="20"/>
                <w:color w:val="auto"/>
              </w:rPr>
            </w:pPr>
            <w:r>
              <w:rPr>
                <w:rFonts w:ascii="Calibri" w:cs="Calibri" w:eastAsia="Calibri" w:hAnsi="Calibri"/>
                <w:sz w:val="11"/>
                <w:szCs w:val="11"/>
                <w:color w:val="auto"/>
              </w:rPr>
              <w:t>(1.6)</w:t>
            </w:r>
          </w:p>
        </w:tc>
        <w:tc>
          <w:tcPr>
            <w:tcW w:w="7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alibri" w:cs="Calibri" w:eastAsia="Calibri" w:hAnsi="Calibri"/>
                <w:sz w:val="11"/>
                <w:szCs w:val="11"/>
                <w:color w:val="auto"/>
              </w:rPr>
              <w:t>1.3</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Interest income</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1.7</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1.7</w:t>
            </w:r>
          </w:p>
        </w:tc>
        <w:tc>
          <w:tcPr>
            <w:tcW w:w="72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2.4</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Debt extnguishment costs</w:t>
            </w:r>
          </w:p>
        </w:tc>
        <w:tc>
          <w:tcPr>
            <w:tcW w:w="580" w:type="dxa"/>
            <w:vAlign w:val="bottom"/>
          </w:tcPr>
          <w:p>
            <w:pPr>
              <w:spacing w:after="0"/>
              <w:rPr>
                <w:sz w:val="11"/>
                <w:szCs w:val="11"/>
                <w:color w:val="auto"/>
              </w:rPr>
            </w:pPr>
          </w:p>
        </w:tc>
        <w:tc>
          <w:tcPr>
            <w:tcW w:w="900" w:type="dxa"/>
            <w:vAlign w:val="bottom"/>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400" w:type="dxa"/>
            <w:vAlign w:val="bottom"/>
          </w:tcPr>
          <w:p>
            <w:pPr>
              <w:jc w:val="center"/>
              <w:ind w:left="803"/>
              <w:spacing w:after="0"/>
              <w:rPr>
                <w:sz w:val="20"/>
                <w:szCs w:val="20"/>
                <w:color w:val="auto"/>
              </w:rPr>
            </w:pPr>
            <w:r>
              <w:rPr>
                <w:rFonts w:ascii="Calibri" w:cs="Calibri" w:eastAsia="Calibri" w:hAnsi="Calibri"/>
                <w:sz w:val="11"/>
                <w:szCs w:val="11"/>
                <w:color w:val="auto"/>
              </w:rPr>
              <w:t>(0.1)</w:t>
            </w:r>
          </w:p>
        </w:tc>
        <w:tc>
          <w:tcPr>
            <w:tcW w:w="7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Other</w:t>
            </w:r>
          </w:p>
        </w:tc>
        <w:tc>
          <w:tcPr>
            <w:tcW w:w="5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0.5</w:t>
            </w:r>
          </w:p>
        </w:tc>
        <w:tc>
          <w:tcPr>
            <w:tcW w:w="720" w:type="dxa"/>
            <w:vAlign w:val="bottom"/>
            <w:tcBorders>
              <w:bottom w:val="single" w:sz="8" w:color="DBDBDB"/>
            </w:tcBorders>
            <w:shd w:val="clear" w:color="auto" w:fill="DBDBDB"/>
          </w:tcPr>
          <w:p>
            <w:pPr>
              <w:spacing w:after="0"/>
              <w:rPr>
                <w:sz w:val="15"/>
                <w:szCs w:val="15"/>
                <w:color w:val="auto"/>
              </w:rPr>
            </w:pPr>
          </w:p>
        </w:tc>
        <w:tc>
          <w:tcPr>
            <w:tcW w:w="760" w:type="dxa"/>
            <w:vAlign w:val="bottom"/>
            <w:tcBorders>
              <w:bottom w:val="single" w:sz="8" w:color="DBDBDB"/>
            </w:tcBorders>
            <w:shd w:val="clear" w:color="auto" w:fill="DBDBDB"/>
          </w:tcPr>
          <w:p>
            <w:pPr>
              <w:jc w:val="center"/>
              <w:ind w:left="463"/>
              <w:spacing w:after="0"/>
              <w:rPr>
                <w:sz w:val="20"/>
                <w:szCs w:val="20"/>
                <w:color w:val="auto"/>
              </w:rPr>
            </w:pPr>
            <w:r>
              <w:rPr>
                <w:rFonts w:ascii="Calibri" w:cs="Calibri" w:eastAsia="Calibri" w:hAnsi="Calibri"/>
                <w:sz w:val="11"/>
                <w:szCs w:val="11"/>
                <w:color w:val="auto"/>
                <w:w w:val="96"/>
              </w:rPr>
              <w:t>(0.2)</w:t>
            </w:r>
          </w:p>
        </w:tc>
        <w:tc>
          <w:tcPr>
            <w:tcW w:w="0" w:type="dxa"/>
            <w:vAlign w:val="bottom"/>
          </w:tcPr>
          <w:p>
            <w:pPr>
              <w:spacing w:after="0"/>
              <w:rPr>
                <w:sz w:val="1"/>
                <w:szCs w:val="1"/>
                <w:color w:val="auto"/>
              </w:rPr>
            </w:pPr>
          </w:p>
        </w:tc>
      </w:tr>
      <w:tr>
        <w:trPr>
          <w:trHeight w:val="125"/>
        </w:trPr>
        <w:tc>
          <w:tcPr>
            <w:tcW w:w="67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Other income (expense), net</w:t>
            </w:r>
          </w:p>
        </w:tc>
        <w:tc>
          <w:tcPr>
            <w:tcW w:w="58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top w:val="single" w:sz="8" w:color="auto"/>
            </w:tcBorders>
          </w:tcPr>
          <w:p>
            <w:pPr>
              <w:jc w:val="right"/>
              <w:ind w:right="143"/>
              <w:spacing w:after="0" w:line="126" w:lineRule="exact"/>
              <w:rPr>
                <w:sz w:val="20"/>
                <w:szCs w:val="20"/>
                <w:color w:val="auto"/>
              </w:rPr>
            </w:pPr>
            <w:r>
              <w:rPr>
                <w:rFonts w:ascii="Calibri" w:cs="Calibri" w:eastAsia="Calibri" w:hAnsi="Calibri"/>
                <w:sz w:val="11"/>
                <w:szCs w:val="11"/>
                <w:color w:val="auto"/>
              </w:rPr>
              <w:t>4.4</w:t>
            </w:r>
          </w:p>
        </w:tc>
        <w:tc>
          <w:tcPr>
            <w:tcW w:w="2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1.3</w:t>
            </w:r>
          </w:p>
        </w:tc>
        <w:tc>
          <w:tcPr>
            <w:tcW w:w="72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top w:val="single" w:sz="8" w:color="auto"/>
            </w:tcBorders>
          </w:tcPr>
          <w:p>
            <w:pPr>
              <w:jc w:val="center"/>
              <w:ind w:left="463"/>
              <w:spacing w:after="0" w:line="126" w:lineRule="exact"/>
              <w:rPr>
                <w:sz w:val="20"/>
                <w:szCs w:val="20"/>
                <w:color w:val="auto"/>
              </w:rPr>
            </w:pPr>
            <w:r>
              <w:rPr>
                <w:rFonts w:ascii="Calibri" w:cs="Calibri" w:eastAsia="Calibri" w:hAnsi="Calibri"/>
                <w:sz w:val="11"/>
                <w:szCs w:val="11"/>
                <w:color w:val="auto"/>
                <w:w w:val="96"/>
              </w:rPr>
              <w:t>(0.7)</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auto"/>
        </w:rPr>
        <w:t>6.</w:t>
        <w:tab/>
        <w:t>Equity Method Investees</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Henry Avocado</w:t>
      </w:r>
    </w:p>
    <w:p>
      <w:pPr>
        <w:spacing w:after="0" w:line="158" w:lineRule="exact"/>
        <w:rPr>
          <w:sz w:val="20"/>
          <w:szCs w:val="20"/>
          <w:color w:val="auto"/>
        </w:rPr>
      </w:pPr>
    </w:p>
    <w:p>
      <w:pPr>
        <w:ind w:right="260" w:firstLine="509"/>
        <w:spacing w:after="0" w:line="229" w:lineRule="auto"/>
        <w:rPr>
          <w:sz w:val="20"/>
          <w:szCs w:val="20"/>
          <w:color w:val="auto"/>
        </w:rPr>
      </w:pPr>
      <w:r>
        <w:rPr>
          <w:rFonts w:ascii="Calibri" w:cs="Calibri" w:eastAsia="Calibri" w:hAnsi="Calibri"/>
          <w:sz w:val="13"/>
          <w:szCs w:val="13"/>
          <w:color w:val="auto"/>
        </w:rPr>
        <w:t>The Company owns a 49% interest in Henry Avocado Corporaton (“Henry Avocado”), based in Escondido, California. Henry Avocado packs, distributes and sells fresh avocados in the domestc market from California growers and also imports packed Chilean and Mexican avocados. Henry Avocado also operates a farm management and orchard leasing business where it performs various farming functons on behalf of growers. There is a basis diference between the Company’s historical investment in Henry Avocado and the amount recorded in members’ capital by the investee of $4.0 million as of October 31, 2022 and 2021, comprised solely of goodwill.</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Mr. Avocado</w:t>
      </w:r>
    </w:p>
    <w:p>
      <w:pPr>
        <w:spacing w:after="0" w:line="158" w:lineRule="exact"/>
        <w:rPr>
          <w:sz w:val="20"/>
          <w:szCs w:val="20"/>
          <w:color w:val="auto"/>
        </w:rPr>
      </w:pPr>
    </w:p>
    <w:p>
      <w:pPr>
        <w:ind w:right="360" w:firstLine="509"/>
        <w:spacing w:after="0" w:line="233" w:lineRule="auto"/>
        <w:rPr>
          <w:sz w:val="20"/>
          <w:szCs w:val="20"/>
          <w:color w:val="auto"/>
        </w:rPr>
      </w:pPr>
      <w:r>
        <w:rPr>
          <w:rFonts w:ascii="Calibri" w:cs="Calibri" w:eastAsia="Calibri" w:hAnsi="Calibri"/>
          <w:sz w:val="13"/>
          <w:szCs w:val="13"/>
          <w:color w:val="auto"/>
        </w:rPr>
        <w:t>The Company owns a 33% interest in Shanghai Mr. Avocado Limited (“Mr. Avocado”), a Chinese joint venture enterprise, through its Mission Produce Asia Ltd. subsidiary. The primary business operatons include the marketng, ripening and distributon of fresh avocados within China.</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Moruga</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As noted in Note 3, Moruga was accounted for under the equity method of accountng untl its consolidaton on May 1, 2022. More informaton on Moruga is also included in Note 3.</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Copaltas</w:t>
      </w:r>
    </w:p>
    <w:p>
      <w:pPr>
        <w:spacing w:after="0" w:line="158" w:lineRule="exact"/>
        <w:rPr>
          <w:sz w:val="20"/>
          <w:szCs w:val="20"/>
          <w:color w:val="auto"/>
        </w:rPr>
      </w:pPr>
    </w:p>
    <w:p>
      <w:pPr>
        <w:ind w:right="360" w:firstLine="509"/>
        <w:spacing w:after="0" w:line="225" w:lineRule="auto"/>
        <w:rPr>
          <w:sz w:val="20"/>
          <w:szCs w:val="20"/>
          <w:color w:val="auto"/>
        </w:rPr>
      </w:pPr>
      <w:r>
        <w:rPr>
          <w:rFonts w:ascii="Calibri" w:cs="Calibri" w:eastAsia="Calibri" w:hAnsi="Calibri"/>
          <w:sz w:val="13"/>
          <w:szCs w:val="13"/>
          <w:color w:val="auto"/>
        </w:rPr>
        <w:t>The Company owns a 50% interest in Copaltas S.A.S. (“Copaltas”), a Colombian joint venture enterprise. The primary business operatons include the development and operaton of avocado farms within Colombia.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8" w:name="page59"/>
    <w:bookmarkEnd w:id="58"/>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Financial informaton for our equity method investees as of and for the years ended October 31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000" w:type="dxa"/>
            <w:vAlign w:val="bottom"/>
            <w:tcBorders>
              <w:bottom w:val="single" w:sz="8" w:color="auto"/>
            </w:tcBorders>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2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1"/>
                <w:szCs w:val="11"/>
                <w:b w:val="1"/>
                <w:bCs w:val="1"/>
                <w:color w:val="auto"/>
              </w:rPr>
              <w:t>Henry Avocado</w:t>
            </w: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1"/>
                <w:szCs w:val="11"/>
                <w:b w:val="1"/>
                <w:bCs w:val="1"/>
                <w:color w:val="auto"/>
              </w:rPr>
              <w:t>Mr. Avocado</w:t>
            </w: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1"/>
                <w:szCs w:val="11"/>
                <w:b w:val="1"/>
                <w:bCs w:val="1"/>
                <w:color w:val="auto"/>
              </w:rPr>
              <w:t>Moruga</w:t>
            </w:r>
            <w:r>
              <w:rPr>
                <w:rFonts w:ascii="Calibri" w:cs="Calibri" w:eastAsia="Calibri" w:hAnsi="Calibri"/>
                <w:sz w:val="14"/>
                <w:szCs w:val="14"/>
                <w:b w:val="1"/>
                <w:bCs w:val="1"/>
                <w:color w:val="auto"/>
                <w:vertAlign w:val="superscript"/>
              </w:rPr>
              <w:t>(1)</w:t>
            </w: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1"/>
                <w:szCs w:val="11"/>
                <w:b w:val="1"/>
                <w:bCs w:val="1"/>
                <w:color w:val="auto"/>
              </w:rPr>
              <w:t>Copaltas</w:t>
            </w:r>
          </w:p>
        </w:tc>
      </w:tr>
      <w:tr>
        <w:trPr>
          <w:trHeight w:val="159"/>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b w:val="1"/>
                <w:bCs w:val="1"/>
                <w:color w:val="auto"/>
              </w:rPr>
              <w:t>2022</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spacing w:after="0"/>
              <w:rPr>
                <w:sz w:val="13"/>
                <w:szCs w:val="13"/>
                <w:color w:val="auto"/>
              </w:rPr>
            </w:pP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spacing w:after="0"/>
              <w:rPr>
                <w:sz w:val="13"/>
                <w:szCs w:val="13"/>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Current assets</w:t>
            </w:r>
          </w:p>
        </w:tc>
        <w:tc>
          <w:tcPr>
            <w:tcW w:w="2420" w:type="dxa"/>
            <w:vAlign w:val="bottom"/>
          </w:tcPr>
          <w:p>
            <w:pPr>
              <w:jc w:val="right"/>
              <w:ind w:right="223"/>
              <w:spacing w:after="0"/>
              <w:rPr>
                <w:sz w:val="20"/>
                <w:szCs w:val="20"/>
                <w:color w:val="auto"/>
              </w:rPr>
            </w:pPr>
            <w:r>
              <w:rPr>
                <w:rFonts w:ascii="Calibri" w:cs="Calibri" w:eastAsia="Calibri" w:hAnsi="Calibri"/>
                <w:sz w:val="11"/>
                <w:szCs w:val="11"/>
                <w:color w:val="auto"/>
              </w:rPr>
              <w:t>$</w:t>
            </w: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49.5</w:t>
            </w:r>
          </w:p>
        </w:tc>
        <w:tc>
          <w:tcPr>
            <w:tcW w:w="540" w:type="dxa"/>
            <w:vAlign w:val="bottom"/>
          </w:tcPr>
          <w:p>
            <w:pPr>
              <w:jc w:val="right"/>
              <w:ind w:right="263"/>
              <w:spacing w:after="0"/>
              <w:rPr>
                <w:sz w:val="20"/>
                <w:szCs w:val="20"/>
                <w:color w:val="auto"/>
              </w:rPr>
            </w:pPr>
            <w:r>
              <w:rPr>
                <w:rFonts w:ascii="Calibri" w:cs="Calibri" w:eastAsia="Calibri" w:hAnsi="Calibri"/>
                <w:sz w:val="11"/>
                <w:szCs w:val="11"/>
                <w:color w:val="auto"/>
              </w:rPr>
              <w:t>$</w:t>
            </w:r>
          </w:p>
        </w:tc>
        <w:tc>
          <w:tcPr>
            <w:tcW w:w="1080" w:type="dxa"/>
            <w:vAlign w:val="bottom"/>
          </w:tcPr>
          <w:p>
            <w:pPr>
              <w:jc w:val="right"/>
              <w:ind w:right="143"/>
              <w:spacing w:after="0"/>
              <w:rPr>
                <w:sz w:val="20"/>
                <w:szCs w:val="20"/>
                <w:color w:val="auto"/>
              </w:rPr>
            </w:pPr>
            <w:r>
              <w:rPr>
                <w:rFonts w:ascii="Calibri" w:cs="Calibri" w:eastAsia="Calibri" w:hAnsi="Calibri"/>
                <w:sz w:val="11"/>
                <w:szCs w:val="11"/>
                <w:color w:val="auto"/>
              </w:rPr>
              <w:t>3.3</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jc w:val="right"/>
              <w:ind w:right="363"/>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spacing w:after="0"/>
              <w:rPr>
                <w:sz w:val="20"/>
                <w:szCs w:val="20"/>
                <w:color w:val="auto"/>
              </w:rPr>
            </w:pPr>
            <w:r>
              <w:rPr>
                <w:rFonts w:ascii="Calibri" w:cs="Calibri" w:eastAsia="Calibri" w:hAnsi="Calibri"/>
                <w:sz w:val="11"/>
                <w:szCs w:val="11"/>
                <w:color w:val="auto"/>
              </w:rPr>
              <w:t>0.6</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Long-term assets</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16.0</w:t>
            </w: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1.7</w:t>
            </w: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20.6</w:t>
            </w: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Current liabilites</w:t>
            </w:r>
          </w:p>
        </w:tc>
        <w:tc>
          <w:tcPr>
            <w:tcW w:w="24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18.6</w:t>
            </w:r>
          </w:p>
        </w:tc>
        <w:tc>
          <w:tcPr>
            <w:tcW w:w="540" w:type="dxa"/>
            <w:vAlign w:val="bottom"/>
          </w:tcPr>
          <w:p>
            <w:pPr>
              <w:spacing w:after="0"/>
              <w:rPr>
                <w:sz w:val="11"/>
                <w:szCs w:val="11"/>
                <w:color w:val="auto"/>
              </w:rPr>
            </w:pPr>
          </w:p>
        </w:tc>
        <w:tc>
          <w:tcPr>
            <w:tcW w:w="1080" w:type="dxa"/>
            <w:vAlign w:val="bottom"/>
          </w:tcPr>
          <w:p>
            <w:pPr>
              <w:jc w:val="right"/>
              <w:ind w:right="143"/>
              <w:spacing w:after="0"/>
              <w:rPr>
                <w:sz w:val="20"/>
                <w:szCs w:val="20"/>
                <w:color w:val="auto"/>
              </w:rPr>
            </w:pPr>
            <w:r>
              <w:rPr>
                <w:rFonts w:ascii="Calibri" w:cs="Calibri" w:eastAsia="Calibri" w:hAnsi="Calibri"/>
                <w:sz w:val="11"/>
                <w:szCs w:val="11"/>
                <w:color w:val="auto"/>
              </w:rPr>
              <w:t>3.9</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6.7</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Long-term liabilites</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7.6</w:t>
            </w: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0.6</w:t>
            </w: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7.3</w:t>
            </w: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Sales</w:t>
            </w:r>
          </w:p>
        </w:tc>
        <w:tc>
          <w:tcPr>
            <w:tcW w:w="24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371.6</w:t>
            </w:r>
          </w:p>
        </w:tc>
        <w:tc>
          <w:tcPr>
            <w:tcW w:w="540" w:type="dxa"/>
            <w:vAlign w:val="bottom"/>
          </w:tcPr>
          <w:p>
            <w:pPr>
              <w:spacing w:after="0"/>
              <w:rPr>
                <w:sz w:val="11"/>
                <w:szCs w:val="11"/>
                <w:color w:val="auto"/>
              </w:rPr>
            </w:pPr>
          </w:p>
        </w:tc>
        <w:tc>
          <w:tcPr>
            <w:tcW w:w="1080" w:type="dxa"/>
            <w:vAlign w:val="bottom"/>
          </w:tcPr>
          <w:p>
            <w:pPr>
              <w:jc w:val="right"/>
              <w:ind w:right="143"/>
              <w:spacing w:after="0"/>
              <w:rPr>
                <w:sz w:val="20"/>
                <w:szCs w:val="20"/>
                <w:color w:val="auto"/>
              </w:rPr>
            </w:pPr>
            <w:r>
              <w:rPr>
                <w:rFonts w:ascii="Calibri" w:cs="Calibri" w:eastAsia="Calibri" w:hAnsi="Calibri"/>
                <w:sz w:val="11"/>
                <w:szCs w:val="11"/>
                <w:color w:val="auto"/>
              </w:rPr>
              <w:t>20.5</w:t>
            </w:r>
          </w:p>
        </w:tc>
        <w:tc>
          <w:tcPr>
            <w:tcW w:w="620" w:type="dxa"/>
            <w:vAlign w:val="bottom"/>
          </w:tcPr>
          <w:p>
            <w:pPr>
              <w:jc w:val="right"/>
              <w:ind w:right="343"/>
              <w:spacing w:after="0"/>
              <w:rPr>
                <w:sz w:val="20"/>
                <w:szCs w:val="20"/>
                <w:color w:val="auto"/>
              </w:rPr>
            </w:pPr>
            <w:r>
              <w:rPr>
                <w:rFonts w:ascii="Calibri" w:cs="Calibri" w:eastAsia="Calibri" w:hAnsi="Calibri"/>
                <w:sz w:val="11"/>
                <w:szCs w:val="11"/>
                <w:color w:val="auto"/>
              </w:rPr>
              <w:t>$</w:t>
            </w:r>
          </w:p>
        </w:tc>
        <w:tc>
          <w:tcPr>
            <w:tcW w:w="1000" w:type="dxa"/>
            <w:vAlign w:val="bottom"/>
          </w:tcPr>
          <w:p>
            <w:pPr>
              <w:jc w:val="right"/>
              <w:ind w:right="123"/>
              <w:spacing w:after="0"/>
              <w:rPr>
                <w:sz w:val="20"/>
                <w:szCs w:val="20"/>
                <w:color w:val="auto"/>
              </w:rPr>
            </w:pPr>
            <w:r>
              <w:rPr>
                <w:rFonts w:ascii="Calibri" w:cs="Calibri" w:eastAsia="Calibri" w:hAnsi="Calibri"/>
                <w:sz w:val="11"/>
                <w:szCs w:val="11"/>
                <w:color w:val="auto"/>
              </w:rPr>
              <w:t>39.6</w:t>
            </w: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0.2</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Gross proft</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33.4</w:t>
            </w: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1.7</w:t>
            </w: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7.1</w:t>
            </w: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0.2</w:t>
            </w: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Net income (loss)</w:t>
            </w:r>
          </w:p>
        </w:tc>
        <w:tc>
          <w:tcPr>
            <w:tcW w:w="24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11.5</w:t>
            </w:r>
          </w:p>
        </w:tc>
        <w:tc>
          <w:tcPr>
            <w:tcW w:w="540" w:type="dxa"/>
            <w:vAlign w:val="bottom"/>
          </w:tcPr>
          <w:p>
            <w:pPr>
              <w:spacing w:after="0"/>
              <w:rPr>
                <w:sz w:val="11"/>
                <w:szCs w:val="11"/>
                <w:color w:val="auto"/>
              </w:rPr>
            </w:pPr>
          </w:p>
        </w:tc>
        <w:tc>
          <w:tcPr>
            <w:tcW w:w="1080" w:type="dxa"/>
            <w:vAlign w:val="bottom"/>
          </w:tcPr>
          <w:p>
            <w:pPr>
              <w:jc w:val="right"/>
              <w:ind w:right="103"/>
              <w:spacing w:after="0"/>
              <w:rPr>
                <w:sz w:val="20"/>
                <w:szCs w:val="20"/>
                <w:color w:val="auto"/>
              </w:rPr>
            </w:pPr>
            <w:r>
              <w:rPr>
                <w:rFonts w:ascii="Calibri" w:cs="Calibri" w:eastAsia="Calibri" w:hAnsi="Calibri"/>
                <w:sz w:val="11"/>
                <w:szCs w:val="11"/>
                <w:color w:val="auto"/>
              </w:rPr>
              <w:t>(1.8)</w:t>
            </w:r>
          </w:p>
        </w:tc>
        <w:tc>
          <w:tcPr>
            <w:tcW w:w="620" w:type="dxa"/>
            <w:vAlign w:val="bottom"/>
          </w:tcPr>
          <w:p>
            <w:pPr>
              <w:spacing w:after="0"/>
              <w:rPr>
                <w:sz w:val="11"/>
                <w:szCs w:val="11"/>
                <w:color w:val="auto"/>
              </w:rPr>
            </w:pPr>
          </w:p>
        </w:tc>
        <w:tc>
          <w:tcPr>
            <w:tcW w:w="1000" w:type="dxa"/>
            <w:vAlign w:val="bottom"/>
          </w:tcPr>
          <w:p>
            <w:pPr>
              <w:jc w:val="right"/>
              <w:ind w:right="123"/>
              <w:spacing w:after="0"/>
              <w:rPr>
                <w:sz w:val="20"/>
                <w:szCs w:val="20"/>
                <w:color w:val="auto"/>
              </w:rPr>
            </w:pPr>
            <w:r>
              <w:rPr>
                <w:rFonts w:ascii="Calibri" w:cs="Calibri" w:eastAsia="Calibri" w:hAnsi="Calibri"/>
                <w:sz w:val="11"/>
                <w:szCs w:val="11"/>
                <w:color w:val="auto"/>
              </w:rPr>
              <w:t>5.9</w:t>
            </w: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(0.7)</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b w:val="1"/>
                <w:bCs w:val="1"/>
                <w:color w:val="auto"/>
              </w:rPr>
              <w:t>2021</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spacing w:after="0"/>
              <w:rPr>
                <w:sz w:val="13"/>
                <w:szCs w:val="13"/>
                <w:color w:val="auto"/>
              </w:rPr>
            </w:pP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spacing w:after="0"/>
              <w:rPr>
                <w:sz w:val="13"/>
                <w:szCs w:val="13"/>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Current assets</w:t>
            </w:r>
          </w:p>
        </w:tc>
        <w:tc>
          <w:tcPr>
            <w:tcW w:w="2420" w:type="dxa"/>
            <w:vAlign w:val="bottom"/>
          </w:tcPr>
          <w:p>
            <w:pPr>
              <w:jc w:val="right"/>
              <w:ind w:right="223"/>
              <w:spacing w:after="0"/>
              <w:rPr>
                <w:sz w:val="20"/>
                <w:szCs w:val="20"/>
                <w:color w:val="auto"/>
              </w:rPr>
            </w:pPr>
            <w:r>
              <w:rPr>
                <w:rFonts w:ascii="Calibri" w:cs="Calibri" w:eastAsia="Calibri" w:hAnsi="Calibri"/>
                <w:sz w:val="11"/>
                <w:szCs w:val="11"/>
                <w:color w:val="auto"/>
              </w:rPr>
              <w:t>$</w:t>
            </w: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45.1</w:t>
            </w:r>
          </w:p>
        </w:tc>
        <w:tc>
          <w:tcPr>
            <w:tcW w:w="540" w:type="dxa"/>
            <w:vAlign w:val="bottom"/>
          </w:tcPr>
          <w:p>
            <w:pPr>
              <w:jc w:val="right"/>
              <w:ind w:right="263"/>
              <w:spacing w:after="0"/>
              <w:rPr>
                <w:sz w:val="20"/>
                <w:szCs w:val="20"/>
                <w:color w:val="auto"/>
              </w:rPr>
            </w:pPr>
            <w:r>
              <w:rPr>
                <w:rFonts w:ascii="Calibri" w:cs="Calibri" w:eastAsia="Calibri" w:hAnsi="Calibri"/>
                <w:sz w:val="11"/>
                <w:szCs w:val="11"/>
                <w:color w:val="auto"/>
              </w:rPr>
              <w:t>$</w:t>
            </w:r>
          </w:p>
        </w:tc>
        <w:tc>
          <w:tcPr>
            <w:tcW w:w="1080" w:type="dxa"/>
            <w:vAlign w:val="bottom"/>
          </w:tcPr>
          <w:p>
            <w:pPr>
              <w:jc w:val="right"/>
              <w:ind w:right="143"/>
              <w:spacing w:after="0"/>
              <w:rPr>
                <w:sz w:val="20"/>
                <w:szCs w:val="20"/>
                <w:color w:val="auto"/>
              </w:rPr>
            </w:pPr>
            <w:r>
              <w:rPr>
                <w:rFonts w:ascii="Calibri" w:cs="Calibri" w:eastAsia="Calibri" w:hAnsi="Calibri"/>
                <w:sz w:val="11"/>
                <w:szCs w:val="11"/>
                <w:color w:val="auto"/>
              </w:rPr>
              <w:t>4.4</w:t>
            </w:r>
          </w:p>
        </w:tc>
        <w:tc>
          <w:tcPr>
            <w:tcW w:w="620" w:type="dxa"/>
            <w:vAlign w:val="bottom"/>
          </w:tcPr>
          <w:p>
            <w:pPr>
              <w:jc w:val="right"/>
              <w:ind w:right="343"/>
              <w:spacing w:after="0"/>
              <w:rPr>
                <w:sz w:val="20"/>
                <w:szCs w:val="20"/>
                <w:color w:val="auto"/>
              </w:rPr>
            </w:pPr>
            <w:r>
              <w:rPr>
                <w:rFonts w:ascii="Calibri" w:cs="Calibri" w:eastAsia="Calibri" w:hAnsi="Calibri"/>
                <w:sz w:val="11"/>
                <w:szCs w:val="11"/>
                <w:color w:val="auto"/>
              </w:rPr>
              <w:t>$</w:t>
            </w:r>
          </w:p>
        </w:tc>
        <w:tc>
          <w:tcPr>
            <w:tcW w:w="1000" w:type="dxa"/>
            <w:vAlign w:val="bottom"/>
          </w:tcPr>
          <w:p>
            <w:pPr>
              <w:jc w:val="right"/>
              <w:ind w:right="123"/>
              <w:spacing w:after="0"/>
              <w:rPr>
                <w:sz w:val="20"/>
                <w:szCs w:val="20"/>
                <w:color w:val="auto"/>
              </w:rPr>
            </w:pPr>
            <w:r>
              <w:rPr>
                <w:rFonts w:ascii="Calibri" w:cs="Calibri" w:eastAsia="Calibri" w:hAnsi="Calibri"/>
                <w:sz w:val="11"/>
                <w:szCs w:val="11"/>
                <w:color w:val="auto"/>
              </w:rPr>
              <w:t>24.8</w:t>
            </w:r>
          </w:p>
        </w:tc>
        <w:tc>
          <w:tcPr>
            <w:tcW w:w="640" w:type="dxa"/>
            <w:vAlign w:val="bottom"/>
          </w:tcPr>
          <w:p>
            <w:pPr>
              <w:jc w:val="right"/>
              <w:ind w:right="363"/>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spacing w:after="0"/>
              <w:rPr>
                <w:sz w:val="20"/>
                <w:szCs w:val="20"/>
                <w:color w:val="auto"/>
              </w:rPr>
            </w:pPr>
            <w:r>
              <w:rPr>
                <w:rFonts w:ascii="Calibri" w:cs="Calibri" w:eastAsia="Calibri" w:hAnsi="Calibri"/>
                <w:sz w:val="11"/>
                <w:szCs w:val="11"/>
                <w:color w:val="auto"/>
              </w:rPr>
              <w:t>1.5</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Long-term assets</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16.6</w:t>
            </w: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0.5</w:t>
            </w: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21.5</w:t>
            </w: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16.6</w:t>
            </w: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Current liabilites</w:t>
            </w:r>
          </w:p>
        </w:tc>
        <w:tc>
          <w:tcPr>
            <w:tcW w:w="24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22.7</w:t>
            </w:r>
          </w:p>
        </w:tc>
        <w:tc>
          <w:tcPr>
            <w:tcW w:w="540" w:type="dxa"/>
            <w:vAlign w:val="bottom"/>
          </w:tcPr>
          <w:p>
            <w:pPr>
              <w:spacing w:after="0"/>
              <w:rPr>
                <w:sz w:val="11"/>
                <w:szCs w:val="11"/>
                <w:color w:val="auto"/>
              </w:rPr>
            </w:pPr>
          </w:p>
        </w:tc>
        <w:tc>
          <w:tcPr>
            <w:tcW w:w="1080" w:type="dxa"/>
            <w:vAlign w:val="bottom"/>
          </w:tcPr>
          <w:p>
            <w:pPr>
              <w:jc w:val="right"/>
              <w:ind w:right="143"/>
              <w:spacing w:after="0"/>
              <w:rPr>
                <w:sz w:val="20"/>
                <w:szCs w:val="20"/>
                <w:color w:val="auto"/>
              </w:rPr>
            </w:pPr>
            <w:r>
              <w:rPr>
                <w:rFonts w:ascii="Calibri" w:cs="Calibri" w:eastAsia="Calibri" w:hAnsi="Calibri"/>
                <w:sz w:val="11"/>
                <w:szCs w:val="11"/>
                <w:color w:val="auto"/>
              </w:rPr>
              <w:t>3.1</w:t>
            </w:r>
          </w:p>
        </w:tc>
        <w:tc>
          <w:tcPr>
            <w:tcW w:w="620" w:type="dxa"/>
            <w:vAlign w:val="bottom"/>
          </w:tcPr>
          <w:p>
            <w:pPr>
              <w:spacing w:after="0"/>
              <w:rPr>
                <w:sz w:val="11"/>
                <w:szCs w:val="11"/>
                <w:color w:val="auto"/>
              </w:rPr>
            </w:pPr>
          </w:p>
        </w:tc>
        <w:tc>
          <w:tcPr>
            <w:tcW w:w="1000" w:type="dxa"/>
            <w:vAlign w:val="bottom"/>
          </w:tcPr>
          <w:p>
            <w:pPr>
              <w:jc w:val="right"/>
              <w:ind w:right="123"/>
              <w:spacing w:after="0"/>
              <w:rPr>
                <w:sz w:val="20"/>
                <w:szCs w:val="20"/>
                <w:color w:val="auto"/>
              </w:rPr>
            </w:pPr>
            <w:r>
              <w:rPr>
                <w:rFonts w:ascii="Calibri" w:cs="Calibri" w:eastAsia="Calibri" w:hAnsi="Calibri"/>
                <w:sz w:val="11"/>
                <w:szCs w:val="11"/>
                <w:color w:val="auto"/>
              </w:rPr>
              <w:t>13.6</w:t>
            </w: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2.5</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Long-term liabilites</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6.8</w:t>
            </w: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3.8</w:t>
            </w: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6.5</w:t>
            </w: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Sales</w:t>
            </w:r>
          </w:p>
        </w:tc>
        <w:tc>
          <w:tcPr>
            <w:tcW w:w="24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261.7</w:t>
            </w:r>
          </w:p>
        </w:tc>
        <w:tc>
          <w:tcPr>
            <w:tcW w:w="540" w:type="dxa"/>
            <w:vAlign w:val="bottom"/>
          </w:tcPr>
          <w:p>
            <w:pPr>
              <w:spacing w:after="0"/>
              <w:rPr>
                <w:sz w:val="11"/>
                <w:szCs w:val="11"/>
                <w:color w:val="auto"/>
              </w:rPr>
            </w:pPr>
          </w:p>
        </w:tc>
        <w:tc>
          <w:tcPr>
            <w:tcW w:w="1080" w:type="dxa"/>
            <w:vAlign w:val="bottom"/>
          </w:tcPr>
          <w:p>
            <w:pPr>
              <w:jc w:val="right"/>
              <w:ind w:right="143"/>
              <w:spacing w:after="0"/>
              <w:rPr>
                <w:sz w:val="20"/>
                <w:szCs w:val="20"/>
                <w:color w:val="auto"/>
              </w:rPr>
            </w:pPr>
            <w:r>
              <w:rPr>
                <w:rFonts w:ascii="Calibri" w:cs="Calibri" w:eastAsia="Calibri" w:hAnsi="Calibri"/>
                <w:sz w:val="11"/>
                <w:szCs w:val="11"/>
                <w:color w:val="auto"/>
              </w:rPr>
              <w:t>20.1</w:t>
            </w:r>
          </w:p>
        </w:tc>
        <w:tc>
          <w:tcPr>
            <w:tcW w:w="620" w:type="dxa"/>
            <w:vAlign w:val="bottom"/>
          </w:tcPr>
          <w:p>
            <w:pPr>
              <w:spacing w:after="0"/>
              <w:rPr>
                <w:sz w:val="11"/>
                <w:szCs w:val="11"/>
                <w:color w:val="auto"/>
              </w:rPr>
            </w:pPr>
          </w:p>
        </w:tc>
        <w:tc>
          <w:tcPr>
            <w:tcW w:w="1000" w:type="dxa"/>
            <w:vAlign w:val="bottom"/>
          </w:tcPr>
          <w:p>
            <w:pPr>
              <w:jc w:val="right"/>
              <w:ind w:right="123"/>
              <w:spacing w:after="0"/>
              <w:rPr>
                <w:sz w:val="20"/>
                <w:szCs w:val="20"/>
                <w:color w:val="auto"/>
              </w:rPr>
            </w:pPr>
            <w:r>
              <w:rPr>
                <w:rFonts w:ascii="Calibri" w:cs="Calibri" w:eastAsia="Calibri" w:hAnsi="Calibri"/>
                <w:sz w:val="11"/>
                <w:szCs w:val="11"/>
                <w:color w:val="auto"/>
              </w:rPr>
              <w:t>37.3</w:t>
            </w: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0.1</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Gross proft</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24.6</w:t>
            </w: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3.4</w:t>
            </w: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10.5</w:t>
            </w: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Net income (loss)</w:t>
            </w:r>
          </w:p>
        </w:tc>
        <w:tc>
          <w:tcPr>
            <w:tcW w:w="24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7.5</w:t>
            </w:r>
          </w:p>
        </w:tc>
        <w:tc>
          <w:tcPr>
            <w:tcW w:w="540" w:type="dxa"/>
            <w:vAlign w:val="bottom"/>
          </w:tcPr>
          <w:p>
            <w:pPr>
              <w:spacing w:after="0"/>
              <w:rPr>
                <w:sz w:val="11"/>
                <w:szCs w:val="11"/>
                <w:color w:val="auto"/>
              </w:rPr>
            </w:pPr>
          </w:p>
        </w:tc>
        <w:tc>
          <w:tcPr>
            <w:tcW w:w="1080" w:type="dxa"/>
            <w:vAlign w:val="bottom"/>
          </w:tcPr>
          <w:p>
            <w:pPr>
              <w:jc w:val="right"/>
              <w:ind w:right="143"/>
              <w:spacing w:after="0"/>
              <w:rPr>
                <w:sz w:val="20"/>
                <w:szCs w:val="20"/>
                <w:color w:val="auto"/>
              </w:rPr>
            </w:pPr>
            <w:r>
              <w:rPr>
                <w:rFonts w:ascii="Calibri" w:cs="Calibri" w:eastAsia="Calibri" w:hAnsi="Calibri"/>
                <w:sz w:val="11"/>
                <w:szCs w:val="11"/>
                <w:color w:val="auto"/>
              </w:rPr>
              <w:t>0.5</w:t>
            </w:r>
          </w:p>
        </w:tc>
        <w:tc>
          <w:tcPr>
            <w:tcW w:w="620" w:type="dxa"/>
            <w:vAlign w:val="bottom"/>
          </w:tcPr>
          <w:p>
            <w:pPr>
              <w:spacing w:after="0"/>
              <w:rPr>
                <w:sz w:val="11"/>
                <w:szCs w:val="11"/>
                <w:color w:val="auto"/>
              </w:rPr>
            </w:pPr>
          </w:p>
        </w:tc>
        <w:tc>
          <w:tcPr>
            <w:tcW w:w="1000" w:type="dxa"/>
            <w:vAlign w:val="bottom"/>
          </w:tcPr>
          <w:p>
            <w:pPr>
              <w:jc w:val="right"/>
              <w:ind w:right="123"/>
              <w:spacing w:after="0"/>
              <w:rPr>
                <w:sz w:val="20"/>
                <w:szCs w:val="20"/>
                <w:color w:val="auto"/>
              </w:rPr>
            </w:pPr>
            <w:r>
              <w:rPr>
                <w:rFonts w:ascii="Calibri" w:cs="Calibri" w:eastAsia="Calibri" w:hAnsi="Calibri"/>
                <w:sz w:val="11"/>
                <w:szCs w:val="11"/>
                <w:color w:val="auto"/>
              </w:rPr>
              <w:t>6.4</w:t>
            </w: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(0.2)</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b w:val="1"/>
                <w:bCs w:val="1"/>
                <w:color w:val="auto"/>
              </w:rPr>
              <w:t>2020</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spacing w:after="0"/>
              <w:rPr>
                <w:sz w:val="13"/>
                <w:szCs w:val="13"/>
                <w:color w:val="auto"/>
              </w:rPr>
            </w:pP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spacing w:after="0"/>
              <w:rPr>
                <w:sz w:val="13"/>
                <w:szCs w:val="13"/>
                <w:color w:val="auto"/>
              </w:rPr>
            </w:pP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spacing w:after="0"/>
              <w:rPr>
                <w:sz w:val="13"/>
                <w:szCs w:val="13"/>
                <w:color w:val="auto"/>
              </w:rPr>
            </w:pP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Sales</w:t>
            </w:r>
          </w:p>
        </w:tc>
        <w:tc>
          <w:tcPr>
            <w:tcW w:w="2420" w:type="dxa"/>
            <w:vAlign w:val="bottom"/>
          </w:tcPr>
          <w:p>
            <w:pPr>
              <w:jc w:val="right"/>
              <w:ind w:right="223"/>
              <w:spacing w:after="0"/>
              <w:rPr>
                <w:sz w:val="20"/>
                <w:szCs w:val="20"/>
                <w:color w:val="auto"/>
              </w:rPr>
            </w:pPr>
            <w:r>
              <w:rPr>
                <w:rFonts w:ascii="Calibri" w:cs="Calibri" w:eastAsia="Calibri" w:hAnsi="Calibri"/>
                <w:sz w:val="11"/>
                <w:szCs w:val="11"/>
                <w:color w:val="auto"/>
              </w:rPr>
              <w:t>$</w:t>
            </w: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254.1</w:t>
            </w:r>
          </w:p>
        </w:tc>
        <w:tc>
          <w:tcPr>
            <w:tcW w:w="540" w:type="dxa"/>
            <w:vAlign w:val="bottom"/>
          </w:tcPr>
          <w:p>
            <w:pPr>
              <w:jc w:val="right"/>
              <w:ind w:right="263"/>
              <w:spacing w:after="0"/>
              <w:rPr>
                <w:sz w:val="20"/>
                <w:szCs w:val="20"/>
                <w:color w:val="auto"/>
              </w:rPr>
            </w:pPr>
            <w:r>
              <w:rPr>
                <w:rFonts w:ascii="Calibri" w:cs="Calibri" w:eastAsia="Calibri" w:hAnsi="Calibri"/>
                <w:sz w:val="11"/>
                <w:szCs w:val="11"/>
                <w:color w:val="auto"/>
              </w:rPr>
              <w:t>$</w:t>
            </w:r>
          </w:p>
        </w:tc>
        <w:tc>
          <w:tcPr>
            <w:tcW w:w="1080" w:type="dxa"/>
            <w:vAlign w:val="bottom"/>
          </w:tcPr>
          <w:p>
            <w:pPr>
              <w:jc w:val="right"/>
              <w:ind w:right="143"/>
              <w:spacing w:after="0"/>
              <w:rPr>
                <w:sz w:val="20"/>
                <w:szCs w:val="20"/>
                <w:color w:val="auto"/>
              </w:rPr>
            </w:pPr>
            <w:r>
              <w:rPr>
                <w:rFonts w:ascii="Calibri" w:cs="Calibri" w:eastAsia="Calibri" w:hAnsi="Calibri"/>
                <w:sz w:val="11"/>
                <w:szCs w:val="11"/>
                <w:color w:val="auto"/>
              </w:rPr>
              <w:t>11.7</w:t>
            </w:r>
          </w:p>
        </w:tc>
        <w:tc>
          <w:tcPr>
            <w:tcW w:w="620" w:type="dxa"/>
            <w:vAlign w:val="bottom"/>
          </w:tcPr>
          <w:p>
            <w:pPr>
              <w:jc w:val="right"/>
              <w:ind w:right="343"/>
              <w:spacing w:after="0"/>
              <w:rPr>
                <w:sz w:val="20"/>
                <w:szCs w:val="20"/>
                <w:color w:val="auto"/>
              </w:rPr>
            </w:pPr>
            <w:r>
              <w:rPr>
                <w:rFonts w:ascii="Calibri" w:cs="Calibri" w:eastAsia="Calibri" w:hAnsi="Calibri"/>
                <w:sz w:val="11"/>
                <w:szCs w:val="11"/>
                <w:color w:val="auto"/>
              </w:rPr>
              <w:t>$</w:t>
            </w:r>
          </w:p>
        </w:tc>
        <w:tc>
          <w:tcPr>
            <w:tcW w:w="1000" w:type="dxa"/>
            <w:vAlign w:val="bottom"/>
          </w:tcPr>
          <w:p>
            <w:pPr>
              <w:jc w:val="right"/>
              <w:ind w:right="123"/>
              <w:spacing w:after="0"/>
              <w:rPr>
                <w:sz w:val="20"/>
                <w:szCs w:val="20"/>
                <w:color w:val="auto"/>
              </w:rPr>
            </w:pPr>
            <w:r>
              <w:rPr>
                <w:rFonts w:ascii="Calibri" w:cs="Calibri" w:eastAsia="Calibri" w:hAnsi="Calibri"/>
                <w:sz w:val="11"/>
                <w:szCs w:val="11"/>
                <w:color w:val="auto"/>
              </w:rPr>
              <w:t>28.7</w:t>
            </w:r>
          </w:p>
        </w:tc>
        <w:tc>
          <w:tcPr>
            <w:tcW w:w="640" w:type="dxa"/>
            <w:vAlign w:val="bottom"/>
          </w:tcPr>
          <w:p>
            <w:pPr>
              <w:jc w:val="right"/>
              <w:ind w:right="363"/>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spacing w:after="0"/>
              <w:rPr>
                <w:sz w:val="20"/>
                <w:szCs w:val="20"/>
                <w:color w:val="auto"/>
              </w:rPr>
            </w:pPr>
            <w:r>
              <w:rPr>
                <w:rFonts w:ascii="Calibri" w:cs="Calibri" w:eastAsia="Calibri" w:hAnsi="Calibri"/>
                <w:sz w:val="11"/>
                <w:szCs w:val="11"/>
                <w:color w:val="auto"/>
              </w:rPr>
              <w:t>0.2</w:t>
            </w:r>
          </w:p>
        </w:tc>
      </w:tr>
      <w:tr>
        <w:trPr>
          <w:trHeight w:val="46"/>
        </w:trPr>
        <w:tc>
          <w:tcPr>
            <w:tcW w:w="30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60"/>
        </w:trPr>
        <w:tc>
          <w:tcPr>
            <w:tcW w:w="30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Gross proft</w:t>
            </w:r>
          </w:p>
        </w:tc>
        <w:tc>
          <w:tcPr>
            <w:tcW w:w="242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22.8</w:t>
            </w:r>
          </w:p>
        </w:tc>
        <w:tc>
          <w:tcPr>
            <w:tcW w:w="5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1.9</w:t>
            </w:r>
          </w:p>
        </w:tc>
        <w:tc>
          <w:tcPr>
            <w:tcW w:w="62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7.7</w:t>
            </w:r>
          </w:p>
        </w:tc>
        <w:tc>
          <w:tcPr>
            <w:tcW w:w="6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3000" w:type="dxa"/>
            <w:vAlign w:val="bottom"/>
          </w:tcPr>
          <w:p>
            <w:pPr>
              <w:ind w:left="20"/>
              <w:spacing w:after="0"/>
              <w:rPr>
                <w:sz w:val="20"/>
                <w:szCs w:val="20"/>
                <w:color w:val="auto"/>
              </w:rPr>
            </w:pPr>
            <w:r>
              <w:rPr>
                <w:rFonts w:ascii="Calibri" w:cs="Calibri" w:eastAsia="Calibri" w:hAnsi="Calibri"/>
                <w:sz w:val="11"/>
                <w:szCs w:val="11"/>
                <w:color w:val="auto"/>
              </w:rPr>
              <w:t>Net income (loss)</w:t>
            </w:r>
          </w:p>
        </w:tc>
        <w:tc>
          <w:tcPr>
            <w:tcW w:w="24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Calibri" w:cs="Calibri" w:eastAsia="Calibri" w:hAnsi="Calibri"/>
                <w:sz w:val="11"/>
                <w:szCs w:val="11"/>
                <w:color w:val="auto"/>
              </w:rPr>
              <w:t>4.4</w:t>
            </w:r>
          </w:p>
        </w:tc>
        <w:tc>
          <w:tcPr>
            <w:tcW w:w="540" w:type="dxa"/>
            <w:vAlign w:val="bottom"/>
          </w:tcPr>
          <w:p>
            <w:pPr>
              <w:spacing w:after="0"/>
              <w:rPr>
                <w:sz w:val="11"/>
                <w:szCs w:val="11"/>
                <w:color w:val="auto"/>
              </w:rPr>
            </w:pPr>
          </w:p>
        </w:tc>
        <w:tc>
          <w:tcPr>
            <w:tcW w:w="1080" w:type="dxa"/>
            <w:vAlign w:val="bottom"/>
          </w:tcPr>
          <w:p>
            <w:pPr>
              <w:jc w:val="right"/>
              <w:ind w:right="103"/>
              <w:spacing w:after="0"/>
              <w:rPr>
                <w:sz w:val="20"/>
                <w:szCs w:val="20"/>
                <w:color w:val="auto"/>
              </w:rPr>
            </w:pPr>
            <w:r>
              <w:rPr>
                <w:rFonts w:ascii="Calibri" w:cs="Calibri" w:eastAsia="Calibri" w:hAnsi="Calibri"/>
                <w:sz w:val="11"/>
                <w:szCs w:val="11"/>
                <w:color w:val="auto"/>
              </w:rPr>
              <w:t>(0.2)</w:t>
            </w:r>
          </w:p>
        </w:tc>
        <w:tc>
          <w:tcPr>
            <w:tcW w:w="620" w:type="dxa"/>
            <w:vAlign w:val="bottom"/>
          </w:tcPr>
          <w:p>
            <w:pPr>
              <w:spacing w:after="0"/>
              <w:rPr>
                <w:sz w:val="11"/>
                <w:szCs w:val="11"/>
                <w:color w:val="auto"/>
              </w:rPr>
            </w:pPr>
          </w:p>
        </w:tc>
        <w:tc>
          <w:tcPr>
            <w:tcW w:w="1000" w:type="dxa"/>
            <w:vAlign w:val="bottom"/>
          </w:tcPr>
          <w:p>
            <w:pPr>
              <w:jc w:val="right"/>
              <w:ind w:right="123"/>
              <w:spacing w:after="0"/>
              <w:rPr>
                <w:sz w:val="20"/>
                <w:szCs w:val="20"/>
                <w:color w:val="auto"/>
              </w:rPr>
            </w:pPr>
            <w:r>
              <w:rPr>
                <w:rFonts w:ascii="Calibri" w:cs="Calibri" w:eastAsia="Calibri" w:hAnsi="Calibri"/>
                <w:sz w:val="11"/>
                <w:szCs w:val="11"/>
                <w:color w:val="auto"/>
              </w:rPr>
              <w:t>3.8</w:t>
            </w:r>
          </w:p>
        </w:tc>
        <w:tc>
          <w:tcPr>
            <w:tcW w:w="6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0.1</w:t>
            </w:r>
          </w:p>
        </w:tc>
      </w:tr>
      <w:tr>
        <w:trPr>
          <w:trHeight w:val="46"/>
        </w:trPr>
        <w:tc>
          <w:tcPr>
            <w:tcW w:w="30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24" w:lineRule="exact"/>
        <w:rPr>
          <w:sz w:val="20"/>
          <w:szCs w:val="20"/>
          <w:color w:val="auto"/>
        </w:rPr>
      </w:pPr>
    </w:p>
    <w:p>
      <w:pPr>
        <w:ind w:left="120" w:hanging="115"/>
        <w:spacing w:after="0"/>
        <w:tabs>
          <w:tab w:leader="none" w:pos="120" w:val="left"/>
        </w:tabs>
        <w:numPr>
          <w:ilvl w:val="0"/>
          <w:numId w:val="19"/>
        </w:numPr>
        <w:rPr>
          <w:rFonts w:ascii="Calibri" w:cs="Calibri" w:eastAsia="Calibri" w:hAnsi="Calibri"/>
          <w:sz w:val="13"/>
          <w:szCs w:val="13"/>
          <w:color w:val="auto"/>
          <w:vertAlign w:val="superscript"/>
        </w:rPr>
      </w:pPr>
      <w:r>
        <w:rPr>
          <w:rFonts w:ascii="Calibri" w:cs="Calibri" w:eastAsia="Calibri" w:hAnsi="Calibri"/>
          <w:sz w:val="10"/>
          <w:szCs w:val="10"/>
          <w:color w:val="auto"/>
        </w:rPr>
        <w:t>Selected fnancial informaton for Moruga is set forth for periods under which Moruga was accounted for under the equity method of accountng. As of October 31, 2022, Moruga was consolidated.</w:t>
      </w:r>
    </w:p>
    <w:p>
      <w:pPr>
        <w:spacing w:after="0" w:line="144"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 Company’s investments in its equity method investees have been impacted by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18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700" w:type="dxa"/>
            <w:vAlign w:val="bottom"/>
          </w:tcPr>
          <w:p>
            <w:pPr>
              <w:spacing w:after="0"/>
              <w:rPr>
                <w:sz w:val="11"/>
                <w:szCs w:val="11"/>
                <w:color w:val="auto"/>
              </w:rPr>
            </w:pPr>
          </w:p>
        </w:tc>
        <w:tc>
          <w:tcPr>
            <w:tcW w:w="1120" w:type="dxa"/>
            <w:vAlign w:val="bottom"/>
          </w:tcPr>
          <w:p>
            <w:pPr>
              <w:jc w:val="right"/>
              <w:ind w:right="83"/>
              <w:spacing w:after="0"/>
              <w:rPr>
                <w:sz w:val="20"/>
                <w:szCs w:val="20"/>
                <w:color w:val="auto"/>
              </w:rPr>
            </w:pPr>
            <w:r>
              <w:rPr>
                <w:rFonts w:ascii="Calibri" w:cs="Calibri" w:eastAsia="Calibri" w:hAnsi="Calibri"/>
                <w:sz w:val="11"/>
                <w:szCs w:val="11"/>
                <w:b w:val="1"/>
                <w:bCs w:val="1"/>
                <w:color w:val="auto"/>
              </w:rPr>
              <w:t>Henry Avocado</w:t>
            </w:r>
          </w:p>
        </w:tc>
        <w:tc>
          <w:tcPr>
            <w:tcW w:w="540" w:type="dxa"/>
            <w:vAlign w:val="bottom"/>
          </w:tcPr>
          <w:p>
            <w:pPr>
              <w:spacing w:after="0"/>
              <w:rPr>
                <w:sz w:val="11"/>
                <w:szCs w:val="11"/>
                <w:color w:val="auto"/>
              </w:rPr>
            </w:pPr>
          </w:p>
        </w:tc>
        <w:tc>
          <w:tcPr>
            <w:tcW w:w="1060" w:type="dxa"/>
            <w:vAlign w:val="bottom"/>
          </w:tcPr>
          <w:p>
            <w:pPr>
              <w:jc w:val="right"/>
              <w:ind w:right="83"/>
              <w:spacing w:after="0"/>
              <w:rPr>
                <w:sz w:val="20"/>
                <w:szCs w:val="20"/>
                <w:color w:val="auto"/>
              </w:rPr>
            </w:pPr>
            <w:r>
              <w:rPr>
                <w:rFonts w:ascii="Calibri" w:cs="Calibri" w:eastAsia="Calibri" w:hAnsi="Calibri"/>
                <w:sz w:val="11"/>
                <w:szCs w:val="11"/>
                <w:b w:val="1"/>
                <w:bCs w:val="1"/>
                <w:color w:val="auto"/>
              </w:rPr>
              <w:t>Mr. Avocado</w:t>
            </w:r>
          </w:p>
        </w:tc>
        <w:tc>
          <w:tcPr>
            <w:tcW w:w="660" w:type="dxa"/>
            <w:vAlign w:val="bottom"/>
          </w:tcPr>
          <w:p>
            <w:pPr>
              <w:spacing w:after="0"/>
              <w:rPr>
                <w:sz w:val="11"/>
                <w:szCs w:val="11"/>
                <w:color w:val="auto"/>
              </w:rPr>
            </w:pPr>
          </w:p>
        </w:tc>
        <w:tc>
          <w:tcPr>
            <w:tcW w:w="96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Moruga</w:t>
            </w:r>
          </w:p>
        </w:tc>
        <w:tc>
          <w:tcPr>
            <w:tcW w:w="620" w:type="dxa"/>
            <w:vAlign w:val="bottom"/>
          </w:tcPr>
          <w:p>
            <w:pPr>
              <w:spacing w:after="0"/>
              <w:rPr>
                <w:sz w:val="11"/>
                <w:szCs w:val="11"/>
                <w:color w:val="auto"/>
              </w:rPr>
            </w:pPr>
          </w:p>
        </w:tc>
        <w:tc>
          <w:tcPr>
            <w:tcW w:w="98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Copaltas</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1"/>
                <w:szCs w:val="11"/>
                <w:b w:val="1"/>
                <w:bCs w:val="1"/>
                <w:color w:val="auto"/>
              </w:rPr>
              <w:t>Total</w:t>
            </w:r>
          </w:p>
        </w:tc>
      </w:tr>
      <w:tr>
        <w:trPr>
          <w:trHeight w:val="46"/>
        </w:trPr>
        <w:tc>
          <w:tcPr>
            <w:tcW w:w="3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51"/>
        </w:trPr>
        <w:tc>
          <w:tcPr>
            <w:tcW w:w="31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Investment balance as of October 31, 2020</w:t>
            </w:r>
          </w:p>
        </w:tc>
        <w:tc>
          <w:tcPr>
            <w:tcW w:w="700" w:type="dxa"/>
            <w:vAlign w:val="bottom"/>
            <w:tcBorders>
              <w:bottom w:val="single" w:sz="8" w:color="DBDBDB"/>
            </w:tcBorders>
            <w:shd w:val="clear" w:color="auto" w:fill="DBDBDB"/>
          </w:tcPr>
          <w:p>
            <w:pPr>
              <w:jc w:val="right"/>
              <w:ind w:right="223"/>
              <w:spacing w:after="0" w:line="126" w:lineRule="exact"/>
              <w:rPr>
                <w:sz w:val="20"/>
                <w:szCs w:val="20"/>
                <w:color w:val="auto"/>
              </w:rPr>
            </w:pPr>
            <w:r>
              <w:rPr>
                <w:rFonts w:ascii="Calibri" w:cs="Calibri" w:eastAsia="Calibri" w:hAnsi="Calibri"/>
                <w:sz w:val="11"/>
                <w:szCs w:val="11"/>
                <w:color w:val="auto"/>
              </w:rPr>
              <w:t>$</w:t>
            </w:r>
          </w:p>
        </w:tc>
        <w:tc>
          <w:tcPr>
            <w:tcW w:w="112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17.9</w:t>
            </w:r>
          </w:p>
        </w:tc>
        <w:tc>
          <w:tcPr>
            <w:tcW w:w="540" w:type="dxa"/>
            <w:vAlign w:val="bottom"/>
            <w:tcBorders>
              <w:bottom w:val="single" w:sz="8" w:color="DBDBDB"/>
            </w:tcBorders>
            <w:shd w:val="clear" w:color="auto" w:fill="DBDBDB"/>
          </w:tcPr>
          <w:p>
            <w:pPr>
              <w:jc w:val="right"/>
              <w:ind w:right="263"/>
              <w:spacing w:after="0" w:line="126" w:lineRule="exact"/>
              <w:rPr>
                <w:sz w:val="20"/>
                <w:szCs w:val="20"/>
                <w:color w:val="auto"/>
              </w:rPr>
            </w:pPr>
            <w:r>
              <w:rPr>
                <w:rFonts w:ascii="Calibri" w:cs="Calibri" w:eastAsia="Calibri" w:hAnsi="Calibri"/>
                <w:sz w:val="11"/>
                <w:szCs w:val="11"/>
                <w:color w:val="auto"/>
              </w:rPr>
              <w:t>$</w:t>
            </w:r>
          </w:p>
        </w:tc>
        <w:tc>
          <w:tcPr>
            <w:tcW w:w="10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0.4</w:t>
            </w:r>
          </w:p>
        </w:tc>
        <w:tc>
          <w:tcPr>
            <w:tcW w:w="660" w:type="dxa"/>
            <w:vAlign w:val="bottom"/>
            <w:tcBorders>
              <w:bottom w:val="single" w:sz="8" w:color="DBDBDB"/>
            </w:tcBorders>
            <w:shd w:val="clear" w:color="auto" w:fill="DBDBDB"/>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6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23.9</w:t>
            </w:r>
          </w:p>
        </w:tc>
        <w:tc>
          <w:tcPr>
            <w:tcW w:w="620" w:type="dxa"/>
            <w:vAlign w:val="bottom"/>
            <w:tcBorders>
              <w:bottom w:val="single" w:sz="8" w:color="DBDBDB"/>
            </w:tcBorders>
            <w:shd w:val="clear" w:color="auto" w:fill="DBDBDB"/>
          </w:tcPr>
          <w:p>
            <w:pPr>
              <w:jc w:val="right"/>
              <w:ind w:right="363"/>
              <w:spacing w:after="0" w:line="126" w:lineRule="exact"/>
              <w:rPr>
                <w:sz w:val="20"/>
                <w:szCs w:val="20"/>
                <w:color w:val="auto"/>
              </w:rPr>
            </w:pPr>
            <w:r>
              <w:rPr>
                <w:rFonts w:ascii="Calibri" w:cs="Calibri" w:eastAsia="Calibri" w:hAnsi="Calibri"/>
                <w:sz w:val="11"/>
                <w:szCs w:val="11"/>
                <w:color w:val="auto"/>
              </w:rPr>
              <w:t>$</w:t>
            </w:r>
          </w:p>
        </w:tc>
        <w:tc>
          <w:tcPr>
            <w:tcW w:w="9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4.5</w:t>
            </w:r>
          </w:p>
        </w:tc>
        <w:tc>
          <w:tcPr>
            <w:tcW w:w="68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46.7</w:t>
            </w:r>
          </w:p>
        </w:tc>
      </w:tr>
      <w:tr>
        <w:trPr>
          <w:trHeight w:val="135"/>
        </w:trPr>
        <w:tc>
          <w:tcPr>
            <w:tcW w:w="3180" w:type="dxa"/>
            <w:vAlign w:val="bottom"/>
          </w:tcPr>
          <w:p>
            <w:pPr>
              <w:ind w:left="20"/>
              <w:spacing w:after="0"/>
              <w:rPr>
                <w:sz w:val="20"/>
                <w:szCs w:val="20"/>
                <w:color w:val="auto"/>
              </w:rPr>
            </w:pPr>
            <w:r>
              <w:rPr>
                <w:rFonts w:ascii="Calibri" w:cs="Calibri" w:eastAsia="Calibri" w:hAnsi="Calibri"/>
                <w:sz w:val="11"/>
                <w:szCs w:val="11"/>
                <w:color w:val="auto"/>
              </w:rPr>
              <w:t>Equity method income (losses)</w:t>
            </w:r>
          </w:p>
        </w:tc>
        <w:tc>
          <w:tcPr>
            <w:tcW w:w="700" w:type="dxa"/>
            <w:vAlign w:val="bottom"/>
          </w:tcPr>
          <w:p>
            <w:pPr>
              <w:spacing w:after="0"/>
              <w:rPr>
                <w:sz w:val="11"/>
                <w:szCs w:val="11"/>
                <w:color w:val="auto"/>
              </w:rPr>
            </w:pPr>
          </w:p>
        </w:tc>
        <w:tc>
          <w:tcPr>
            <w:tcW w:w="1120" w:type="dxa"/>
            <w:vAlign w:val="bottom"/>
          </w:tcPr>
          <w:p>
            <w:pPr>
              <w:jc w:val="right"/>
              <w:ind w:right="123"/>
              <w:spacing w:after="0"/>
              <w:rPr>
                <w:sz w:val="20"/>
                <w:szCs w:val="20"/>
                <w:color w:val="auto"/>
              </w:rPr>
            </w:pPr>
            <w:r>
              <w:rPr>
                <w:rFonts w:ascii="Calibri" w:cs="Calibri" w:eastAsia="Calibri" w:hAnsi="Calibri"/>
                <w:sz w:val="11"/>
                <w:szCs w:val="11"/>
                <w:color w:val="auto"/>
              </w:rPr>
              <w:t>3.7</w:t>
            </w:r>
          </w:p>
        </w:tc>
        <w:tc>
          <w:tcPr>
            <w:tcW w:w="540" w:type="dxa"/>
            <w:vAlign w:val="bottom"/>
          </w:tcPr>
          <w:p>
            <w:pPr>
              <w:spacing w:after="0"/>
              <w:rPr>
                <w:sz w:val="11"/>
                <w:szCs w:val="11"/>
                <w:color w:val="auto"/>
              </w:rPr>
            </w:pPr>
          </w:p>
        </w:tc>
        <w:tc>
          <w:tcPr>
            <w:tcW w:w="1060" w:type="dxa"/>
            <w:vAlign w:val="bottom"/>
          </w:tcPr>
          <w:p>
            <w:pPr>
              <w:jc w:val="right"/>
              <w:ind w:right="103"/>
              <w:spacing w:after="0"/>
              <w:rPr>
                <w:sz w:val="20"/>
                <w:szCs w:val="20"/>
                <w:color w:val="auto"/>
              </w:rPr>
            </w:pPr>
            <w:r>
              <w:rPr>
                <w:rFonts w:ascii="Calibri" w:cs="Calibri" w:eastAsia="Calibri" w:hAnsi="Calibri"/>
                <w:sz w:val="11"/>
                <w:szCs w:val="11"/>
                <w:color w:val="auto"/>
              </w:rPr>
              <w:t>0.2</w:t>
            </w:r>
          </w:p>
        </w:tc>
        <w:tc>
          <w:tcPr>
            <w:tcW w:w="660" w:type="dxa"/>
            <w:vAlign w:val="bottom"/>
          </w:tcPr>
          <w:p>
            <w:pPr>
              <w:spacing w:after="0"/>
              <w:rPr>
                <w:sz w:val="11"/>
                <w:szCs w:val="11"/>
                <w:color w:val="auto"/>
              </w:rPr>
            </w:pPr>
          </w:p>
        </w:tc>
        <w:tc>
          <w:tcPr>
            <w:tcW w:w="960" w:type="dxa"/>
            <w:vAlign w:val="bottom"/>
          </w:tcPr>
          <w:p>
            <w:pPr>
              <w:jc w:val="right"/>
              <w:ind w:right="123"/>
              <w:spacing w:after="0"/>
              <w:rPr>
                <w:sz w:val="20"/>
                <w:szCs w:val="20"/>
                <w:color w:val="auto"/>
              </w:rPr>
            </w:pPr>
            <w:r>
              <w:rPr>
                <w:rFonts w:ascii="Calibri" w:cs="Calibri" w:eastAsia="Calibri" w:hAnsi="Calibri"/>
                <w:sz w:val="11"/>
                <w:szCs w:val="11"/>
                <w:color w:val="auto"/>
              </w:rPr>
              <w:t>3.8</w:t>
            </w:r>
          </w:p>
        </w:tc>
        <w:tc>
          <w:tcPr>
            <w:tcW w:w="620" w:type="dxa"/>
            <w:vAlign w:val="bottom"/>
          </w:tcPr>
          <w:p>
            <w:pPr>
              <w:spacing w:after="0"/>
              <w:rPr>
                <w:sz w:val="11"/>
                <w:szCs w:val="11"/>
                <w:color w:val="auto"/>
              </w:rPr>
            </w:pPr>
          </w:p>
        </w:tc>
        <w:tc>
          <w:tcPr>
            <w:tcW w:w="980" w:type="dxa"/>
            <w:vAlign w:val="bottom"/>
          </w:tcPr>
          <w:p>
            <w:pPr>
              <w:jc w:val="right"/>
              <w:ind w:right="103"/>
              <w:spacing w:after="0"/>
              <w:rPr>
                <w:sz w:val="20"/>
                <w:szCs w:val="20"/>
                <w:color w:val="auto"/>
              </w:rPr>
            </w:pPr>
            <w:r>
              <w:rPr>
                <w:rFonts w:ascii="Calibri" w:cs="Calibri" w:eastAsia="Calibri" w:hAnsi="Calibri"/>
                <w:sz w:val="11"/>
                <w:szCs w:val="11"/>
                <w:color w:val="auto"/>
              </w:rPr>
              <w:t>(0.2)</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1"/>
                <w:szCs w:val="11"/>
                <w:color w:val="auto"/>
              </w:rPr>
              <w:t>7.5</w:t>
            </w:r>
          </w:p>
        </w:tc>
      </w:tr>
      <w:tr>
        <w:trPr>
          <w:trHeight w:val="46"/>
        </w:trPr>
        <w:tc>
          <w:tcPr>
            <w:tcW w:w="3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60"/>
        </w:trPr>
        <w:tc>
          <w:tcPr>
            <w:tcW w:w="31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Dividends received</w:t>
            </w:r>
          </w:p>
        </w:tc>
        <w:tc>
          <w:tcPr>
            <w:tcW w:w="700" w:type="dxa"/>
            <w:vAlign w:val="bottom"/>
            <w:tcBorders>
              <w:bottom w:val="single" w:sz="8" w:color="DBDBDB"/>
            </w:tcBorders>
            <w:shd w:val="clear" w:color="auto" w:fill="DBDBDB"/>
          </w:tcPr>
          <w:p>
            <w:pPr>
              <w:spacing w:after="0"/>
              <w:rPr>
                <w:sz w:val="13"/>
                <w:szCs w:val="13"/>
                <w:color w:val="auto"/>
              </w:rPr>
            </w:pPr>
          </w:p>
        </w:tc>
        <w:tc>
          <w:tcPr>
            <w:tcW w:w="11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(1.7)</w:t>
            </w:r>
          </w:p>
        </w:tc>
        <w:tc>
          <w:tcPr>
            <w:tcW w:w="54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3"/>
                <w:szCs w:val="13"/>
                <w:color w:val="auto"/>
              </w:rPr>
            </w:pPr>
          </w:p>
        </w:tc>
        <w:tc>
          <w:tcPr>
            <w:tcW w:w="96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(1.7)</w:t>
            </w:r>
          </w:p>
        </w:tc>
      </w:tr>
      <w:tr>
        <w:trPr>
          <w:trHeight w:val="135"/>
        </w:trPr>
        <w:tc>
          <w:tcPr>
            <w:tcW w:w="3180" w:type="dxa"/>
            <w:vAlign w:val="bottom"/>
          </w:tcPr>
          <w:p>
            <w:pPr>
              <w:ind w:left="20"/>
              <w:spacing w:after="0"/>
              <w:rPr>
                <w:sz w:val="20"/>
                <w:szCs w:val="20"/>
                <w:color w:val="auto"/>
              </w:rPr>
            </w:pPr>
            <w:r>
              <w:rPr>
                <w:rFonts w:ascii="Calibri" w:cs="Calibri" w:eastAsia="Calibri" w:hAnsi="Calibri"/>
                <w:sz w:val="11"/>
                <w:szCs w:val="11"/>
                <w:color w:val="auto"/>
              </w:rPr>
              <w:t>Investment contributons</w:t>
            </w:r>
          </w:p>
        </w:tc>
        <w:tc>
          <w:tcPr>
            <w:tcW w:w="700" w:type="dxa"/>
            <w:vAlign w:val="bottom"/>
          </w:tcPr>
          <w:p>
            <w:pPr>
              <w:spacing w:after="0"/>
              <w:rPr>
                <w:sz w:val="11"/>
                <w:szCs w:val="11"/>
                <w:color w:val="auto"/>
              </w:rPr>
            </w:pPr>
          </w:p>
        </w:tc>
        <w:tc>
          <w:tcPr>
            <w:tcW w:w="112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540" w:type="dxa"/>
            <w:vAlign w:val="bottom"/>
          </w:tcPr>
          <w:p>
            <w:pPr>
              <w:spacing w:after="0"/>
              <w:rPr>
                <w:sz w:val="11"/>
                <w:szCs w:val="11"/>
                <w:color w:val="auto"/>
              </w:rPr>
            </w:pPr>
          </w:p>
        </w:tc>
        <w:tc>
          <w:tcPr>
            <w:tcW w:w="10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96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980" w:type="dxa"/>
            <w:vAlign w:val="bottom"/>
          </w:tcPr>
          <w:p>
            <w:pPr>
              <w:jc w:val="right"/>
              <w:ind w:right="123"/>
              <w:spacing w:after="0"/>
              <w:rPr>
                <w:sz w:val="20"/>
                <w:szCs w:val="20"/>
                <w:color w:val="auto"/>
              </w:rPr>
            </w:pPr>
            <w:r>
              <w:rPr>
                <w:rFonts w:ascii="Calibri" w:cs="Calibri" w:eastAsia="Calibri" w:hAnsi="Calibri"/>
                <w:sz w:val="11"/>
                <w:szCs w:val="11"/>
                <w:color w:val="auto"/>
              </w:rPr>
              <w:t>0.2</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1"/>
                <w:szCs w:val="11"/>
                <w:color w:val="auto"/>
              </w:rPr>
              <w:t>0.2</w:t>
            </w:r>
          </w:p>
        </w:tc>
      </w:tr>
      <w:tr>
        <w:trPr>
          <w:trHeight w:val="46"/>
        </w:trPr>
        <w:tc>
          <w:tcPr>
            <w:tcW w:w="3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51"/>
        </w:trPr>
        <w:tc>
          <w:tcPr>
            <w:tcW w:w="31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Investment balance as of October 31, 2021</w:t>
            </w:r>
          </w:p>
        </w:tc>
        <w:tc>
          <w:tcPr>
            <w:tcW w:w="700" w:type="dxa"/>
            <w:vAlign w:val="bottom"/>
            <w:tcBorders>
              <w:bottom w:val="single" w:sz="8" w:color="DBDBDB"/>
            </w:tcBorders>
            <w:shd w:val="clear" w:color="auto" w:fill="DBDBDB"/>
          </w:tcPr>
          <w:p>
            <w:pPr>
              <w:jc w:val="right"/>
              <w:ind w:right="223"/>
              <w:spacing w:after="0" w:line="126" w:lineRule="exact"/>
              <w:rPr>
                <w:sz w:val="20"/>
                <w:szCs w:val="20"/>
                <w:color w:val="auto"/>
              </w:rPr>
            </w:pPr>
            <w:r>
              <w:rPr>
                <w:rFonts w:ascii="Calibri" w:cs="Calibri" w:eastAsia="Calibri" w:hAnsi="Calibri"/>
                <w:sz w:val="11"/>
                <w:szCs w:val="11"/>
                <w:color w:val="auto"/>
              </w:rPr>
              <w:t>$</w:t>
            </w:r>
          </w:p>
        </w:tc>
        <w:tc>
          <w:tcPr>
            <w:tcW w:w="112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19.9</w:t>
            </w:r>
          </w:p>
        </w:tc>
        <w:tc>
          <w:tcPr>
            <w:tcW w:w="540" w:type="dxa"/>
            <w:vAlign w:val="bottom"/>
            <w:tcBorders>
              <w:bottom w:val="single" w:sz="8" w:color="DBDBDB"/>
            </w:tcBorders>
            <w:shd w:val="clear" w:color="auto" w:fill="DBDBDB"/>
          </w:tcPr>
          <w:p>
            <w:pPr>
              <w:jc w:val="right"/>
              <w:ind w:right="263"/>
              <w:spacing w:after="0" w:line="126" w:lineRule="exact"/>
              <w:rPr>
                <w:sz w:val="20"/>
                <w:szCs w:val="20"/>
                <w:color w:val="auto"/>
              </w:rPr>
            </w:pPr>
            <w:r>
              <w:rPr>
                <w:rFonts w:ascii="Calibri" w:cs="Calibri" w:eastAsia="Calibri" w:hAnsi="Calibri"/>
                <w:sz w:val="11"/>
                <w:szCs w:val="11"/>
                <w:color w:val="auto"/>
              </w:rPr>
              <w:t>$</w:t>
            </w:r>
          </w:p>
        </w:tc>
        <w:tc>
          <w:tcPr>
            <w:tcW w:w="10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0.6</w:t>
            </w:r>
          </w:p>
        </w:tc>
        <w:tc>
          <w:tcPr>
            <w:tcW w:w="660" w:type="dxa"/>
            <w:vAlign w:val="bottom"/>
            <w:tcBorders>
              <w:bottom w:val="single" w:sz="8" w:color="DBDBDB"/>
            </w:tcBorders>
            <w:shd w:val="clear" w:color="auto" w:fill="DBDBDB"/>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6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27.7</w:t>
            </w:r>
          </w:p>
        </w:tc>
        <w:tc>
          <w:tcPr>
            <w:tcW w:w="620" w:type="dxa"/>
            <w:vAlign w:val="bottom"/>
            <w:tcBorders>
              <w:bottom w:val="single" w:sz="8" w:color="DBDBDB"/>
            </w:tcBorders>
            <w:shd w:val="clear" w:color="auto" w:fill="DBDBDB"/>
          </w:tcPr>
          <w:p>
            <w:pPr>
              <w:jc w:val="right"/>
              <w:ind w:right="363"/>
              <w:spacing w:after="0" w:line="126" w:lineRule="exact"/>
              <w:rPr>
                <w:sz w:val="20"/>
                <w:szCs w:val="20"/>
                <w:color w:val="auto"/>
              </w:rPr>
            </w:pPr>
            <w:r>
              <w:rPr>
                <w:rFonts w:ascii="Calibri" w:cs="Calibri" w:eastAsia="Calibri" w:hAnsi="Calibri"/>
                <w:sz w:val="11"/>
                <w:szCs w:val="11"/>
                <w:color w:val="auto"/>
              </w:rPr>
              <w:t>$</w:t>
            </w:r>
          </w:p>
        </w:tc>
        <w:tc>
          <w:tcPr>
            <w:tcW w:w="9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4.5</w:t>
            </w:r>
          </w:p>
        </w:tc>
        <w:tc>
          <w:tcPr>
            <w:tcW w:w="68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52.7</w:t>
            </w:r>
          </w:p>
        </w:tc>
      </w:tr>
      <w:tr>
        <w:trPr>
          <w:trHeight w:val="135"/>
        </w:trPr>
        <w:tc>
          <w:tcPr>
            <w:tcW w:w="3180" w:type="dxa"/>
            <w:vAlign w:val="bottom"/>
          </w:tcPr>
          <w:p>
            <w:pPr>
              <w:ind w:left="20"/>
              <w:spacing w:after="0"/>
              <w:rPr>
                <w:sz w:val="20"/>
                <w:szCs w:val="20"/>
                <w:color w:val="auto"/>
              </w:rPr>
            </w:pPr>
            <w:r>
              <w:rPr>
                <w:rFonts w:ascii="Calibri" w:cs="Calibri" w:eastAsia="Calibri" w:hAnsi="Calibri"/>
                <w:sz w:val="11"/>
                <w:szCs w:val="11"/>
                <w:color w:val="auto"/>
              </w:rPr>
              <w:t>Equity method income (losses)</w:t>
            </w:r>
          </w:p>
        </w:tc>
        <w:tc>
          <w:tcPr>
            <w:tcW w:w="700" w:type="dxa"/>
            <w:vAlign w:val="bottom"/>
          </w:tcPr>
          <w:p>
            <w:pPr>
              <w:spacing w:after="0"/>
              <w:rPr>
                <w:sz w:val="11"/>
                <w:szCs w:val="11"/>
                <w:color w:val="auto"/>
              </w:rPr>
            </w:pPr>
          </w:p>
        </w:tc>
        <w:tc>
          <w:tcPr>
            <w:tcW w:w="1120" w:type="dxa"/>
            <w:vAlign w:val="bottom"/>
          </w:tcPr>
          <w:p>
            <w:pPr>
              <w:jc w:val="right"/>
              <w:ind w:right="123"/>
              <w:spacing w:after="0"/>
              <w:rPr>
                <w:sz w:val="20"/>
                <w:szCs w:val="20"/>
                <w:color w:val="auto"/>
              </w:rPr>
            </w:pPr>
            <w:r>
              <w:rPr>
                <w:rFonts w:ascii="Calibri" w:cs="Calibri" w:eastAsia="Calibri" w:hAnsi="Calibri"/>
                <w:sz w:val="11"/>
                <w:szCs w:val="11"/>
                <w:color w:val="auto"/>
              </w:rPr>
              <w:t>5.6</w:t>
            </w:r>
          </w:p>
        </w:tc>
        <w:tc>
          <w:tcPr>
            <w:tcW w:w="540" w:type="dxa"/>
            <w:vAlign w:val="bottom"/>
          </w:tcPr>
          <w:p>
            <w:pPr>
              <w:spacing w:after="0"/>
              <w:rPr>
                <w:sz w:val="11"/>
                <w:szCs w:val="11"/>
                <w:color w:val="auto"/>
              </w:rPr>
            </w:pPr>
          </w:p>
        </w:tc>
        <w:tc>
          <w:tcPr>
            <w:tcW w:w="1060" w:type="dxa"/>
            <w:vAlign w:val="bottom"/>
          </w:tcPr>
          <w:p>
            <w:pPr>
              <w:jc w:val="right"/>
              <w:ind w:right="83"/>
              <w:spacing w:after="0"/>
              <w:rPr>
                <w:sz w:val="20"/>
                <w:szCs w:val="20"/>
                <w:color w:val="auto"/>
              </w:rPr>
            </w:pPr>
            <w:r>
              <w:rPr>
                <w:rFonts w:ascii="Calibri" w:cs="Calibri" w:eastAsia="Calibri" w:hAnsi="Calibri"/>
                <w:sz w:val="11"/>
                <w:szCs w:val="11"/>
                <w:color w:val="auto"/>
              </w:rPr>
              <w:t>(0.6)</w:t>
            </w:r>
          </w:p>
        </w:tc>
        <w:tc>
          <w:tcPr>
            <w:tcW w:w="660" w:type="dxa"/>
            <w:vAlign w:val="bottom"/>
          </w:tcPr>
          <w:p>
            <w:pPr>
              <w:spacing w:after="0"/>
              <w:rPr>
                <w:sz w:val="11"/>
                <w:szCs w:val="11"/>
                <w:color w:val="auto"/>
              </w:rPr>
            </w:pPr>
          </w:p>
        </w:tc>
        <w:tc>
          <w:tcPr>
            <w:tcW w:w="960" w:type="dxa"/>
            <w:vAlign w:val="bottom"/>
          </w:tcPr>
          <w:p>
            <w:pPr>
              <w:jc w:val="right"/>
              <w:ind w:right="123"/>
              <w:spacing w:after="0"/>
              <w:rPr>
                <w:sz w:val="20"/>
                <w:szCs w:val="20"/>
                <w:color w:val="auto"/>
              </w:rPr>
            </w:pPr>
            <w:r>
              <w:rPr>
                <w:rFonts w:ascii="Calibri" w:cs="Calibri" w:eastAsia="Calibri" w:hAnsi="Calibri"/>
                <w:sz w:val="11"/>
                <w:szCs w:val="11"/>
                <w:color w:val="auto"/>
              </w:rPr>
              <w:t>0.5</w:t>
            </w:r>
          </w:p>
        </w:tc>
        <w:tc>
          <w:tcPr>
            <w:tcW w:w="620" w:type="dxa"/>
            <w:vAlign w:val="bottom"/>
          </w:tcPr>
          <w:p>
            <w:pPr>
              <w:spacing w:after="0"/>
              <w:rPr>
                <w:sz w:val="11"/>
                <w:szCs w:val="11"/>
                <w:color w:val="auto"/>
              </w:rPr>
            </w:pPr>
          </w:p>
        </w:tc>
        <w:tc>
          <w:tcPr>
            <w:tcW w:w="980" w:type="dxa"/>
            <w:vAlign w:val="bottom"/>
          </w:tcPr>
          <w:p>
            <w:pPr>
              <w:jc w:val="right"/>
              <w:ind w:right="103"/>
              <w:spacing w:after="0"/>
              <w:rPr>
                <w:sz w:val="20"/>
                <w:szCs w:val="20"/>
                <w:color w:val="auto"/>
              </w:rPr>
            </w:pPr>
            <w:r>
              <w:rPr>
                <w:rFonts w:ascii="Calibri" w:cs="Calibri" w:eastAsia="Calibri" w:hAnsi="Calibri"/>
                <w:sz w:val="11"/>
                <w:szCs w:val="11"/>
                <w:color w:val="auto"/>
              </w:rPr>
              <w:t>(0.3)</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1"/>
                <w:szCs w:val="11"/>
                <w:color w:val="auto"/>
              </w:rPr>
              <w:t>5.1</w:t>
            </w:r>
          </w:p>
        </w:tc>
      </w:tr>
      <w:tr>
        <w:trPr>
          <w:trHeight w:val="46"/>
        </w:trPr>
        <w:tc>
          <w:tcPr>
            <w:tcW w:w="3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60"/>
        </w:trPr>
        <w:tc>
          <w:tcPr>
            <w:tcW w:w="31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Translaton</w:t>
            </w:r>
          </w:p>
        </w:tc>
        <w:tc>
          <w:tcPr>
            <w:tcW w:w="700" w:type="dxa"/>
            <w:vAlign w:val="bottom"/>
            <w:tcBorders>
              <w:bottom w:val="single" w:sz="8" w:color="DBDBDB"/>
            </w:tcBorders>
            <w:shd w:val="clear" w:color="auto" w:fill="DBDBDB"/>
          </w:tcPr>
          <w:p>
            <w:pPr>
              <w:spacing w:after="0"/>
              <w:rPr>
                <w:sz w:val="13"/>
                <w:szCs w:val="13"/>
                <w:color w:val="auto"/>
              </w:rPr>
            </w:pPr>
          </w:p>
        </w:tc>
        <w:tc>
          <w:tcPr>
            <w:tcW w:w="112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54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3"/>
                <w:szCs w:val="13"/>
                <w:color w:val="auto"/>
              </w:rPr>
            </w:pPr>
          </w:p>
        </w:tc>
        <w:tc>
          <w:tcPr>
            <w:tcW w:w="96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(0.7)</w:t>
            </w:r>
          </w:p>
        </w:tc>
        <w:tc>
          <w:tcPr>
            <w:tcW w:w="6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(0.7)</w:t>
            </w:r>
          </w:p>
        </w:tc>
      </w:tr>
      <w:tr>
        <w:trPr>
          <w:trHeight w:val="135"/>
        </w:trPr>
        <w:tc>
          <w:tcPr>
            <w:tcW w:w="3180" w:type="dxa"/>
            <w:vAlign w:val="bottom"/>
          </w:tcPr>
          <w:p>
            <w:pPr>
              <w:ind w:left="20"/>
              <w:spacing w:after="0"/>
              <w:rPr>
                <w:sz w:val="20"/>
                <w:szCs w:val="20"/>
                <w:color w:val="auto"/>
              </w:rPr>
            </w:pPr>
            <w:r>
              <w:rPr>
                <w:rFonts w:ascii="Calibri" w:cs="Calibri" w:eastAsia="Calibri" w:hAnsi="Calibri"/>
                <w:sz w:val="11"/>
                <w:szCs w:val="11"/>
                <w:color w:val="auto"/>
              </w:rPr>
              <w:t>Dividends received</w:t>
            </w:r>
          </w:p>
        </w:tc>
        <w:tc>
          <w:tcPr>
            <w:tcW w:w="700" w:type="dxa"/>
            <w:vAlign w:val="bottom"/>
          </w:tcPr>
          <w:p>
            <w:pPr>
              <w:spacing w:after="0"/>
              <w:rPr>
                <w:sz w:val="11"/>
                <w:szCs w:val="11"/>
                <w:color w:val="auto"/>
              </w:rPr>
            </w:pPr>
          </w:p>
        </w:tc>
        <w:tc>
          <w:tcPr>
            <w:tcW w:w="1120" w:type="dxa"/>
            <w:vAlign w:val="bottom"/>
          </w:tcPr>
          <w:p>
            <w:pPr>
              <w:jc w:val="right"/>
              <w:ind w:right="83"/>
              <w:spacing w:after="0"/>
              <w:rPr>
                <w:sz w:val="20"/>
                <w:szCs w:val="20"/>
                <w:color w:val="auto"/>
              </w:rPr>
            </w:pPr>
            <w:r>
              <w:rPr>
                <w:rFonts w:ascii="Calibri" w:cs="Calibri" w:eastAsia="Calibri" w:hAnsi="Calibri"/>
                <w:sz w:val="11"/>
                <w:szCs w:val="11"/>
                <w:color w:val="auto"/>
              </w:rPr>
              <w:t>(2.2)</w:t>
            </w:r>
          </w:p>
        </w:tc>
        <w:tc>
          <w:tcPr>
            <w:tcW w:w="540" w:type="dxa"/>
            <w:vAlign w:val="bottom"/>
          </w:tcPr>
          <w:p>
            <w:pPr>
              <w:spacing w:after="0"/>
              <w:rPr>
                <w:sz w:val="11"/>
                <w:szCs w:val="11"/>
                <w:color w:val="auto"/>
              </w:rPr>
            </w:pPr>
          </w:p>
        </w:tc>
        <w:tc>
          <w:tcPr>
            <w:tcW w:w="10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96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20" w:type="dxa"/>
            <w:vAlign w:val="bottom"/>
          </w:tcPr>
          <w:p>
            <w:pPr>
              <w:spacing w:after="0"/>
              <w:rPr>
                <w:sz w:val="11"/>
                <w:szCs w:val="11"/>
                <w:color w:val="auto"/>
              </w:rPr>
            </w:pPr>
          </w:p>
        </w:tc>
        <w:tc>
          <w:tcPr>
            <w:tcW w:w="98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1"/>
                <w:szCs w:val="11"/>
                <w:color w:val="auto"/>
              </w:rPr>
              <w:t>(2.2)</w:t>
            </w:r>
          </w:p>
        </w:tc>
      </w:tr>
      <w:tr>
        <w:trPr>
          <w:trHeight w:val="46"/>
        </w:trPr>
        <w:tc>
          <w:tcPr>
            <w:tcW w:w="3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60"/>
        </w:trPr>
        <w:tc>
          <w:tcPr>
            <w:tcW w:w="31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Investment contributons</w:t>
            </w:r>
          </w:p>
        </w:tc>
        <w:tc>
          <w:tcPr>
            <w:tcW w:w="700" w:type="dxa"/>
            <w:vAlign w:val="bottom"/>
            <w:tcBorders>
              <w:bottom w:val="single" w:sz="8" w:color="DBDBDB"/>
            </w:tcBorders>
            <w:shd w:val="clear" w:color="auto" w:fill="DBDBDB"/>
          </w:tcPr>
          <w:p>
            <w:pPr>
              <w:spacing w:after="0"/>
              <w:rPr>
                <w:sz w:val="13"/>
                <w:szCs w:val="13"/>
                <w:color w:val="auto"/>
              </w:rPr>
            </w:pPr>
          </w:p>
        </w:tc>
        <w:tc>
          <w:tcPr>
            <w:tcW w:w="112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54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0.2</w:t>
            </w:r>
          </w:p>
        </w:tc>
        <w:tc>
          <w:tcPr>
            <w:tcW w:w="660" w:type="dxa"/>
            <w:vAlign w:val="bottom"/>
            <w:tcBorders>
              <w:bottom w:val="single" w:sz="8" w:color="DBDBDB"/>
            </w:tcBorders>
            <w:shd w:val="clear" w:color="auto" w:fill="DBDBDB"/>
          </w:tcPr>
          <w:p>
            <w:pPr>
              <w:spacing w:after="0"/>
              <w:rPr>
                <w:sz w:val="13"/>
                <w:szCs w:val="13"/>
                <w:color w:val="auto"/>
              </w:rPr>
            </w:pPr>
          </w:p>
        </w:tc>
        <w:tc>
          <w:tcPr>
            <w:tcW w:w="96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DBDBDB"/>
            </w:tcBorders>
            <w:shd w:val="clear" w:color="auto" w:fill="DBDBDB"/>
          </w:tcPr>
          <w:p>
            <w:pPr>
              <w:spacing w:after="0"/>
              <w:rPr>
                <w:sz w:val="13"/>
                <w:szCs w:val="13"/>
                <w:color w:val="auto"/>
              </w:rPr>
            </w:pPr>
          </w:p>
        </w:tc>
        <w:tc>
          <w:tcPr>
            <w:tcW w:w="98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0.2</w:t>
            </w:r>
          </w:p>
        </w:tc>
        <w:tc>
          <w:tcPr>
            <w:tcW w:w="6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0.4</w:t>
            </w:r>
          </w:p>
        </w:tc>
      </w:tr>
      <w:tr>
        <w:trPr>
          <w:trHeight w:val="135"/>
        </w:trPr>
        <w:tc>
          <w:tcPr>
            <w:tcW w:w="3180" w:type="dxa"/>
            <w:vAlign w:val="bottom"/>
          </w:tcPr>
          <w:p>
            <w:pPr>
              <w:ind w:left="20"/>
              <w:spacing w:after="0"/>
              <w:rPr>
                <w:sz w:val="20"/>
                <w:szCs w:val="20"/>
                <w:color w:val="auto"/>
              </w:rPr>
            </w:pPr>
            <w:r>
              <w:rPr>
                <w:rFonts w:ascii="Calibri" w:cs="Calibri" w:eastAsia="Calibri" w:hAnsi="Calibri"/>
                <w:sz w:val="11"/>
                <w:szCs w:val="11"/>
                <w:color w:val="auto"/>
              </w:rPr>
              <w:t>Remeasurement gain</w:t>
            </w:r>
          </w:p>
        </w:tc>
        <w:tc>
          <w:tcPr>
            <w:tcW w:w="700" w:type="dxa"/>
            <w:vAlign w:val="bottom"/>
          </w:tcPr>
          <w:p>
            <w:pPr>
              <w:spacing w:after="0"/>
              <w:rPr>
                <w:sz w:val="11"/>
                <w:szCs w:val="11"/>
                <w:color w:val="auto"/>
              </w:rPr>
            </w:pPr>
          </w:p>
        </w:tc>
        <w:tc>
          <w:tcPr>
            <w:tcW w:w="112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540" w:type="dxa"/>
            <w:vAlign w:val="bottom"/>
          </w:tcPr>
          <w:p>
            <w:pPr>
              <w:spacing w:after="0"/>
              <w:rPr>
                <w:sz w:val="11"/>
                <w:szCs w:val="11"/>
                <w:color w:val="auto"/>
              </w:rPr>
            </w:pPr>
          </w:p>
        </w:tc>
        <w:tc>
          <w:tcPr>
            <w:tcW w:w="1060" w:type="dxa"/>
            <w:vAlign w:val="bottom"/>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Pr>
          <w:p>
            <w:pPr>
              <w:spacing w:after="0"/>
              <w:rPr>
                <w:sz w:val="11"/>
                <w:szCs w:val="11"/>
                <w:color w:val="auto"/>
              </w:rPr>
            </w:pPr>
          </w:p>
        </w:tc>
        <w:tc>
          <w:tcPr>
            <w:tcW w:w="960" w:type="dxa"/>
            <w:vAlign w:val="bottom"/>
          </w:tcPr>
          <w:p>
            <w:pPr>
              <w:jc w:val="right"/>
              <w:ind w:right="123"/>
              <w:spacing w:after="0"/>
              <w:rPr>
                <w:sz w:val="20"/>
                <w:szCs w:val="20"/>
                <w:color w:val="auto"/>
              </w:rPr>
            </w:pPr>
            <w:r>
              <w:rPr>
                <w:rFonts w:ascii="Calibri" w:cs="Calibri" w:eastAsia="Calibri" w:hAnsi="Calibri"/>
                <w:sz w:val="11"/>
                <w:szCs w:val="11"/>
                <w:color w:val="auto"/>
              </w:rPr>
              <w:t>2.0</w:t>
            </w:r>
          </w:p>
        </w:tc>
        <w:tc>
          <w:tcPr>
            <w:tcW w:w="620" w:type="dxa"/>
            <w:vAlign w:val="bottom"/>
          </w:tcPr>
          <w:p>
            <w:pPr>
              <w:spacing w:after="0"/>
              <w:rPr>
                <w:sz w:val="11"/>
                <w:szCs w:val="11"/>
                <w:color w:val="auto"/>
              </w:rPr>
            </w:pPr>
          </w:p>
        </w:tc>
        <w:tc>
          <w:tcPr>
            <w:tcW w:w="98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alibri" w:cs="Calibri" w:eastAsia="Calibri" w:hAnsi="Calibri"/>
                <w:sz w:val="11"/>
                <w:szCs w:val="11"/>
                <w:color w:val="auto"/>
              </w:rPr>
              <w:t>2.0</w:t>
            </w:r>
          </w:p>
        </w:tc>
      </w:tr>
      <w:tr>
        <w:trPr>
          <w:trHeight w:val="46"/>
        </w:trPr>
        <w:tc>
          <w:tcPr>
            <w:tcW w:w="3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85"/>
        </w:trPr>
        <w:tc>
          <w:tcPr>
            <w:tcW w:w="31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Efect of consolidaton with Mission Produce on May 1, 2022</w:t>
            </w:r>
          </w:p>
        </w:tc>
        <w:tc>
          <w:tcPr>
            <w:tcW w:w="70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54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66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(30.2)</w:t>
            </w:r>
          </w:p>
        </w:tc>
        <w:tc>
          <w:tcPr>
            <w:tcW w:w="62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(30.2)</w:t>
            </w:r>
          </w:p>
        </w:tc>
      </w:tr>
      <w:tr>
        <w:trPr>
          <w:trHeight w:val="125"/>
        </w:trPr>
        <w:tc>
          <w:tcPr>
            <w:tcW w:w="318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Investment balance as of October 31, 2022</w:t>
            </w:r>
          </w:p>
        </w:tc>
        <w:tc>
          <w:tcPr>
            <w:tcW w:w="700" w:type="dxa"/>
            <w:vAlign w:val="bottom"/>
            <w:tcBorders>
              <w:top w:val="single" w:sz="8" w:color="auto"/>
            </w:tcBorders>
          </w:tcPr>
          <w:p>
            <w:pPr>
              <w:jc w:val="right"/>
              <w:ind w:right="223"/>
              <w:spacing w:after="0" w:line="126" w:lineRule="exact"/>
              <w:rPr>
                <w:sz w:val="20"/>
                <w:szCs w:val="20"/>
                <w:color w:val="auto"/>
              </w:rPr>
            </w:pPr>
            <w:r>
              <w:rPr>
                <w:rFonts w:ascii="Calibri" w:cs="Calibri" w:eastAsia="Calibri" w:hAnsi="Calibri"/>
                <w:sz w:val="11"/>
                <w:szCs w:val="11"/>
                <w:color w:val="auto"/>
              </w:rPr>
              <w:t>$</w:t>
            </w:r>
          </w:p>
        </w:tc>
        <w:tc>
          <w:tcPr>
            <w:tcW w:w="112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23.3</w:t>
            </w:r>
          </w:p>
        </w:tc>
        <w:tc>
          <w:tcPr>
            <w:tcW w:w="540" w:type="dxa"/>
            <w:vAlign w:val="bottom"/>
            <w:tcBorders>
              <w:top w:val="single" w:sz="8" w:color="auto"/>
            </w:tcBorders>
          </w:tcPr>
          <w:p>
            <w:pPr>
              <w:jc w:val="right"/>
              <w:ind w:right="263"/>
              <w:spacing w:after="0" w:line="126" w:lineRule="exact"/>
              <w:rPr>
                <w:sz w:val="20"/>
                <w:szCs w:val="20"/>
                <w:color w:val="auto"/>
              </w:rPr>
            </w:pPr>
            <w:r>
              <w:rPr>
                <w:rFonts w:ascii="Calibri" w:cs="Calibri" w:eastAsia="Calibri" w:hAnsi="Calibri"/>
                <w:sz w:val="11"/>
                <w:szCs w:val="11"/>
                <w:color w:val="auto"/>
              </w:rPr>
              <w:t>$</w:t>
            </w:r>
          </w:p>
        </w:tc>
        <w:tc>
          <w:tcPr>
            <w:tcW w:w="10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0.2</w:t>
            </w:r>
          </w:p>
        </w:tc>
        <w:tc>
          <w:tcPr>
            <w:tcW w:w="660" w:type="dxa"/>
            <w:vAlign w:val="bottom"/>
            <w:tcBorders>
              <w:top w:val="single" w:sz="8" w:color="auto"/>
            </w:tcBorders>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6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w:t>
            </w:r>
          </w:p>
        </w:tc>
        <w:tc>
          <w:tcPr>
            <w:tcW w:w="620" w:type="dxa"/>
            <w:vAlign w:val="bottom"/>
            <w:tcBorders>
              <w:top w:val="single" w:sz="8" w:color="auto"/>
            </w:tcBorders>
          </w:tcPr>
          <w:p>
            <w:pPr>
              <w:jc w:val="right"/>
              <w:ind w:right="363"/>
              <w:spacing w:after="0" w:line="126" w:lineRule="exact"/>
              <w:rPr>
                <w:sz w:val="20"/>
                <w:szCs w:val="20"/>
                <w:color w:val="auto"/>
              </w:rPr>
            </w:pPr>
            <w:r>
              <w:rPr>
                <w:rFonts w:ascii="Calibri" w:cs="Calibri" w:eastAsia="Calibri" w:hAnsi="Calibri"/>
                <w:sz w:val="11"/>
                <w:szCs w:val="11"/>
                <w:color w:val="auto"/>
              </w:rPr>
              <w:t>$</w:t>
            </w:r>
          </w:p>
        </w:tc>
        <w:tc>
          <w:tcPr>
            <w:tcW w:w="98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3.7</w:t>
            </w:r>
          </w:p>
        </w:tc>
        <w:tc>
          <w:tcPr>
            <w:tcW w:w="680" w:type="dxa"/>
            <w:vAlign w:val="bottom"/>
            <w:tcBorders>
              <w:top w:val="single" w:sz="8" w:color="auto"/>
            </w:tcBorders>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7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27.1</w:t>
            </w:r>
          </w:p>
        </w:tc>
      </w:tr>
      <w:tr>
        <w:trPr>
          <w:trHeight w:val="46"/>
        </w:trPr>
        <w:tc>
          <w:tcPr>
            <w:tcW w:w="3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354" w:lineRule="exact"/>
        <w:rPr>
          <w:sz w:val="20"/>
          <w:szCs w:val="20"/>
          <w:color w:val="auto"/>
        </w:rPr>
      </w:pPr>
    </w:p>
    <w:p>
      <w:pPr>
        <w:ind w:left="300" w:hanging="295"/>
        <w:spacing w:after="0"/>
        <w:tabs>
          <w:tab w:leader="none" w:pos="300" w:val="left"/>
        </w:tabs>
        <w:numPr>
          <w:ilvl w:val="0"/>
          <w:numId w:val="20"/>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Debt</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Credit facility</w:t>
      </w:r>
    </w:p>
    <w:p>
      <w:pPr>
        <w:spacing w:after="0" w:line="158"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In October 2022, the Company entered into a third amendment to its syndicated credit facility with Bank of America (the “credit facility”) Merrill Lynch, originally dated October 2018, as amended in September 2020 and April 2022. Among other things, the third amendment changed the total borrowing capacity from $275 million to $250 million. The credit facility is comprised of two senior term loans totaling $100 million, compared to $175 million before the third amendment and a revolving credit agreement now providing up to $150 million in borrowings compared to $100 million before the third amendment. The loans are secured by real property, personal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59" w:name="page60"/>
    <w:bookmarkEnd w:id="59"/>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29" w:lineRule="auto"/>
        <w:rPr>
          <w:sz w:val="20"/>
          <w:szCs w:val="20"/>
          <w:color w:val="auto"/>
        </w:rPr>
      </w:pPr>
      <w:r>
        <w:rPr>
          <w:rFonts w:ascii="Calibri" w:cs="Calibri" w:eastAsia="Calibri" w:hAnsi="Calibri"/>
          <w:sz w:val="13"/>
          <w:szCs w:val="13"/>
          <w:color w:val="auto"/>
        </w:rPr>
        <w:t>property and the capital stock of the Company’s subsidiaries. Borrowings under the credit facility bear interest at a spread over the Secure Overnight Financing Rate (“SOFR”) ranging from 1.5% to 2.5% depending on the Company’s consolidated total net leverage rato, compared to a spread over the London Interbank Ofer Rate (“LIBOR”), ranging from 1.50% to 2.75% before the third amendment. The credit facility also includes a swing line facility and an accordion feature which allows the Company to increase the borrowings by up to $125 million, with bank approval. We pay fees on unused commitments on the credit facility that accrue at rates ranging from 0.18% to 0.3% depending upon the Company’s consolidated total net leverage rato.</w:t>
      </w:r>
    </w:p>
    <w:p>
      <w:pPr>
        <w:spacing w:after="0" w:line="158" w:lineRule="exact"/>
        <w:rPr>
          <w:sz w:val="20"/>
          <w:szCs w:val="20"/>
          <w:color w:val="auto"/>
        </w:rPr>
      </w:pPr>
    </w:p>
    <w:p>
      <w:pPr>
        <w:ind w:right="280" w:firstLine="509"/>
        <w:spacing w:after="0" w:line="230" w:lineRule="auto"/>
        <w:rPr>
          <w:sz w:val="20"/>
          <w:szCs w:val="20"/>
          <w:color w:val="auto"/>
        </w:rPr>
      </w:pPr>
      <w:r>
        <w:rPr>
          <w:rFonts w:ascii="Calibri" w:cs="Calibri" w:eastAsia="Calibri" w:hAnsi="Calibri"/>
          <w:sz w:val="13"/>
          <w:szCs w:val="13"/>
          <w:color w:val="auto"/>
        </w:rPr>
        <w:t>The credit facility requires the Company to comply with fnancial and other covenants, including limitatons on investments, capital expenditures, dividend payments, amounts and types of liens and indebtedness, and material asset sales. The Company is also required to maintain certain leverage and fxed charge coverage ratos. As of October 31, 2022, the Company was in compliance with all covenants of the credit facility.</w:t>
      </w:r>
    </w:p>
    <w:p>
      <w:pPr>
        <w:spacing w:after="0" w:line="15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Long-term debt under the credit facility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2"/>
          </w:tcPr>
          <w:p>
            <w:pPr>
              <w:jc w:val="right"/>
              <w:ind w:right="503"/>
              <w:spacing w:after="0"/>
              <w:rPr>
                <w:sz w:val="20"/>
                <w:szCs w:val="20"/>
                <w:color w:val="auto"/>
              </w:rPr>
            </w:pPr>
            <w:r>
              <w:rPr>
                <w:rFonts w:ascii="Calibri" w:cs="Calibri" w:eastAsia="Calibri" w:hAnsi="Calibri"/>
                <w:sz w:val="11"/>
                <w:szCs w:val="11"/>
                <w:b w:val="1"/>
                <w:bCs w:val="1"/>
                <w:color w:val="auto"/>
              </w:rPr>
              <w:t>October 31,</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794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6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79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jc w:val="center"/>
              <w:ind w:left="463"/>
              <w:spacing w:after="0" w:line="126" w:lineRule="exact"/>
              <w:rPr>
                <w:sz w:val="20"/>
                <w:szCs w:val="20"/>
                <w:color w:val="auto"/>
              </w:rPr>
            </w:pPr>
            <w:r>
              <w:rPr>
                <w:rFonts w:ascii="Calibri" w:cs="Calibri" w:eastAsia="Calibri" w:hAnsi="Calibri"/>
                <w:sz w:val="11"/>
                <w:szCs w:val="11"/>
                <w:b w:val="1"/>
                <w:bCs w:val="1"/>
                <w:color w:val="auto"/>
              </w:rPr>
              <w:t>2022</w:t>
            </w:r>
          </w:p>
        </w:tc>
        <w:tc>
          <w:tcPr>
            <w:tcW w:w="840" w:type="dxa"/>
            <w:vAlign w:val="bottom"/>
          </w:tcPr>
          <w:p>
            <w:pPr>
              <w:spacing w:after="0"/>
              <w:rPr>
                <w:sz w:val="10"/>
                <w:szCs w:val="10"/>
                <w:color w:val="auto"/>
              </w:rPr>
            </w:pPr>
          </w:p>
        </w:tc>
        <w:tc>
          <w:tcPr>
            <w:tcW w:w="840" w:type="dxa"/>
            <w:vAlign w:val="bottom"/>
          </w:tcPr>
          <w:p>
            <w:pPr>
              <w:jc w:val="center"/>
              <w:ind w:left="523"/>
              <w:spacing w:after="0" w:line="126" w:lineRule="exact"/>
              <w:rPr>
                <w:sz w:val="20"/>
                <w:szCs w:val="20"/>
                <w:color w:val="auto"/>
              </w:rPr>
            </w:pPr>
            <w:r>
              <w:rPr>
                <w:rFonts w:ascii="Calibri" w:cs="Calibri" w:eastAsia="Calibri" w:hAnsi="Calibri"/>
                <w:sz w:val="11"/>
                <w:szCs w:val="11"/>
                <w:b w:val="1"/>
                <w:bCs w:val="1"/>
                <w:color w:val="auto"/>
                <w:w w:val="98"/>
              </w:rPr>
              <w:t>2021</w:t>
            </w:r>
          </w:p>
        </w:tc>
        <w:tc>
          <w:tcPr>
            <w:tcW w:w="0" w:type="dxa"/>
            <w:vAlign w:val="bottom"/>
          </w:tcPr>
          <w:p>
            <w:pPr>
              <w:spacing w:after="0"/>
              <w:rPr>
                <w:sz w:val="1"/>
                <w:szCs w:val="1"/>
                <w:color w:val="auto"/>
              </w:rPr>
            </w:pPr>
          </w:p>
        </w:tc>
      </w:tr>
      <w:tr>
        <w:trPr>
          <w:trHeight w:val="46"/>
        </w:trPr>
        <w:tc>
          <w:tcPr>
            <w:tcW w:w="7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940" w:type="dxa"/>
            <w:vAlign w:val="bottom"/>
            <w:shd w:val="clear" w:color="auto" w:fill="DBDBDB"/>
          </w:tcPr>
          <w:p>
            <w:pPr>
              <w:ind w:left="20"/>
              <w:spacing w:after="0" w:line="128" w:lineRule="exact"/>
              <w:rPr>
                <w:sz w:val="20"/>
                <w:szCs w:val="20"/>
                <w:color w:val="auto"/>
              </w:rPr>
            </w:pPr>
            <w:r>
              <w:rPr>
                <w:rFonts w:ascii="Calibri" w:cs="Calibri" w:eastAsia="Calibri" w:hAnsi="Calibri"/>
                <w:sz w:val="11"/>
                <w:szCs w:val="11"/>
                <w:color w:val="auto"/>
              </w:rPr>
              <w:t>Revolving line of credit. As of October 31, 2022 and 2021, the interest rate</w:t>
            </w:r>
            <w:r>
              <w:rPr>
                <w:rFonts w:ascii="Calibri" w:cs="Calibri" w:eastAsia="Calibri" w:hAnsi="Calibri"/>
                <w:sz w:val="13"/>
                <w:szCs w:val="13"/>
                <w:color w:val="auto"/>
                <w:vertAlign w:val="superscript"/>
              </w:rPr>
              <w:t>(1)</w:t>
            </w:r>
            <w:r>
              <w:rPr>
                <w:rFonts w:ascii="Calibri" w:cs="Calibri" w:eastAsia="Calibri" w:hAnsi="Calibri"/>
                <w:sz w:val="11"/>
                <w:szCs w:val="11"/>
                <w:color w:val="auto"/>
              </w:rPr>
              <w:t xml:space="preserve"> was 5.34% and 1.84%, respectvely. Interest is payable monthly and principal is due in full in</w:t>
            </w:r>
          </w:p>
        </w:tc>
        <w:tc>
          <w:tcPr>
            <w:tcW w:w="660" w:type="dxa"/>
            <w:vAlign w:val="bottom"/>
            <w:shd w:val="clear" w:color="auto" w:fill="DBDBDB"/>
          </w:tcPr>
          <w:p>
            <w:pPr>
              <w:jc w:val="right"/>
              <w:ind w:right="543"/>
              <w:spacing w:after="0" w:line="128" w:lineRule="exact"/>
              <w:rPr>
                <w:sz w:val="20"/>
                <w:szCs w:val="20"/>
                <w:color w:val="auto"/>
              </w:rPr>
            </w:pPr>
            <w:r>
              <w:rPr>
                <w:rFonts w:ascii="Calibri" w:cs="Calibri" w:eastAsia="Calibri" w:hAnsi="Calibri"/>
                <w:sz w:val="11"/>
                <w:szCs w:val="11"/>
                <w:color w:val="auto"/>
                <w:w w:val="70"/>
              </w:rPr>
              <w:t>$</w:t>
            </w:r>
          </w:p>
        </w:tc>
        <w:tc>
          <w:tcPr>
            <w:tcW w:w="1000" w:type="dxa"/>
            <w:vAlign w:val="bottom"/>
            <w:shd w:val="clear" w:color="auto" w:fill="DBDBDB"/>
          </w:tcPr>
          <w:p>
            <w:pPr>
              <w:jc w:val="right"/>
              <w:ind w:right="103"/>
              <w:spacing w:after="0" w:line="128" w:lineRule="exact"/>
              <w:rPr>
                <w:sz w:val="20"/>
                <w:szCs w:val="20"/>
                <w:color w:val="auto"/>
              </w:rPr>
            </w:pPr>
            <w:r>
              <w:rPr>
                <w:rFonts w:ascii="Calibri" w:cs="Calibri" w:eastAsia="Calibri" w:hAnsi="Calibri"/>
                <w:sz w:val="11"/>
                <w:szCs w:val="11"/>
                <w:color w:val="auto"/>
              </w:rPr>
              <w:t>40.0</w:t>
            </w:r>
          </w:p>
        </w:tc>
        <w:tc>
          <w:tcPr>
            <w:tcW w:w="840" w:type="dxa"/>
            <w:vAlign w:val="bottom"/>
            <w:shd w:val="clear" w:color="auto" w:fill="DBDBDB"/>
          </w:tcPr>
          <w:p>
            <w:pPr>
              <w:jc w:val="right"/>
              <w:ind w:right="583"/>
              <w:spacing w:after="0" w:line="128" w:lineRule="exact"/>
              <w:rPr>
                <w:sz w:val="20"/>
                <w:szCs w:val="20"/>
                <w:color w:val="auto"/>
              </w:rPr>
            </w:pPr>
            <w:r>
              <w:rPr>
                <w:rFonts w:ascii="Calibri" w:cs="Calibri" w:eastAsia="Calibri" w:hAnsi="Calibri"/>
                <w:sz w:val="11"/>
                <w:szCs w:val="11"/>
                <w:color w:val="auto"/>
              </w:rPr>
              <w:t>$</w:t>
            </w:r>
          </w:p>
        </w:tc>
        <w:tc>
          <w:tcPr>
            <w:tcW w:w="840" w:type="dxa"/>
            <w:vAlign w:val="bottom"/>
            <w:shd w:val="clear" w:color="auto" w:fill="DBDBDB"/>
          </w:tcPr>
          <w:p>
            <w:pPr>
              <w:jc w:val="right"/>
              <w:spacing w:after="0" w:line="128" w:lineRule="exact"/>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61"/>
        </w:trPr>
        <w:tc>
          <w:tcPr>
            <w:tcW w:w="79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October 2027.</w:t>
            </w:r>
          </w:p>
        </w:tc>
        <w:tc>
          <w:tcPr>
            <w:tcW w:w="660" w:type="dxa"/>
            <w:vAlign w:val="bottom"/>
            <w:tcBorders>
              <w:bottom w:val="single" w:sz="8" w:color="DBDBDB"/>
            </w:tcBorders>
            <w:shd w:val="clear" w:color="auto" w:fill="DBDBDB"/>
          </w:tcPr>
          <w:p>
            <w:pPr>
              <w:spacing w:after="0"/>
              <w:rPr>
                <w:sz w:val="14"/>
                <w:szCs w:val="14"/>
                <w:color w:val="auto"/>
              </w:rPr>
            </w:pPr>
          </w:p>
        </w:tc>
        <w:tc>
          <w:tcPr>
            <w:tcW w:w="10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940" w:type="dxa"/>
            <w:vAlign w:val="bottom"/>
          </w:tcPr>
          <w:p>
            <w:pPr>
              <w:ind w:left="20"/>
              <w:spacing w:after="0" w:line="137" w:lineRule="exact"/>
              <w:rPr>
                <w:sz w:val="20"/>
                <w:szCs w:val="20"/>
                <w:color w:val="auto"/>
              </w:rPr>
            </w:pPr>
            <w:r>
              <w:rPr>
                <w:rFonts w:ascii="Calibri" w:cs="Calibri" w:eastAsia="Calibri" w:hAnsi="Calibri"/>
                <w:sz w:val="11"/>
                <w:szCs w:val="11"/>
                <w:color w:val="auto"/>
              </w:rPr>
              <w:t>Senior term loan (A-1). As of October 31, 2022 and 2021, the interest rate</w:t>
            </w:r>
            <w:r>
              <w:rPr>
                <w:rFonts w:ascii="Calibri" w:cs="Calibri" w:eastAsia="Calibri" w:hAnsi="Calibri"/>
                <w:sz w:val="14"/>
                <w:szCs w:val="14"/>
                <w:color w:val="auto"/>
                <w:vertAlign w:val="superscript"/>
              </w:rPr>
              <w:t>(1)</w:t>
            </w:r>
            <w:r>
              <w:rPr>
                <w:rFonts w:ascii="Calibri" w:cs="Calibri" w:eastAsia="Calibri" w:hAnsi="Calibri"/>
                <w:sz w:val="11"/>
                <w:szCs w:val="11"/>
                <w:color w:val="auto"/>
              </w:rPr>
              <w:t xml:space="preserve"> was 5.58% and 1.84%, respectvely. Interest is payable monthly, principal is payable quarterly</w:t>
            </w:r>
          </w:p>
        </w:tc>
        <w:tc>
          <w:tcPr>
            <w:tcW w:w="660" w:type="dxa"/>
            <w:vAlign w:val="bottom"/>
          </w:tcPr>
          <w:p>
            <w:pPr>
              <w:spacing w:after="0"/>
              <w:rPr>
                <w:sz w:val="11"/>
                <w:szCs w:val="11"/>
                <w:color w:val="auto"/>
              </w:rPr>
            </w:pPr>
          </w:p>
        </w:tc>
        <w:tc>
          <w:tcPr>
            <w:tcW w:w="1000" w:type="dxa"/>
            <w:vAlign w:val="bottom"/>
          </w:tcPr>
          <w:p>
            <w:pPr>
              <w:jc w:val="right"/>
              <w:ind w:right="103"/>
              <w:spacing w:after="0"/>
              <w:rPr>
                <w:sz w:val="20"/>
                <w:szCs w:val="20"/>
                <w:color w:val="auto"/>
              </w:rPr>
            </w:pPr>
            <w:r>
              <w:rPr>
                <w:rFonts w:ascii="Calibri" w:cs="Calibri" w:eastAsia="Calibri" w:hAnsi="Calibri"/>
                <w:sz w:val="11"/>
                <w:szCs w:val="11"/>
                <w:color w:val="auto"/>
              </w:rPr>
              <w:t>50.0</w:t>
            </w:r>
          </w:p>
        </w:tc>
        <w:tc>
          <w:tcPr>
            <w:tcW w:w="8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90.0</w:t>
            </w:r>
          </w:p>
        </w:tc>
        <w:tc>
          <w:tcPr>
            <w:tcW w:w="0" w:type="dxa"/>
            <w:vAlign w:val="bottom"/>
          </w:tcPr>
          <w:p>
            <w:pPr>
              <w:spacing w:after="0"/>
              <w:rPr>
                <w:sz w:val="1"/>
                <w:szCs w:val="1"/>
                <w:color w:val="auto"/>
              </w:rPr>
            </w:pPr>
          </w:p>
        </w:tc>
      </w:tr>
      <w:tr>
        <w:trPr>
          <w:trHeight w:val="135"/>
        </w:trPr>
        <w:tc>
          <w:tcPr>
            <w:tcW w:w="7940" w:type="dxa"/>
            <w:vAlign w:val="bottom"/>
          </w:tcPr>
          <w:p>
            <w:pPr>
              <w:ind w:left="20"/>
              <w:spacing w:after="0"/>
              <w:rPr>
                <w:sz w:val="20"/>
                <w:szCs w:val="20"/>
                <w:color w:val="auto"/>
              </w:rPr>
            </w:pPr>
            <w:r>
              <w:rPr>
                <w:rFonts w:ascii="Calibri" w:cs="Calibri" w:eastAsia="Calibri" w:hAnsi="Calibri"/>
                <w:sz w:val="11"/>
                <w:szCs w:val="11"/>
                <w:color w:val="auto"/>
              </w:rPr>
              <w:t>and due in full in October 2027.</w:t>
            </w:r>
          </w:p>
        </w:tc>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7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7940" w:type="dxa"/>
            <w:vAlign w:val="bottom"/>
            <w:shd w:val="clear" w:color="auto" w:fill="DBDBDB"/>
          </w:tcPr>
          <w:p>
            <w:pPr>
              <w:ind w:left="20"/>
              <w:spacing w:after="0" w:line="137" w:lineRule="exact"/>
              <w:rPr>
                <w:sz w:val="20"/>
                <w:szCs w:val="20"/>
                <w:color w:val="auto"/>
              </w:rPr>
            </w:pPr>
            <w:r>
              <w:rPr>
                <w:rFonts w:ascii="Calibri" w:cs="Calibri" w:eastAsia="Calibri" w:hAnsi="Calibri"/>
                <w:sz w:val="11"/>
                <w:szCs w:val="11"/>
                <w:color w:val="auto"/>
              </w:rPr>
              <w:t>Senior term loan (A-2). As of October 31, 2022 and 2021, the interest rate</w:t>
            </w:r>
            <w:r>
              <w:rPr>
                <w:rFonts w:ascii="Calibri" w:cs="Calibri" w:eastAsia="Calibri" w:hAnsi="Calibri"/>
                <w:sz w:val="14"/>
                <w:szCs w:val="14"/>
                <w:color w:val="auto"/>
                <w:vertAlign w:val="superscript"/>
              </w:rPr>
              <w:t>(1)</w:t>
            </w:r>
            <w:r>
              <w:rPr>
                <w:rFonts w:ascii="Calibri" w:cs="Calibri" w:eastAsia="Calibri" w:hAnsi="Calibri"/>
                <w:sz w:val="11"/>
                <w:szCs w:val="11"/>
                <w:color w:val="auto"/>
              </w:rPr>
              <w:t xml:space="preserve"> was 5.83% and 2.34% respectvely. Interest is payable monthly, principal is payable quarterly</w:t>
            </w:r>
          </w:p>
        </w:tc>
        <w:tc>
          <w:tcPr>
            <w:tcW w:w="660" w:type="dxa"/>
            <w:vAlign w:val="bottom"/>
            <w:shd w:val="clear" w:color="auto" w:fill="DBDBDB"/>
          </w:tcPr>
          <w:p>
            <w:pPr>
              <w:spacing w:after="0"/>
              <w:rPr>
                <w:sz w:val="11"/>
                <w:szCs w:val="11"/>
                <w:color w:val="auto"/>
              </w:rPr>
            </w:pPr>
          </w:p>
        </w:tc>
        <w:tc>
          <w:tcPr>
            <w:tcW w:w="1000" w:type="dxa"/>
            <w:vAlign w:val="bottom"/>
            <w:shd w:val="clear" w:color="auto" w:fill="DBDBDB"/>
          </w:tcPr>
          <w:p>
            <w:pPr>
              <w:jc w:val="right"/>
              <w:ind w:right="103"/>
              <w:spacing w:after="0"/>
              <w:rPr>
                <w:sz w:val="20"/>
                <w:szCs w:val="20"/>
                <w:color w:val="auto"/>
              </w:rPr>
            </w:pPr>
            <w:r>
              <w:rPr>
                <w:rFonts w:ascii="Calibri" w:cs="Calibri" w:eastAsia="Calibri" w:hAnsi="Calibri"/>
                <w:sz w:val="11"/>
                <w:szCs w:val="11"/>
                <w:color w:val="auto"/>
              </w:rPr>
              <w:t>50.0</w:t>
            </w:r>
          </w:p>
        </w:tc>
        <w:tc>
          <w:tcPr>
            <w:tcW w:w="840" w:type="dxa"/>
            <w:vAlign w:val="bottom"/>
            <w:shd w:val="clear" w:color="auto" w:fill="DBDBDB"/>
          </w:tcPr>
          <w:p>
            <w:pPr>
              <w:spacing w:after="0"/>
              <w:rPr>
                <w:sz w:val="11"/>
                <w:szCs w:val="11"/>
                <w:color w:val="auto"/>
              </w:rPr>
            </w:pPr>
          </w:p>
        </w:tc>
        <w:tc>
          <w:tcPr>
            <w:tcW w:w="840" w:type="dxa"/>
            <w:vAlign w:val="bottom"/>
            <w:shd w:val="clear" w:color="auto" w:fill="DBDBDB"/>
          </w:tcPr>
          <w:p>
            <w:pPr>
              <w:jc w:val="right"/>
              <w:spacing w:after="0"/>
              <w:rPr>
                <w:sz w:val="20"/>
                <w:szCs w:val="20"/>
                <w:color w:val="auto"/>
              </w:rPr>
            </w:pPr>
            <w:r>
              <w:rPr>
                <w:rFonts w:ascii="Calibri" w:cs="Calibri" w:eastAsia="Calibri" w:hAnsi="Calibri"/>
                <w:sz w:val="11"/>
                <w:szCs w:val="11"/>
                <w:color w:val="auto"/>
              </w:rPr>
              <w:t>72.8</w:t>
            </w:r>
          </w:p>
        </w:tc>
        <w:tc>
          <w:tcPr>
            <w:tcW w:w="0" w:type="dxa"/>
            <w:vAlign w:val="bottom"/>
          </w:tcPr>
          <w:p>
            <w:pPr>
              <w:spacing w:after="0"/>
              <w:rPr>
                <w:sz w:val="1"/>
                <w:szCs w:val="1"/>
                <w:color w:val="auto"/>
              </w:rPr>
            </w:pPr>
          </w:p>
        </w:tc>
      </w:tr>
      <w:tr>
        <w:trPr>
          <w:trHeight w:val="161"/>
        </w:trPr>
        <w:tc>
          <w:tcPr>
            <w:tcW w:w="79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and due in full in October 2029.</w:t>
            </w:r>
          </w:p>
        </w:tc>
        <w:tc>
          <w:tcPr>
            <w:tcW w:w="660" w:type="dxa"/>
            <w:vAlign w:val="bottom"/>
            <w:tcBorders>
              <w:bottom w:val="single" w:sz="8" w:color="DBDBDB"/>
            </w:tcBorders>
            <w:shd w:val="clear" w:color="auto" w:fill="DBDBDB"/>
          </w:tcPr>
          <w:p>
            <w:pPr>
              <w:spacing w:after="0"/>
              <w:rPr>
                <w:sz w:val="14"/>
                <w:szCs w:val="14"/>
                <w:color w:val="auto"/>
              </w:rPr>
            </w:pPr>
          </w:p>
        </w:tc>
        <w:tc>
          <w:tcPr>
            <w:tcW w:w="100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40" w:type="dxa"/>
            <w:vAlign w:val="bottom"/>
          </w:tcPr>
          <w:p>
            <w:pPr>
              <w:ind w:left="20"/>
              <w:spacing w:after="0"/>
              <w:rPr>
                <w:sz w:val="20"/>
                <w:szCs w:val="20"/>
                <w:color w:val="auto"/>
              </w:rPr>
            </w:pPr>
            <w:r>
              <w:rPr>
                <w:rFonts w:ascii="Calibri" w:cs="Calibri" w:eastAsia="Calibri" w:hAnsi="Calibri"/>
                <w:sz w:val="11"/>
                <w:szCs w:val="11"/>
                <w:color w:val="auto"/>
              </w:rPr>
              <w:t>Note payable to BoA. Payable in monthly installments including interest at a rate of 3.96% as of both October 31, 2022 and 2021. Principal is due July 2024.</w:t>
            </w:r>
          </w:p>
        </w:tc>
        <w:tc>
          <w:tcPr>
            <w:tcW w:w="660" w:type="dxa"/>
            <w:vAlign w:val="bottom"/>
          </w:tcPr>
          <w:p>
            <w:pPr>
              <w:spacing w:after="0"/>
              <w:rPr>
                <w:sz w:val="11"/>
                <w:szCs w:val="11"/>
                <w:color w:val="auto"/>
              </w:rPr>
            </w:pPr>
          </w:p>
        </w:tc>
        <w:tc>
          <w:tcPr>
            <w:tcW w:w="1000" w:type="dxa"/>
            <w:vAlign w:val="bottom"/>
          </w:tcPr>
          <w:p>
            <w:pPr>
              <w:jc w:val="right"/>
              <w:ind w:right="103"/>
              <w:spacing w:after="0"/>
              <w:rPr>
                <w:sz w:val="20"/>
                <w:szCs w:val="20"/>
                <w:color w:val="auto"/>
              </w:rPr>
            </w:pPr>
            <w:r>
              <w:rPr>
                <w:rFonts w:ascii="Calibri" w:cs="Calibri" w:eastAsia="Calibri" w:hAnsi="Calibri"/>
                <w:sz w:val="11"/>
                <w:szCs w:val="11"/>
                <w:color w:val="auto"/>
              </w:rPr>
              <w:t>1.0</w:t>
            </w:r>
          </w:p>
        </w:tc>
        <w:tc>
          <w:tcPr>
            <w:tcW w:w="8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alibri" w:cs="Calibri" w:eastAsia="Calibri" w:hAnsi="Calibri"/>
                <w:sz w:val="11"/>
                <w:szCs w:val="11"/>
                <w:color w:val="auto"/>
              </w:rPr>
              <w:t>1.5</w:t>
            </w:r>
          </w:p>
        </w:tc>
        <w:tc>
          <w:tcPr>
            <w:tcW w:w="0" w:type="dxa"/>
            <w:vAlign w:val="bottom"/>
          </w:tcPr>
          <w:p>
            <w:pPr>
              <w:spacing w:after="0"/>
              <w:rPr>
                <w:sz w:val="1"/>
                <w:szCs w:val="1"/>
                <w:color w:val="auto"/>
              </w:rPr>
            </w:pPr>
          </w:p>
        </w:tc>
      </w:tr>
      <w:tr>
        <w:trPr>
          <w:trHeight w:val="46"/>
        </w:trPr>
        <w:tc>
          <w:tcPr>
            <w:tcW w:w="7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long-term debt</w:t>
            </w:r>
          </w:p>
        </w:tc>
        <w:tc>
          <w:tcPr>
            <w:tcW w:w="66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141.0</w:t>
            </w:r>
          </w:p>
        </w:tc>
        <w:tc>
          <w:tcPr>
            <w:tcW w:w="8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164.3</w:t>
            </w:r>
          </w:p>
        </w:tc>
        <w:tc>
          <w:tcPr>
            <w:tcW w:w="0" w:type="dxa"/>
            <w:vAlign w:val="bottom"/>
          </w:tcPr>
          <w:p>
            <w:pPr>
              <w:spacing w:after="0"/>
              <w:rPr>
                <w:sz w:val="1"/>
                <w:szCs w:val="1"/>
                <w:color w:val="auto"/>
              </w:rPr>
            </w:pPr>
          </w:p>
        </w:tc>
      </w:tr>
      <w:tr>
        <w:trPr>
          <w:trHeight w:val="135"/>
        </w:trPr>
        <w:tc>
          <w:tcPr>
            <w:tcW w:w="7940" w:type="dxa"/>
            <w:vAlign w:val="bottom"/>
          </w:tcPr>
          <w:p>
            <w:pPr>
              <w:ind w:left="20"/>
              <w:spacing w:after="0"/>
              <w:rPr>
                <w:sz w:val="20"/>
                <w:szCs w:val="20"/>
                <w:color w:val="auto"/>
              </w:rPr>
            </w:pPr>
            <w:r>
              <w:rPr>
                <w:rFonts w:ascii="Calibri" w:cs="Calibri" w:eastAsia="Calibri" w:hAnsi="Calibri"/>
                <w:sz w:val="11"/>
                <w:szCs w:val="11"/>
                <w:color w:val="auto"/>
              </w:rPr>
              <w:t>Less debt issuance costs</w:t>
            </w:r>
          </w:p>
        </w:tc>
        <w:tc>
          <w:tcPr>
            <w:tcW w:w="660" w:type="dxa"/>
            <w:vAlign w:val="bottom"/>
          </w:tcPr>
          <w:p>
            <w:pPr>
              <w:spacing w:after="0"/>
              <w:rPr>
                <w:sz w:val="11"/>
                <w:szCs w:val="11"/>
                <w:color w:val="auto"/>
              </w:rPr>
            </w:pPr>
          </w:p>
        </w:tc>
        <w:tc>
          <w:tcPr>
            <w:tcW w:w="1000" w:type="dxa"/>
            <w:vAlign w:val="bottom"/>
          </w:tcPr>
          <w:p>
            <w:pPr>
              <w:jc w:val="center"/>
              <w:ind w:left="463"/>
              <w:spacing w:after="0"/>
              <w:rPr>
                <w:sz w:val="20"/>
                <w:szCs w:val="20"/>
                <w:color w:val="auto"/>
              </w:rPr>
            </w:pPr>
            <w:r>
              <w:rPr>
                <w:rFonts w:ascii="Calibri" w:cs="Calibri" w:eastAsia="Calibri" w:hAnsi="Calibri"/>
                <w:sz w:val="11"/>
                <w:szCs w:val="11"/>
                <w:color w:val="auto"/>
                <w:w w:val="96"/>
              </w:rPr>
              <w:t>(0.6)</w:t>
            </w:r>
          </w:p>
        </w:tc>
        <w:tc>
          <w:tcPr>
            <w:tcW w:w="840" w:type="dxa"/>
            <w:vAlign w:val="bottom"/>
          </w:tcPr>
          <w:p>
            <w:pPr>
              <w:spacing w:after="0"/>
              <w:rPr>
                <w:sz w:val="11"/>
                <w:szCs w:val="11"/>
                <w:color w:val="auto"/>
              </w:rPr>
            </w:pPr>
          </w:p>
        </w:tc>
        <w:tc>
          <w:tcPr>
            <w:tcW w:w="840" w:type="dxa"/>
            <w:vAlign w:val="bottom"/>
          </w:tcPr>
          <w:p>
            <w:pPr>
              <w:jc w:val="center"/>
              <w:ind w:left="543"/>
              <w:spacing w:after="0"/>
              <w:rPr>
                <w:sz w:val="20"/>
                <w:szCs w:val="20"/>
                <w:color w:val="auto"/>
              </w:rPr>
            </w:pPr>
            <w:r>
              <w:rPr>
                <w:rFonts w:ascii="Calibri" w:cs="Calibri" w:eastAsia="Calibri" w:hAnsi="Calibri"/>
                <w:sz w:val="11"/>
                <w:szCs w:val="11"/>
                <w:color w:val="auto"/>
                <w:w w:val="96"/>
              </w:rPr>
              <w:t>(0.4)</w:t>
            </w:r>
          </w:p>
        </w:tc>
        <w:tc>
          <w:tcPr>
            <w:tcW w:w="0" w:type="dxa"/>
            <w:vAlign w:val="bottom"/>
          </w:tcPr>
          <w:p>
            <w:pPr>
              <w:spacing w:after="0"/>
              <w:rPr>
                <w:sz w:val="1"/>
                <w:szCs w:val="1"/>
                <w:color w:val="auto"/>
              </w:rPr>
            </w:pPr>
          </w:p>
        </w:tc>
      </w:tr>
      <w:tr>
        <w:trPr>
          <w:trHeight w:val="46"/>
        </w:trPr>
        <w:tc>
          <w:tcPr>
            <w:tcW w:w="7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Long-term debt, net of debt issuance costs</w:t>
            </w:r>
          </w:p>
        </w:tc>
        <w:tc>
          <w:tcPr>
            <w:tcW w:w="66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140.4</w:t>
            </w:r>
          </w:p>
        </w:tc>
        <w:tc>
          <w:tcPr>
            <w:tcW w:w="8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163.9</w:t>
            </w:r>
          </w:p>
        </w:tc>
        <w:tc>
          <w:tcPr>
            <w:tcW w:w="0" w:type="dxa"/>
            <w:vAlign w:val="bottom"/>
          </w:tcPr>
          <w:p>
            <w:pPr>
              <w:spacing w:after="0"/>
              <w:rPr>
                <w:sz w:val="1"/>
                <w:szCs w:val="1"/>
                <w:color w:val="auto"/>
              </w:rPr>
            </w:pPr>
          </w:p>
        </w:tc>
      </w:tr>
      <w:tr>
        <w:trPr>
          <w:trHeight w:val="135"/>
        </w:trPr>
        <w:tc>
          <w:tcPr>
            <w:tcW w:w="7940" w:type="dxa"/>
            <w:vAlign w:val="bottom"/>
          </w:tcPr>
          <w:p>
            <w:pPr>
              <w:ind w:left="20"/>
              <w:spacing w:after="0"/>
              <w:rPr>
                <w:sz w:val="20"/>
                <w:szCs w:val="20"/>
                <w:color w:val="auto"/>
              </w:rPr>
            </w:pPr>
            <w:r>
              <w:rPr>
                <w:rFonts w:ascii="Calibri" w:cs="Calibri" w:eastAsia="Calibri" w:hAnsi="Calibri"/>
                <w:sz w:val="11"/>
                <w:szCs w:val="11"/>
                <w:color w:val="auto"/>
              </w:rPr>
              <w:t>Less current porton of long-term debt</w:t>
            </w:r>
          </w:p>
        </w:tc>
        <w:tc>
          <w:tcPr>
            <w:tcW w:w="660" w:type="dxa"/>
            <w:vAlign w:val="bottom"/>
          </w:tcPr>
          <w:p>
            <w:pPr>
              <w:spacing w:after="0"/>
              <w:rPr>
                <w:sz w:val="11"/>
                <w:szCs w:val="11"/>
                <w:color w:val="auto"/>
              </w:rPr>
            </w:pPr>
          </w:p>
        </w:tc>
        <w:tc>
          <w:tcPr>
            <w:tcW w:w="1000" w:type="dxa"/>
            <w:vAlign w:val="bottom"/>
          </w:tcPr>
          <w:p>
            <w:pPr>
              <w:jc w:val="center"/>
              <w:ind w:left="463"/>
              <w:spacing w:after="0"/>
              <w:rPr>
                <w:sz w:val="20"/>
                <w:szCs w:val="20"/>
                <w:color w:val="auto"/>
              </w:rPr>
            </w:pPr>
            <w:r>
              <w:rPr>
                <w:rFonts w:ascii="Calibri" w:cs="Calibri" w:eastAsia="Calibri" w:hAnsi="Calibri"/>
                <w:sz w:val="11"/>
                <w:szCs w:val="11"/>
                <w:color w:val="auto"/>
                <w:w w:val="96"/>
              </w:rPr>
              <w:t>(3.5)</w:t>
            </w:r>
          </w:p>
        </w:tc>
        <w:tc>
          <w:tcPr>
            <w:tcW w:w="840" w:type="dxa"/>
            <w:vAlign w:val="bottom"/>
          </w:tcPr>
          <w:p>
            <w:pPr>
              <w:spacing w:after="0"/>
              <w:rPr>
                <w:sz w:val="11"/>
                <w:szCs w:val="11"/>
                <w:color w:val="auto"/>
              </w:rPr>
            </w:pPr>
          </w:p>
        </w:tc>
        <w:tc>
          <w:tcPr>
            <w:tcW w:w="840" w:type="dxa"/>
            <w:vAlign w:val="bottom"/>
          </w:tcPr>
          <w:p>
            <w:pPr>
              <w:jc w:val="center"/>
              <w:ind w:left="543"/>
              <w:spacing w:after="0"/>
              <w:rPr>
                <w:sz w:val="20"/>
                <w:szCs w:val="20"/>
                <w:color w:val="auto"/>
              </w:rPr>
            </w:pPr>
            <w:r>
              <w:rPr>
                <w:rFonts w:ascii="Calibri" w:cs="Calibri" w:eastAsia="Calibri" w:hAnsi="Calibri"/>
                <w:sz w:val="11"/>
                <w:szCs w:val="11"/>
                <w:color w:val="auto"/>
                <w:w w:val="96"/>
              </w:rPr>
              <w:t>(8.8)</w:t>
            </w:r>
          </w:p>
        </w:tc>
        <w:tc>
          <w:tcPr>
            <w:tcW w:w="0" w:type="dxa"/>
            <w:vAlign w:val="bottom"/>
          </w:tcPr>
          <w:p>
            <w:pPr>
              <w:spacing w:after="0"/>
              <w:rPr>
                <w:sz w:val="1"/>
                <w:szCs w:val="1"/>
                <w:color w:val="auto"/>
              </w:rPr>
            </w:pPr>
          </w:p>
        </w:tc>
      </w:tr>
      <w:tr>
        <w:trPr>
          <w:trHeight w:val="46"/>
        </w:trPr>
        <w:tc>
          <w:tcPr>
            <w:tcW w:w="7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Long-term debt, net of current porton</w:t>
            </w:r>
          </w:p>
        </w:tc>
        <w:tc>
          <w:tcPr>
            <w:tcW w:w="660" w:type="dxa"/>
            <w:vAlign w:val="bottom"/>
            <w:tcBorders>
              <w:bottom w:val="single" w:sz="8" w:color="DBDBDB"/>
            </w:tcBorders>
            <w:shd w:val="clear" w:color="auto" w:fill="DBDBDB"/>
          </w:tcPr>
          <w:p>
            <w:pPr>
              <w:jc w:val="right"/>
              <w:ind w:right="543"/>
              <w:spacing w:after="0" w:line="126" w:lineRule="exact"/>
              <w:rPr>
                <w:sz w:val="20"/>
                <w:szCs w:val="20"/>
                <w:color w:val="auto"/>
              </w:rPr>
            </w:pPr>
            <w:r>
              <w:rPr>
                <w:rFonts w:ascii="Calibri" w:cs="Calibri" w:eastAsia="Calibri" w:hAnsi="Calibri"/>
                <w:sz w:val="11"/>
                <w:szCs w:val="11"/>
                <w:color w:val="auto"/>
                <w:w w:val="70"/>
              </w:rPr>
              <w:t>$</w:t>
            </w:r>
          </w:p>
        </w:tc>
        <w:tc>
          <w:tcPr>
            <w:tcW w:w="10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136.9</w:t>
            </w:r>
          </w:p>
        </w:tc>
        <w:tc>
          <w:tcPr>
            <w:tcW w:w="840" w:type="dxa"/>
            <w:vAlign w:val="bottom"/>
            <w:tcBorders>
              <w:bottom w:val="single" w:sz="8" w:color="DBDBDB"/>
            </w:tcBorders>
            <w:shd w:val="clear" w:color="auto" w:fill="DBDBDB"/>
          </w:tcPr>
          <w:p>
            <w:pPr>
              <w:jc w:val="right"/>
              <w:ind w:right="583"/>
              <w:spacing w:after="0" w:line="126" w:lineRule="exact"/>
              <w:rPr>
                <w:sz w:val="20"/>
                <w:szCs w:val="20"/>
                <w:color w:val="auto"/>
              </w:rPr>
            </w:pPr>
            <w:r>
              <w:rPr>
                <w:rFonts w:ascii="Calibri" w:cs="Calibri" w:eastAsia="Calibri" w:hAnsi="Calibri"/>
                <w:sz w:val="11"/>
                <w:szCs w:val="11"/>
                <w:color w:val="auto"/>
              </w:rPr>
              <w:t>$</w:t>
            </w:r>
          </w:p>
        </w:tc>
        <w:tc>
          <w:tcPr>
            <w:tcW w:w="8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155.1</w:t>
            </w:r>
          </w:p>
        </w:tc>
        <w:tc>
          <w:tcPr>
            <w:tcW w:w="0" w:type="dxa"/>
            <w:vAlign w:val="bottom"/>
          </w:tcPr>
          <w:p>
            <w:pPr>
              <w:spacing w:after="0"/>
              <w:rPr>
                <w:sz w:val="1"/>
                <w:szCs w:val="1"/>
                <w:color w:val="auto"/>
              </w:rPr>
            </w:pPr>
          </w:p>
        </w:tc>
      </w:tr>
      <w:tr>
        <w:trPr>
          <w:trHeight w:val="20"/>
        </w:trPr>
        <w:tc>
          <w:tcPr>
            <w:tcW w:w="7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40" w:right="60" w:hanging="135"/>
        <w:spacing w:after="0" w:line="208" w:lineRule="auto"/>
        <w:tabs>
          <w:tab w:leader="none" w:pos="137" w:val="left"/>
        </w:tabs>
        <w:numPr>
          <w:ilvl w:val="0"/>
          <w:numId w:val="21"/>
        </w:numPr>
        <w:rPr>
          <w:rFonts w:ascii="Calibri" w:cs="Calibri" w:eastAsia="Calibri" w:hAnsi="Calibri"/>
          <w:sz w:val="13"/>
          <w:szCs w:val="13"/>
          <w:color w:val="auto"/>
          <w:vertAlign w:val="superscript"/>
        </w:rPr>
      </w:pPr>
      <w:r>
        <w:rPr>
          <w:rFonts w:ascii="Calibri" w:cs="Calibri" w:eastAsia="Calibri" w:hAnsi="Calibri"/>
          <w:sz w:val="10"/>
          <w:szCs w:val="10"/>
          <w:color w:val="auto"/>
        </w:rPr>
        <w:t>The interest rate as of October 31, 2022 was variable, based on SOFR, in accordance with the credit facility as amended in October 2022. The interest rate as of October 31, 2021 was variable, based on LIBOR under the facility in efect at the tme. The variable rates bear spreads that vary with the Company’s leverage rato.</w:t>
      </w:r>
    </w:p>
    <w:p>
      <w:pPr>
        <w:spacing w:after="0" w:line="134"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Other</w:t>
      </w:r>
    </w:p>
    <w:p>
      <w:pPr>
        <w:spacing w:after="0" w:line="158" w:lineRule="exact"/>
        <w:rPr>
          <w:sz w:val="20"/>
          <w:szCs w:val="20"/>
          <w:color w:val="auto"/>
        </w:rPr>
      </w:pPr>
    </w:p>
    <w:p>
      <w:pPr>
        <w:ind w:right="20" w:firstLine="509"/>
        <w:spacing w:after="0" w:line="233" w:lineRule="auto"/>
        <w:rPr>
          <w:sz w:val="20"/>
          <w:szCs w:val="20"/>
          <w:color w:val="auto"/>
        </w:rPr>
      </w:pPr>
      <w:r>
        <w:rPr>
          <w:rFonts w:ascii="Calibri" w:cs="Calibri" w:eastAsia="Calibri" w:hAnsi="Calibri"/>
          <w:sz w:val="13"/>
          <w:szCs w:val="13"/>
          <w:color w:val="auto"/>
        </w:rPr>
        <w:t>Certain of our consolidated subsidiaries may also enter into short-term bank borrowings from tme to tme. As of October 31, 2022, short-term borrowings outstanding were $2.5 million with a variable interest rate of 6.65%. No short-term borrowings were outstanding as of October 31, 2021.</w:t>
      </w:r>
    </w:p>
    <w:p>
      <w:pPr>
        <w:spacing w:after="0" w:line="15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As of October 31, 2022, future principal payments for our total debt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600" w:type="dxa"/>
            <w:vAlign w:val="bottom"/>
          </w:tcPr>
          <w:p>
            <w:pPr>
              <w:ind w:left="20"/>
              <w:spacing w:after="0"/>
              <w:rPr>
                <w:sz w:val="20"/>
                <w:szCs w:val="20"/>
                <w:color w:val="auto"/>
              </w:rPr>
            </w:pPr>
            <w:r>
              <w:rPr>
                <w:rFonts w:ascii="Calibri" w:cs="Calibri" w:eastAsia="Calibri" w:hAnsi="Calibri"/>
                <w:sz w:val="11"/>
                <w:szCs w:val="11"/>
                <w:b w:val="1"/>
                <w:bCs w:val="1"/>
                <w:color w:val="auto"/>
              </w:rPr>
              <w:t>Year ending October 31,</w:t>
            </w:r>
          </w:p>
        </w:tc>
        <w:tc>
          <w:tcPr>
            <w:tcW w:w="4660" w:type="dxa"/>
            <w:vAlign w:val="bottom"/>
          </w:tcPr>
          <w:p>
            <w:pPr>
              <w:spacing w:after="0"/>
              <w:rPr>
                <w:sz w:val="11"/>
                <w:szCs w:val="11"/>
                <w:color w:val="auto"/>
              </w:rPr>
            </w:pPr>
          </w:p>
        </w:tc>
        <w:tc>
          <w:tcPr>
            <w:tcW w:w="1020" w:type="dxa"/>
            <w:vAlign w:val="bottom"/>
          </w:tcPr>
          <w:p>
            <w:pPr>
              <w:jc w:val="right"/>
              <w:ind w:right="263"/>
              <w:spacing w:after="0"/>
              <w:rPr>
                <w:sz w:val="20"/>
                <w:szCs w:val="20"/>
                <w:color w:val="auto"/>
              </w:rPr>
            </w:pPr>
            <w:r>
              <w:rPr>
                <w:rFonts w:ascii="Calibri" w:cs="Calibri" w:eastAsia="Calibri" w:hAnsi="Calibri"/>
                <w:sz w:val="11"/>
                <w:szCs w:val="11"/>
                <w:b w:val="1"/>
                <w:bCs w:val="1"/>
                <w:color w:val="auto"/>
              </w:rPr>
              <w:t>(In millions)</w:t>
            </w:r>
          </w:p>
        </w:tc>
      </w:tr>
      <w:tr>
        <w:trPr>
          <w:trHeight w:val="46"/>
        </w:trPr>
        <w:tc>
          <w:tcPr>
            <w:tcW w:w="560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51"/>
        </w:trPr>
        <w:tc>
          <w:tcPr>
            <w:tcW w:w="5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2023</w:t>
            </w:r>
          </w:p>
        </w:tc>
        <w:tc>
          <w:tcPr>
            <w:tcW w:w="466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w:t>
            </w:r>
          </w:p>
        </w:tc>
        <w:tc>
          <w:tcPr>
            <w:tcW w:w="10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6.1</w:t>
            </w:r>
          </w:p>
        </w:tc>
      </w:tr>
      <w:tr>
        <w:trPr>
          <w:trHeight w:val="135"/>
        </w:trPr>
        <w:tc>
          <w:tcPr>
            <w:tcW w:w="5600" w:type="dxa"/>
            <w:vAlign w:val="bottom"/>
          </w:tcPr>
          <w:p>
            <w:pPr>
              <w:ind w:left="20"/>
              <w:spacing w:after="0"/>
              <w:rPr>
                <w:sz w:val="20"/>
                <w:szCs w:val="20"/>
                <w:color w:val="auto"/>
              </w:rPr>
            </w:pPr>
            <w:r>
              <w:rPr>
                <w:rFonts w:ascii="Calibri" w:cs="Calibri" w:eastAsia="Calibri" w:hAnsi="Calibri"/>
                <w:sz w:val="11"/>
                <w:szCs w:val="11"/>
                <w:color w:val="auto"/>
              </w:rPr>
              <w:t>2024</w:t>
            </w:r>
          </w:p>
        </w:tc>
        <w:tc>
          <w:tcPr>
            <w:tcW w:w="46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color w:val="auto"/>
              </w:rPr>
              <w:t>3.4</w:t>
            </w:r>
          </w:p>
        </w:tc>
      </w:tr>
      <w:tr>
        <w:trPr>
          <w:trHeight w:val="46"/>
        </w:trPr>
        <w:tc>
          <w:tcPr>
            <w:tcW w:w="5600" w:type="dxa"/>
            <w:vAlign w:val="bottom"/>
          </w:tcPr>
          <w:p>
            <w:pPr>
              <w:spacing w:after="0"/>
              <w:rPr>
                <w:sz w:val="3"/>
                <w:szCs w:val="3"/>
                <w:color w:val="auto"/>
              </w:rPr>
            </w:pPr>
          </w:p>
        </w:tc>
        <w:tc>
          <w:tcPr>
            <w:tcW w:w="46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60"/>
        </w:trPr>
        <w:tc>
          <w:tcPr>
            <w:tcW w:w="5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2025</w:t>
            </w:r>
          </w:p>
        </w:tc>
        <w:tc>
          <w:tcPr>
            <w:tcW w:w="466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3.0</w:t>
            </w:r>
          </w:p>
        </w:tc>
      </w:tr>
      <w:tr>
        <w:trPr>
          <w:trHeight w:val="135"/>
        </w:trPr>
        <w:tc>
          <w:tcPr>
            <w:tcW w:w="5600" w:type="dxa"/>
            <w:vAlign w:val="bottom"/>
          </w:tcPr>
          <w:p>
            <w:pPr>
              <w:ind w:left="20"/>
              <w:spacing w:after="0"/>
              <w:rPr>
                <w:sz w:val="20"/>
                <w:szCs w:val="20"/>
                <w:color w:val="auto"/>
              </w:rPr>
            </w:pPr>
            <w:r>
              <w:rPr>
                <w:rFonts w:ascii="Calibri" w:cs="Calibri" w:eastAsia="Calibri" w:hAnsi="Calibri"/>
                <w:sz w:val="11"/>
                <w:szCs w:val="11"/>
                <w:color w:val="auto"/>
              </w:rPr>
              <w:t>2026</w:t>
            </w:r>
          </w:p>
        </w:tc>
        <w:tc>
          <w:tcPr>
            <w:tcW w:w="46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color w:val="auto"/>
              </w:rPr>
              <w:t>3.0</w:t>
            </w:r>
          </w:p>
        </w:tc>
      </w:tr>
      <w:tr>
        <w:trPr>
          <w:trHeight w:val="46"/>
        </w:trPr>
        <w:tc>
          <w:tcPr>
            <w:tcW w:w="5600" w:type="dxa"/>
            <w:vAlign w:val="bottom"/>
          </w:tcPr>
          <w:p>
            <w:pPr>
              <w:spacing w:after="0"/>
              <w:rPr>
                <w:sz w:val="3"/>
                <w:szCs w:val="3"/>
                <w:color w:val="auto"/>
              </w:rPr>
            </w:pPr>
          </w:p>
        </w:tc>
        <w:tc>
          <w:tcPr>
            <w:tcW w:w="46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60"/>
        </w:trPr>
        <w:tc>
          <w:tcPr>
            <w:tcW w:w="5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2027</w:t>
            </w:r>
          </w:p>
        </w:tc>
        <w:tc>
          <w:tcPr>
            <w:tcW w:w="466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80.5</w:t>
            </w:r>
          </w:p>
        </w:tc>
      </w:tr>
      <w:tr>
        <w:trPr>
          <w:trHeight w:val="135"/>
        </w:trPr>
        <w:tc>
          <w:tcPr>
            <w:tcW w:w="5600" w:type="dxa"/>
            <w:vAlign w:val="bottom"/>
          </w:tcPr>
          <w:p>
            <w:pPr>
              <w:ind w:left="20"/>
              <w:spacing w:after="0"/>
              <w:rPr>
                <w:sz w:val="20"/>
                <w:szCs w:val="20"/>
                <w:color w:val="auto"/>
              </w:rPr>
            </w:pPr>
            <w:r>
              <w:rPr>
                <w:rFonts w:ascii="Calibri" w:cs="Calibri" w:eastAsia="Calibri" w:hAnsi="Calibri"/>
                <w:sz w:val="11"/>
                <w:szCs w:val="11"/>
                <w:color w:val="auto"/>
              </w:rPr>
              <w:t>Thereafer</w:t>
            </w:r>
          </w:p>
        </w:tc>
        <w:tc>
          <w:tcPr>
            <w:tcW w:w="46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Calibri" w:cs="Calibri" w:eastAsia="Calibri" w:hAnsi="Calibri"/>
                <w:sz w:val="11"/>
                <w:szCs w:val="11"/>
                <w:color w:val="auto"/>
              </w:rPr>
              <w:t>47.5</w:t>
            </w:r>
          </w:p>
        </w:tc>
      </w:tr>
      <w:tr>
        <w:trPr>
          <w:trHeight w:val="46"/>
        </w:trPr>
        <w:tc>
          <w:tcPr>
            <w:tcW w:w="5600" w:type="dxa"/>
            <w:vAlign w:val="bottom"/>
            <w:tcBorders>
              <w:bottom w:val="single" w:sz="8" w:color="auto"/>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51"/>
        </w:trPr>
        <w:tc>
          <w:tcPr>
            <w:tcW w:w="5600" w:type="dxa"/>
            <w:vAlign w:val="bottom"/>
            <w:tcBorders>
              <w:bottom w:val="single" w:sz="8" w:color="DBDBDB"/>
            </w:tcBorders>
            <w:shd w:val="clear" w:color="auto" w:fill="DBDBDB"/>
          </w:tcPr>
          <w:p>
            <w:pPr>
              <w:spacing w:after="0"/>
              <w:rPr>
                <w:sz w:val="13"/>
                <w:szCs w:val="13"/>
                <w:color w:val="auto"/>
              </w:rPr>
            </w:pPr>
          </w:p>
        </w:tc>
        <w:tc>
          <w:tcPr>
            <w:tcW w:w="466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w:t>
            </w:r>
          </w:p>
        </w:tc>
        <w:tc>
          <w:tcPr>
            <w:tcW w:w="10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143.5</w:t>
            </w:r>
          </w:p>
        </w:tc>
      </w:tr>
      <w:tr>
        <w:trPr>
          <w:trHeight w:val="20"/>
        </w:trPr>
        <w:tc>
          <w:tcPr>
            <w:tcW w:w="560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 Company may issue standby leters of credit through banking insttutons. As of October 31, 2022, total leters of credit outstanding were $0.7 million.</w:t>
      </w:r>
    </w:p>
    <w:p>
      <w:pPr>
        <w:spacing w:after="0" w:line="200" w:lineRule="exact"/>
        <w:rPr>
          <w:sz w:val="20"/>
          <w:szCs w:val="20"/>
          <w:color w:val="auto"/>
        </w:rPr>
      </w:pPr>
    </w:p>
    <w:p>
      <w:pPr>
        <w:spacing w:after="0" w:line="302" w:lineRule="exact"/>
        <w:rPr>
          <w:sz w:val="20"/>
          <w:szCs w:val="20"/>
          <w:color w:val="auto"/>
        </w:rPr>
      </w:pPr>
    </w:p>
    <w:p>
      <w:pPr>
        <w:ind w:left="300" w:hanging="295"/>
        <w:spacing w:after="0"/>
        <w:tabs>
          <w:tab w:leader="none" w:pos="300" w:val="left"/>
        </w:tabs>
        <w:numPr>
          <w:ilvl w:val="0"/>
          <w:numId w:val="22"/>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Leases</w:t>
      </w:r>
    </w:p>
    <w:p>
      <w:pPr>
        <w:spacing w:after="0" w:line="171" w:lineRule="exact"/>
        <w:rPr>
          <w:sz w:val="20"/>
          <w:szCs w:val="20"/>
          <w:color w:val="auto"/>
        </w:rPr>
      </w:pPr>
    </w:p>
    <w:p>
      <w:pPr>
        <w:ind w:right="160" w:firstLine="509"/>
        <w:spacing w:after="0" w:line="233" w:lineRule="auto"/>
        <w:rPr>
          <w:sz w:val="20"/>
          <w:szCs w:val="20"/>
          <w:color w:val="auto"/>
        </w:rPr>
      </w:pPr>
      <w:r>
        <w:rPr>
          <w:rFonts w:ascii="Calibri" w:cs="Calibri" w:eastAsia="Calibri" w:hAnsi="Calibri"/>
          <w:sz w:val="13"/>
          <w:szCs w:val="13"/>
          <w:color w:val="auto"/>
        </w:rPr>
        <w:t>We lease facilites, land, feet and other industrial equipment under operatng leases, expiring at various dates through 2048. We also lease equipment under fnance leases, expiring at various dates through 2028. Certain of these leases have clauses such as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0" w:name="page61"/>
    <w:bookmarkEnd w:id="60"/>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alibri" w:cs="Calibri" w:eastAsia="Calibri" w:hAnsi="Calibri"/>
          <w:sz w:val="13"/>
          <w:szCs w:val="13"/>
          <w:color w:val="auto"/>
        </w:rPr>
        <w:t>extension optons, stpulated escalaton provisions, early terminaton, and payment obligatons for property taxes, insurance, maintenance and other costs.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Lease-related assets and liabilites on our consolidated balance sheets as of October 31, 2022 and 2021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8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gridSpan w:val="2"/>
          </w:tcPr>
          <w:p>
            <w:pPr>
              <w:jc w:val="right"/>
              <w:ind w:right="403"/>
              <w:spacing w:after="0"/>
              <w:rPr>
                <w:sz w:val="20"/>
                <w:szCs w:val="20"/>
                <w:color w:val="auto"/>
              </w:rPr>
            </w:pPr>
            <w:r>
              <w:rPr>
                <w:rFonts w:ascii="Calibri" w:cs="Calibri" w:eastAsia="Calibri" w:hAnsi="Calibri"/>
                <w:sz w:val="11"/>
                <w:szCs w:val="11"/>
                <w:b w:val="1"/>
                <w:bCs w:val="1"/>
                <w:color w:val="auto"/>
              </w:rPr>
              <w:t>October 31,</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9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6480" w:type="dxa"/>
            <w:vAlign w:val="bottom"/>
            <w:vMerge w:val="restart"/>
          </w:tcPr>
          <w:p>
            <w:pPr>
              <w:ind w:left="980"/>
              <w:spacing w:after="0"/>
              <w:rPr>
                <w:sz w:val="20"/>
                <w:szCs w:val="20"/>
                <w:color w:val="auto"/>
              </w:rPr>
            </w:pPr>
            <w:r>
              <w:rPr>
                <w:rFonts w:ascii="Calibri" w:cs="Calibri" w:eastAsia="Calibri" w:hAnsi="Calibri"/>
                <w:sz w:val="11"/>
                <w:szCs w:val="11"/>
                <w:b w:val="1"/>
                <w:bCs w:val="1"/>
                <w:color w:val="auto"/>
              </w:rPr>
              <w:t>Locaton on Consolidated Balance Sheets</w:t>
            </w: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980" w:type="dxa"/>
            <w:vAlign w:val="bottom"/>
            <w:vMerge w:val="continue"/>
          </w:tcPr>
          <w:p>
            <w:pPr>
              <w:spacing w:after="0"/>
              <w:rPr>
                <w:sz w:val="10"/>
                <w:szCs w:val="10"/>
                <w:color w:val="auto"/>
              </w:rPr>
            </w:pPr>
          </w:p>
        </w:tc>
        <w:tc>
          <w:tcPr>
            <w:tcW w:w="64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2022</w:t>
            </w:r>
          </w:p>
        </w:tc>
        <w:tc>
          <w:tcPr>
            <w:tcW w:w="72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198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9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b w:val="1"/>
                <w:bCs w:val="1"/>
                <w:color w:val="auto"/>
              </w:rPr>
              <w:t>Assets</w:t>
            </w:r>
          </w:p>
        </w:tc>
        <w:tc>
          <w:tcPr>
            <w:tcW w:w="6480" w:type="dxa"/>
            <w:vAlign w:val="bottom"/>
            <w:tcBorders>
              <w:bottom w:val="single" w:sz="8" w:color="DBDBDB"/>
            </w:tcBorders>
            <w:shd w:val="clear" w:color="auto" w:fill="DBDBDB"/>
          </w:tcPr>
          <w:p>
            <w:pPr>
              <w:spacing w:after="0"/>
              <w:rPr>
                <w:sz w:val="13"/>
                <w:szCs w:val="13"/>
                <w:color w:val="auto"/>
              </w:rPr>
            </w:pPr>
          </w:p>
        </w:tc>
        <w:tc>
          <w:tcPr>
            <w:tcW w:w="58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80"/>
              <w:spacing w:after="0"/>
              <w:rPr>
                <w:sz w:val="20"/>
                <w:szCs w:val="20"/>
                <w:color w:val="auto"/>
              </w:rPr>
            </w:pPr>
            <w:r>
              <w:rPr>
                <w:rFonts w:ascii="Calibri" w:cs="Calibri" w:eastAsia="Calibri" w:hAnsi="Calibri"/>
                <w:sz w:val="11"/>
                <w:szCs w:val="11"/>
                <w:color w:val="auto"/>
              </w:rPr>
              <w:t>Operatng</w:t>
            </w:r>
          </w:p>
        </w:tc>
        <w:tc>
          <w:tcPr>
            <w:tcW w:w="6480" w:type="dxa"/>
            <w:vAlign w:val="bottom"/>
          </w:tcPr>
          <w:p>
            <w:pPr>
              <w:ind w:left="980"/>
              <w:spacing w:after="0"/>
              <w:rPr>
                <w:sz w:val="20"/>
                <w:szCs w:val="20"/>
                <w:color w:val="auto"/>
              </w:rPr>
            </w:pPr>
            <w:r>
              <w:rPr>
                <w:rFonts w:ascii="Calibri" w:cs="Calibri" w:eastAsia="Calibri" w:hAnsi="Calibri"/>
                <w:sz w:val="11"/>
                <w:szCs w:val="11"/>
                <w:color w:val="auto"/>
              </w:rPr>
              <w:t>Operatng lease right-of-use assets</w:t>
            </w:r>
          </w:p>
        </w:tc>
        <w:tc>
          <w:tcPr>
            <w:tcW w:w="580" w:type="dxa"/>
            <w:vAlign w:val="bottom"/>
          </w:tcPr>
          <w:p>
            <w:pPr>
              <w:jc w:val="right"/>
              <w:ind w:right="443"/>
              <w:spacing w:after="0"/>
              <w:rPr>
                <w:sz w:val="20"/>
                <w:szCs w:val="20"/>
                <w:color w:val="auto"/>
              </w:rPr>
            </w:pPr>
            <w:r>
              <w:rPr>
                <w:rFonts w:ascii="Calibri" w:cs="Calibri" w:eastAsia="Calibri" w:hAnsi="Calibri"/>
                <w:sz w:val="11"/>
                <w:szCs w:val="11"/>
                <w:color w:val="auto"/>
              </w:rPr>
              <w:t>$</w:t>
            </w:r>
          </w:p>
        </w:tc>
        <w:tc>
          <w:tcPr>
            <w:tcW w:w="840" w:type="dxa"/>
            <w:vAlign w:val="bottom"/>
          </w:tcPr>
          <w:p>
            <w:pPr>
              <w:jc w:val="right"/>
              <w:ind w:right="63"/>
              <w:spacing w:after="0"/>
              <w:rPr>
                <w:sz w:val="20"/>
                <w:szCs w:val="20"/>
                <w:color w:val="auto"/>
              </w:rPr>
            </w:pPr>
            <w:r>
              <w:rPr>
                <w:rFonts w:ascii="Calibri" w:cs="Calibri" w:eastAsia="Calibri" w:hAnsi="Calibri"/>
                <w:sz w:val="11"/>
                <w:szCs w:val="11"/>
                <w:color w:val="auto"/>
              </w:rPr>
              <w:t>65.4</w:t>
            </w:r>
          </w:p>
        </w:tc>
        <w:tc>
          <w:tcPr>
            <w:tcW w:w="720" w:type="dxa"/>
            <w:vAlign w:val="bottom"/>
          </w:tcPr>
          <w:p>
            <w:pPr>
              <w:jc w:val="right"/>
              <w:ind w:right="523"/>
              <w:spacing w:after="0"/>
              <w:rPr>
                <w:sz w:val="20"/>
                <w:szCs w:val="20"/>
                <w:color w:val="auto"/>
              </w:rPr>
            </w:pPr>
            <w:r>
              <w:rPr>
                <w:rFonts w:ascii="Calibri" w:cs="Calibri" w:eastAsia="Calibri" w:hAnsi="Calibri"/>
                <w:sz w:val="11"/>
                <w:szCs w:val="11"/>
                <w:color w:val="auto"/>
              </w:rPr>
              <w:t>$</w:t>
            </w:r>
          </w:p>
        </w:tc>
        <w:tc>
          <w:tcPr>
            <w:tcW w:w="680" w:type="dxa"/>
            <w:vAlign w:val="bottom"/>
          </w:tcPr>
          <w:p>
            <w:pPr>
              <w:jc w:val="right"/>
              <w:spacing w:after="0"/>
              <w:rPr>
                <w:sz w:val="20"/>
                <w:szCs w:val="20"/>
                <w:color w:val="auto"/>
              </w:rPr>
            </w:pPr>
            <w:r>
              <w:rPr>
                <w:rFonts w:ascii="Calibri" w:cs="Calibri" w:eastAsia="Calibri" w:hAnsi="Calibri"/>
                <w:sz w:val="11"/>
                <w:szCs w:val="11"/>
                <w:color w:val="auto"/>
              </w:rPr>
              <w:t>43.9</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3"/>
                <w:szCs w:val="3"/>
                <w:color w:val="auto"/>
              </w:rPr>
            </w:pPr>
          </w:p>
        </w:tc>
        <w:tc>
          <w:tcPr>
            <w:tcW w:w="6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98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Finance</w:t>
            </w:r>
          </w:p>
        </w:tc>
        <w:tc>
          <w:tcPr>
            <w:tcW w:w="6480" w:type="dxa"/>
            <w:vAlign w:val="bottom"/>
            <w:tcBorders>
              <w:bottom w:val="single" w:sz="8" w:color="DBDBDB"/>
            </w:tcBorders>
            <w:shd w:val="clear" w:color="auto" w:fill="DBDBDB"/>
          </w:tcPr>
          <w:p>
            <w:pPr>
              <w:ind w:left="980"/>
              <w:spacing w:after="0"/>
              <w:rPr>
                <w:sz w:val="20"/>
                <w:szCs w:val="20"/>
                <w:color w:val="auto"/>
              </w:rPr>
            </w:pPr>
            <w:r>
              <w:rPr>
                <w:rFonts w:ascii="Calibri" w:cs="Calibri" w:eastAsia="Calibri" w:hAnsi="Calibri"/>
                <w:sz w:val="11"/>
                <w:szCs w:val="11"/>
                <w:color w:val="auto"/>
              </w:rPr>
              <w:t>Property, plant and equipment, net</w:t>
            </w:r>
          </w:p>
        </w:tc>
        <w:tc>
          <w:tcPr>
            <w:tcW w:w="5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3.8</w:t>
            </w:r>
          </w:p>
        </w:tc>
        <w:tc>
          <w:tcPr>
            <w:tcW w:w="72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4.4</w:t>
            </w:r>
          </w:p>
        </w:tc>
        <w:tc>
          <w:tcPr>
            <w:tcW w:w="0" w:type="dxa"/>
            <w:vAlign w:val="bottom"/>
          </w:tcPr>
          <w:p>
            <w:pPr>
              <w:spacing w:after="0"/>
              <w:rPr>
                <w:sz w:val="1"/>
                <w:szCs w:val="1"/>
                <w:color w:val="auto"/>
              </w:rPr>
            </w:pPr>
          </w:p>
        </w:tc>
      </w:tr>
      <w:tr>
        <w:trPr>
          <w:trHeight w:val="125"/>
        </w:trPr>
        <w:tc>
          <w:tcPr>
            <w:tcW w:w="1980" w:type="dxa"/>
            <w:vAlign w:val="bottom"/>
          </w:tcPr>
          <w:p>
            <w:pPr>
              <w:ind w:left="100"/>
              <w:spacing w:after="0" w:line="115" w:lineRule="exact"/>
              <w:rPr>
                <w:sz w:val="20"/>
                <w:szCs w:val="20"/>
                <w:color w:val="auto"/>
              </w:rPr>
            </w:pPr>
            <w:r>
              <w:rPr>
                <w:rFonts w:ascii="Calibri" w:cs="Calibri" w:eastAsia="Calibri" w:hAnsi="Calibri"/>
                <w:sz w:val="11"/>
                <w:szCs w:val="11"/>
                <w:color w:val="auto"/>
              </w:rPr>
              <w:t>Total lease assets</w:t>
            </w:r>
          </w:p>
        </w:tc>
        <w:tc>
          <w:tcPr>
            <w:tcW w:w="6480" w:type="dxa"/>
            <w:vAlign w:val="bottom"/>
          </w:tcPr>
          <w:p>
            <w:pPr>
              <w:spacing w:after="0"/>
              <w:rPr>
                <w:sz w:val="10"/>
                <w:szCs w:val="10"/>
                <w:color w:val="auto"/>
              </w:rPr>
            </w:pPr>
          </w:p>
        </w:tc>
        <w:tc>
          <w:tcPr>
            <w:tcW w:w="58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69.2</w:t>
            </w:r>
          </w:p>
        </w:tc>
        <w:tc>
          <w:tcPr>
            <w:tcW w:w="720" w:type="dxa"/>
            <w:vAlign w:val="bottom"/>
            <w:tcBorders>
              <w:top w:val="single" w:sz="8" w:color="auto"/>
            </w:tcBorders>
          </w:tcPr>
          <w:p>
            <w:pPr>
              <w:jc w:val="right"/>
              <w:ind w:right="523"/>
              <w:spacing w:after="0" w:line="126" w:lineRule="exact"/>
              <w:rPr>
                <w:sz w:val="20"/>
                <w:szCs w:val="20"/>
                <w:color w:val="auto"/>
              </w:rPr>
            </w:pPr>
            <w:r>
              <w:rPr>
                <w:rFonts w:ascii="Calibri" w:cs="Calibri" w:eastAsia="Calibri" w:hAnsi="Calibri"/>
                <w:sz w:val="11"/>
                <w:szCs w:val="11"/>
                <w:color w:val="auto"/>
              </w:rPr>
              <w:t>$</w:t>
            </w:r>
          </w:p>
        </w:tc>
        <w:tc>
          <w:tcPr>
            <w:tcW w:w="6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48.3</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3"/>
                <w:szCs w:val="3"/>
                <w:color w:val="auto"/>
              </w:rPr>
            </w:pPr>
          </w:p>
        </w:tc>
        <w:tc>
          <w:tcPr>
            <w:tcW w:w="6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b w:val="1"/>
                <w:bCs w:val="1"/>
                <w:color w:val="auto"/>
              </w:rPr>
              <w:t>Liabilites</w:t>
            </w:r>
          </w:p>
        </w:tc>
        <w:tc>
          <w:tcPr>
            <w:tcW w:w="6480" w:type="dxa"/>
            <w:vAlign w:val="bottom"/>
            <w:tcBorders>
              <w:bottom w:val="single" w:sz="8" w:color="DBDBDB"/>
            </w:tcBorders>
            <w:shd w:val="clear" w:color="auto" w:fill="DBDBDB"/>
          </w:tcPr>
          <w:p>
            <w:pPr>
              <w:spacing w:after="0"/>
              <w:rPr>
                <w:sz w:val="13"/>
                <w:szCs w:val="13"/>
                <w:color w:val="auto"/>
              </w:rPr>
            </w:pPr>
          </w:p>
        </w:tc>
        <w:tc>
          <w:tcPr>
            <w:tcW w:w="58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100"/>
              <w:spacing w:after="0"/>
              <w:rPr>
                <w:sz w:val="20"/>
                <w:szCs w:val="20"/>
                <w:color w:val="auto"/>
              </w:rPr>
            </w:pPr>
            <w:r>
              <w:rPr>
                <w:rFonts w:ascii="Calibri" w:cs="Calibri" w:eastAsia="Calibri" w:hAnsi="Calibri"/>
                <w:sz w:val="11"/>
                <w:szCs w:val="11"/>
                <w:color w:val="auto"/>
              </w:rPr>
              <w:t>Current</w:t>
            </w:r>
          </w:p>
        </w:tc>
        <w:tc>
          <w:tcPr>
            <w:tcW w:w="6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980" w:type="dxa"/>
            <w:vAlign w:val="bottom"/>
          </w:tcPr>
          <w:p>
            <w:pPr>
              <w:spacing w:after="0"/>
              <w:rPr>
                <w:sz w:val="3"/>
                <w:szCs w:val="3"/>
                <w:color w:val="auto"/>
              </w:rPr>
            </w:pPr>
          </w:p>
        </w:tc>
        <w:tc>
          <w:tcPr>
            <w:tcW w:w="6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8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Operatng</w:t>
            </w:r>
          </w:p>
        </w:tc>
        <w:tc>
          <w:tcPr>
            <w:tcW w:w="6480" w:type="dxa"/>
            <w:vAlign w:val="bottom"/>
            <w:tcBorders>
              <w:bottom w:val="single" w:sz="8" w:color="DBDBDB"/>
            </w:tcBorders>
            <w:shd w:val="clear" w:color="auto" w:fill="DBDBDB"/>
          </w:tcPr>
          <w:p>
            <w:pPr>
              <w:ind w:left="980"/>
              <w:spacing w:after="0"/>
              <w:rPr>
                <w:sz w:val="20"/>
                <w:szCs w:val="20"/>
                <w:color w:val="auto"/>
              </w:rPr>
            </w:pPr>
            <w:r>
              <w:rPr>
                <w:rFonts w:ascii="Calibri" w:cs="Calibri" w:eastAsia="Calibri" w:hAnsi="Calibri"/>
                <w:sz w:val="11"/>
                <w:szCs w:val="11"/>
                <w:color w:val="auto"/>
              </w:rPr>
              <w:t>Operatng leases—current porton</w:t>
            </w:r>
          </w:p>
        </w:tc>
        <w:tc>
          <w:tcPr>
            <w:tcW w:w="580" w:type="dxa"/>
            <w:vAlign w:val="bottom"/>
            <w:tcBorders>
              <w:bottom w:val="single" w:sz="8" w:color="DBDBDB"/>
            </w:tcBorders>
            <w:shd w:val="clear" w:color="auto" w:fill="DBDBDB"/>
          </w:tcPr>
          <w:p>
            <w:pPr>
              <w:jc w:val="right"/>
              <w:ind w:right="443"/>
              <w:spacing w:after="0"/>
              <w:rPr>
                <w:sz w:val="20"/>
                <w:szCs w:val="20"/>
                <w:color w:val="auto"/>
              </w:rPr>
            </w:pPr>
            <w:r>
              <w:rPr>
                <w:rFonts w:ascii="Calibri" w:cs="Calibri" w:eastAsia="Calibri" w:hAnsi="Calibri"/>
                <w:sz w:val="11"/>
                <w:szCs w:val="11"/>
                <w:color w:val="auto"/>
              </w:rPr>
              <w:t>$</w:t>
            </w:r>
          </w:p>
        </w:tc>
        <w:tc>
          <w:tcPr>
            <w:tcW w:w="8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4.7</w:t>
            </w:r>
          </w:p>
        </w:tc>
        <w:tc>
          <w:tcPr>
            <w:tcW w:w="720" w:type="dxa"/>
            <w:vAlign w:val="bottom"/>
            <w:tcBorders>
              <w:bottom w:val="single" w:sz="8" w:color="DBDBDB"/>
            </w:tcBorders>
            <w:shd w:val="clear" w:color="auto" w:fill="DBDBDB"/>
          </w:tcPr>
          <w:p>
            <w:pPr>
              <w:jc w:val="right"/>
              <w:ind w:right="5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3.6</w:t>
            </w:r>
          </w:p>
        </w:tc>
        <w:tc>
          <w:tcPr>
            <w:tcW w:w="0" w:type="dxa"/>
            <w:vAlign w:val="bottom"/>
          </w:tcPr>
          <w:p>
            <w:pPr>
              <w:spacing w:after="0"/>
              <w:rPr>
                <w:sz w:val="1"/>
                <w:szCs w:val="1"/>
                <w:color w:val="auto"/>
              </w:rPr>
            </w:pPr>
          </w:p>
        </w:tc>
      </w:tr>
      <w:tr>
        <w:trPr>
          <w:trHeight w:val="135"/>
        </w:trPr>
        <w:tc>
          <w:tcPr>
            <w:tcW w:w="1980" w:type="dxa"/>
            <w:vAlign w:val="bottom"/>
          </w:tcPr>
          <w:p>
            <w:pPr>
              <w:ind w:left="280"/>
              <w:spacing w:after="0"/>
              <w:rPr>
                <w:sz w:val="20"/>
                <w:szCs w:val="20"/>
                <w:color w:val="auto"/>
              </w:rPr>
            </w:pPr>
            <w:r>
              <w:rPr>
                <w:rFonts w:ascii="Calibri" w:cs="Calibri" w:eastAsia="Calibri" w:hAnsi="Calibri"/>
                <w:sz w:val="11"/>
                <w:szCs w:val="11"/>
                <w:color w:val="auto"/>
              </w:rPr>
              <w:t>Finance</w:t>
            </w:r>
          </w:p>
        </w:tc>
        <w:tc>
          <w:tcPr>
            <w:tcW w:w="6480" w:type="dxa"/>
            <w:vAlign w:val="bottom"/>
          </w:tcPr>
          <w:p>
            <w:pPr>
              <w:ind w:left="980"/>
              <w:spacing w:after="0"/>
              <w:rPr>
                <w:sz w:val="20"/>
                <w:szCs w:val="20"/>
                <w:color w:val="auto"/>
              </w:rPr>
            </w:pPr>
            <w:r>
              <w:rPr>
                <w:rFonts w:ascii="Calibri" w:cs="Calibri" w:eastAsia="Calibri" w:hAnsi="Calibri"/>
                <w:sz w:val="11"/>
                <w:szCs w:val="11"/>
                <w:color w:val="auto"/>
              </w:rPr>
              <w:t>Finance leases—current porton</w:t>
            </w:r>
          </w:p>
        </w:tc>
        <w:tc>
          <w:tcPr>
            <w:tcW w:w="580" w:type="dxa"/>
            <w:vAlign w:val="bottom"/>
          </w:tcPr>
          <w:p>
            <w:pPr>
              <w:spacing w:after="0"/>
              <w:rPr>
                <w:sz w:val="11"/>
                <w:szCs w:val="11"/>
                <w:color w:val="auto"/>
              </w:rPr>
            </w:pPr>
          </w:p>
        </w:tc>
        <w:tc>
          <w:tcPr>
            <w:tcW w:w="840" w:type="dxa"/>
            <w:vAlign w:val="bottom"/>
          </w:tcPr>
          <w:p>
            <w:pPr>
              <w:jc w:val="right"/>
              <w:ind w:right="63"/>
              <w:spacing w:after="0"/>
              <w:rPr>
                <w:sz w:val="20"/>
                <w:szCs w:val="20"/>
                <w:color w:val="auto"/>
              </w:rPr>
            </w:pPr>
            <w:r>
              <w:rPr>
                <w:rFonts w:ascii="Calibri" w:cs="Calibri" w:eastAsia="Calibri" w:hAnsi="Calibri"/>
                <w:sz w:val="11"/>
                <w:szCs w:val="11"/>
                <w:color w:val="auto"/>
              </w:rPr>
              <w:t>1.2</w:t>
            </w:r>
          </w:p>
        </w:tc>
        <w:tc>
          <w:tcPr>
            <w:tcW w:w="7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alibri" w:cs="Calibri" w:eastAsia="Calibri" w:hAnsi="Calibri"/>
                <w:sz w:val="11"/>
                <w:szCs w:val="11"/>
                <w:color w:val="auto"/>
              </w:rPr>
              <w:t>1.1</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3"/>
                <w:szCs w:val="3"/>
                <w:color w:val="auto"/>
              </w:rPr>
            </w:pPr>
          </w:p>
        </w:tc>
        <w:tc>
          <w:tcPr>
            <w:tcW w:w="6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980" w:type="dxa"/>
            <w:vAlign w:val="bottom"/>
            <w:tcBorders>
              <w:bottom w:val="single" w:sz="8" w:color="DBDBDB"/>
            </w:tcBorders>
            <w:shd w:val="clear" w:color="auto" w:fill="DBDBDB"/>
          </w:tcPr>
          <w:p>
            <w:pPr>
              <w:ind w:left="100"/>
              <w:spacing w:after="0"/>
              <w:rPr>
                <w:sz w:val="20"/>
                <w:szCs w:val="20"/>
                <w:color w:val="auto"/>
              </w:rPr>
            </w:pPr>
            <w:r>
              <w:rPr>
                <w:rFonts w:ascii="Calibri" w:cs="Calibri" w:eastAsia="Calibri" w:hAnsi="Calibri"/>
                <w:sz w:val="11"/>
                <w:szCs w:val="11"/>
                <w:color w:val="auto"/>
              </w:rPr>
              <w:t>Noncurrent</w:t>
            </w:r>
          </w:p>
        </w:tc>
        <w:tc>
          <w:tcPr>
            <w:tcW w:w="6480" w:type="dxa"/>
            <w:vAlign w:val="bottom"/>
            <w:tcBorders>
              <w:bottom w:val="single" w:sz="8" w:color="DBDBDB"/>
            </w:tcBorders>
            <w:shd w:val="clear" w:color="auto" w:fill="DBDBDB"/>
          </w:tcPr>
          <w:p>
            <w:pPr>
              <w:spacing w:after="0"/>
              <w:rPr>
                <w:sz w:val="13"/>
                <w:szCs w:val="13"/>
                <w:color w:val="auto"/>
              </w:rPr>
            </w:pPr>
          </w:p>
        </w:tc>
        <w:tc>
          <w:tcPr>
            <w:tcW w:w="58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80"/>
              <w:spacing w:after="0"/>
              <w:rPr>
                <w:sz w:val="20"/>
                <w:szCs w:val="20"/>
                <w:color w:val="auto"/>
              </w:rPr>
            </w:pPr>
            <w:r>
              <w:rPr>
                <w:rFonts w:ascii="Calibri" w:cs="Calibri" w:eastAsia="Calibri" w:hAnsi="Calibri"/>
                <w:sz w:val="11"/>
                <w:szCs w:val="11"/>
                <w:color w:val="auto"/>
              </w:rPr>
              <w:t>Operatng</w:t>
            </w:r>
          </w:p>
        </w:tc>
        <w:tc>
          <w:tcPr>
            <w:tcW w:w="6480" w:type="dxa"/>
            <w:vAlign w:val="bottom"/>
          </w:tcPr>
          <w:p>
            <w:pPr>
              <w:ind w:left="980"/>
              <w:spacing w:after="0"/>
              <w:rPr>
                <w:sz w:val="20"/>
                <w:szCs w:val="20"/>
                <w:color w:val="auto"/>
              </w:rPr>
            </w:pPr>
            <w:r>
              <w:rPr>
                <w:rFonts w:ascii="Calibri" w:cs="Calibri" w:eastAsia="Calibri" w:hAnsi="Calibri"/>
                <w:sz w:val="11"/>
                <w:szCs w:val="11"/>
                <w:color w:val="auto"/>
              </w:rPr>
              <w:t>Operatng leases, net of current porton</w:t>
            </w:r>
          </w:p>
        </w:tc>
        <w:tc>
          <w:tcPr>
            <w:tcW w:w="580" w:type="dxa"/>
            <w:vAlign w:val="bottom"/>
          </w:tcPr>
          <w:p>
            <w:pPr>
              <w:spacing w:after="0"/>
              <w:rPr>
                <w:sz w:val="11"/>
                <w:szCs w:val="11"/>
                <w:color w:val="auto"/>
              </w:rPr>
            </w:pPr>
          </w:p>
        </w:tc>
        <w:tc>
          <w:tcPr>
            <w:tcW w:w="840" w:type="dxa"/>
            <w:vAlign w:val="bottom"/>
          </w:tcPr>
          <w:p>
            <w:pPr>
              <w:jc w:val="right"/>
              <w:ind w:right="63"/>
              <w:spacing w:after="0"/>
              <w:rPr>
                <w:sz w:val="20"/>
                <w:szCs w:val="20"/>
                <w:color w:val="auto"/>
              </w:rPr>
            </w:pPr>
            <w:r>
              <w:rPr>
                <w:rFonts w:ascii="Calibri" w:cs="Calibri" w:eastAsia="Calibri" w:hAnsi="Calibri"/>
                <w:sz w:val="11"/>
                <w:szCs w:val="11"/>
                <w:color w:val="auto"/>
              </w:rPr>
              <w:t>63.9</w:t>
            </w:r>
          </w:p>
        </w:tc>
        <w:tc>
          <w:tcPr>
            <w:tcW w:w="7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alibri" w:cs="Calibri" w:eastAsia="Calibri" w:hAnsi="Calibri"/>
                <w:sz w:val="11"/>
                <w:szCs w:val="11"/>
                <w:color w:val="auto"/>
              </w:rPr>
              <w:t>42.5</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3"/>
                <w:szCs w:val="3"/>
                <w:color w:val="auto"/>
              </w:rPr>
            </w:pPr>
          </w:p>
        </w:tc>
        <w:tc>
          <w:tcPr>
            <w:tcW w:w="6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98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Finance</w:t>
            </w:r>
          </w:p>
        </w:tc>
        <w:tc>
          <w:tcPr>
            <w:tcW w:w="6480" w:type="dxa"/>
            <w:vAlign w:val="bottom"/>
            <w:tcBorders>
              <w:bottom w:val="single" w:sz="8" w:color="DBDBDB"/>
            </w:tcBorders>
            <w:shd w:val="clear" w:color="auto" w:fill="DBDBDB"/>
          </w:tcPr>
          <w:p>
            <w:pPr>
              <w:ind w:left="980"/>
              <w:spacing w:after="0"/>
              <w:rPr>
                <w:sz w:val="20"/>
                <w:szCs w:val="20"/>
                <w:color w:val="auto"/>
              </w:rPr>
            </w:pPr>
            <w:r>
              <w:rPr>
                <w:rFonts w:ascii="Calibri" w:cs="Calibri" w:eastAsia="Calibri" w:hAnsi="Calibri"/>
                <w:sz w:val="11"/>
                <w:szCs w:val="11"/>
                <w:color w:val="auto"/>
              </w:rPr>
              <w:t>Finance leases, net of current porton</w:t>
            </w:r>
          </w:p>
        </w:tc>
        <w:tc>
          <w:tcPr>
            <w:tcW w:w="5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1.4</w:t>
            </w:r>
          </w:p>
        </w:tc>
        <w:tc>
          <w:tcPr>
            <w:tcW w:w="72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2.2</w:t>
            </w:r>
          </w:p>
        </w:tc>
        <w:tc>
          <w:tcPr>
            <w:tcW w:w="0" w:type="dxa"/>
            <w:vAlign w:val="bottom"/>
          </w:tcPr>
          <w:p>
            <w:pPr>
              <w:spacing w:after="0"/>
              <w:rPr>
                <w:sz w:val="1"/>
                <w:szCs w:val="1"/>
                <w:color w:val="auto"/>
              </w:rPr>
            </w:pPr>
          </w:p>
        </w:tc>
      </w:tr>
      <w:tr>
        <w:trPr>
          <w:trHeight w:val="125"/>
        </w:trPr>
        <w:tc>
          <w:tcPr>
            <w:tcW w:w="1980" w:type="dxa"/>
            <w:vAlign w:val="bottom"/>
          </w:tcPr>
          <w:p>
            <w:pPr>
              <w:ind w:left="100"/>
              <w:spacing w:after="0" w:line="115" w:lineRule="exact"/>
              <w:rPr>
                <w:sz w:val="20"/>
                <w:szCs w:val="20"/>
                <w:color w:val="auto"/>
              </w:rPr>
            </w:pPr>
            <w:r>
              <w:rPr>
                <w:rFonts w:ascii="Calibri" w:cs="Calibri" w:eastAsia="Calibri" w:hAnsi="Calibri"/>
                <w:sz w:val="11"/>
                <w:szCs w:val="11"/>
                <w:color w:val="auto"/>
              </w:rPr>
              <w:t>Total lease liabilites</w:t>
            </w:r>
          </w:p>
        </w:tc>
        <w:tc>
          <w:tcPr>
            <w:tcW w:w="6480" w:type="dxa"/>
            <w:vAlign w:val="bottom"/>
          </w:tcPr>
          <w:p>
            <w:pPr>
              <w:spacing w:after="0"/>
              <w:rPr>
                <w:sz w:val="10"/>
                <w:szCs w:val="10"/>
                <w:color w:val="auto"/>
              </w:rPr>
            </w:pPr>
          </w:p>
        </w:tc>
        <w:tc>
          <w:tcPr>
            <w:tcW w:w="58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84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71.2</w:t>
            </w:r>
          </w:p>
        </w:tc>
        <w:tc>
          <w:tcPr>
            <w:tcW w:w="720" w:type="dxa"/>
            <w:vAlign w:val="bottom"/>
            <w:tcBorders>
              <w:top w:val="single" w:sz="8" w:color="auto"/>
            </w:tcBorders>
          </w:tcPr>
          <w:p>
            <w:pPr>
              <w:jc w:val="right"/>
              <w:ind w:right="523"/>
              <w:spacing w:after="0" w:line="126" w:lineRule="exact"/>
              <w:rPr>
                <w:sz w:val="20"/>
                <w:szCs w:val="20"/>
                <w:color w:val="auto"/>
              </w:rPr>
            </w:pPr>
            <w:r>
              <w:rPr>
                <w:rFonts w:ascii="Calibri" w:cs="Calibri" w:eastAsia="Calibri" w:hAnsi="Calibri"/>
                <w:sz w:val="11"/>
                <w:szCs w:val="11"/>
                <w:color w:val="auto"/>
              </w:rPr>
              <w:t>$</w:t>
            </w:r>
          </w:p>
        </w:tc>
        <w:tc>
          <w:tcPr>
            <w:tcW w:w="6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49.4</w:t>
            </w:r>
          </w:p>
        </w:tc>
        <w:tc>
          <w:tcPr>
            <w:tcW w:w="0" w:type="dxa"/>
            <w:vAlign w:val="bottom"/>
          </w:tcPr>
          <w:p>
            <w:pPr>
              <w:spacing w:after="0"/>
              <w:rPr>
                <w:sz w:val="1"/>
                <w:szCs w:val="1"/>
                <w:color w:val="auto"/>
              </w:rPr>
            </w:pPr>
          </w:p>
        </w:tc>
      </w:tr>
      <w:tr>
        <w:trPr>
          <w:trHeight w:val="46"/>
        </w:trPr>
        <w:tc>
          <w:tcPr>
            <w:tcW w:w="198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460" w:firstLine="509"/>
        <w:spacing w:after="0" w:line="233" w:lineRule="auto"/>
        <w:rPr>
          <w:sz w:val="20"/>
          <w:szCs w:val="20"/>
          <w:color w:val="auto"/>
        </w:rPr>
      </w:pPr>
      <w:r>
        <w:rPr>
          <w:rFonts w:ascii="Calibri" w:cs="Calibri" w:eastAsia="Calibri" w:hAnsi="Calibri"/>
          <w:sz w:val="13"/>
          <w:szCs w:val="13"/>
          <w:color w:val="auto"/>
        </w:rPr>
        <w:t>Most lease costs are recognized in the consolidated statements of (loss) income, however, costs qualifying for capitalizaton, such as lease costs for equipment used in the development of orchards, are recognized into property, plant and equipment or inventory. A summary of lease costs for the years ended October 31, 2022 and 2921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43"/>
              <w:spacing w:after="0"/>
              <w:rPr>
                <w:sz w:val="20"/>
                <w:szCs w:val="20"/>
                <w:color w:val="auto"/>
              </w:rPr>
            </w:pPr>
            <w:r>
              <w:rPr>
                <w:rFonts w:ascii="Calibri" w:cs="Calibri" w:eastAsia="Calibri" w:hAnsi="Calibri"/>
                <w:sz w:val="11"/>
                <w:szCs w:val="11"/>
                <w:b w:val="1"/>
                <w:bCs w:val="1"/>
                <w:color w:val="auto"/>
              </w:rPr>
              <w:t>Property, plant and</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gridSpan w:val="2"/>
          </w:tcPr>
          <w:p>
            <w:pPr>
              <w:jc w:val="right"/>
              <w:ind w:right="23"/>
              <w:spacing w:after="0"/>
              <w:rPr>
                <w:sz w:val="20"/>
                <w:szCs w:val="20"/>
                <w:color w:val="auto"/>
              </w:rPr>
            </w:pPr>
            <w:r>
              <w:rPr>
                <w:rFonts w:ascii="Calibri" w:cs="Calibri" w:eastAsia="Calibri" w:hAnsi="Calibri"/>
                <w:sz w:val="11"/>
                <w:szCs w:val="11"/>
                <w:b w:val="1"/>
                <w:bCs w:val="1"/>
                <w:color w:val="auto"/>
              </w:rPr>
              <w:t>Selling, general and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8"/>
        </w:trPr>
        <w:tc>
          <w:tcPr>
            <w:tcW w:w="330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400" w:type="dxa"/>
            <w:vAlign w:val="bottom"/>
          </w:tcPr>
          <w:p>
            <w:pPr>
              <w:spacing w:after="0"/>
              <w:rPr>
                <w:sz w:val="11"/>
                <w:szCs w:val="11"/>
                <w:color w:val="auto"/>
              </w:rPr>
            </w:pPr>
          </w:p>
        </w:tc>
        <w:tc>
          <w:tcPr>
            <w:tcW w:w="880" w:type="dxa"/>
            <w:vAlign w:val="bottom"/>
          </w:tcPr>
          <w:p>
            <w:pPr>
              <w:jc w:val="right"/>
              <w:ind w:right="43"/>
              <w:spacing w:after="0"/>
              <w:rPr>
                <w:sz w:val="20"/>
                <w:szCs w:val="20"/>
                <w:color w:val="auto"/>
              </w:rPr>
            </w:pPr>
            <w:r>
              <w:rPr>
                <w:rFonts w:ascii="Calibri" w:cs="Calibri" w:eastAsia="Calibri" w:hAnsi="Calibri"/>
                <w:sz w:val="11"/>
                <w:szCs w:val="11"/>
                <w:b w:val="1"/>
                <w:bCs w:val="1"/>
                <w:color w:val="auto"/>
              </w:rPr>
              <w:t>Inventory</w:t>
            </w:r>
          </w:p>
        </w:tc>
        <w:tc>
          <w:tcPr>
            <w:tcW w:w="260" w:type="dxa"/>
            <w:vAlign w:val="bottom"/>
          </w:tcPr>
          <w:p>
            <w:pPr>
              <w:spacing w:after="0"/>
              <w:rPr>
                <w:sz w:val="11"/>
                <w:szCs w:val="11"/>
                <w:color w:val="auto"/>
              </w:rPr>
            </w:pPr>
          </w:p>
        </w:tc>
        <w:tc>
          <w:tcPr>
            <w:tcW w:w="1100" w:type="dxa"/>
            <w:vAlign w:val="bottom"/>
          </w:tcPr>
          <w:p>
            <w:pPr>
              <w:jc w:val="right"/>
              <w:ind w:right="43"/>
              <w:spacing w:after="0"/>
              <w:rPr>
                <w:sz w:val="20"/>
                <w:szCs w:val="20"/>
                <w:color w:val="auto"/>
              </w:rPr>
            </w:pPr>
            <w:r>
              <w:rPr>
                <w:rFonts w:ascii="Calibri" w:cs="Calibri" w:eastAsia="Calibri" w:hAnsi="Calibri"/>
                <w:sz w:val="11"/>
                <w:szCs w:val="11"/>
                <w:b w:val="1"/>
                <w:bCs w:val="1"/>
                <w:color w:val="auto"/>
              </w:rPr>
              <w:t>equipment</w:t>
            </w:r>
          </w:p>
        </w:tc>
        <w:tc>
          <w:tcPr>
            <w:tcW w:w="400" w:type="dxa"/>
            <w:vAlign w:val="bottom"/>
          </w:tcPr>
          <w:p>
            <w:pPr>
              <w:spacing w:after="0"/>
              <w:rPr>
                <w:sz w:val="11"/>
                <w:szCs w:val="11"/>
                <w:color w:val="auto"/>
              </w:rPr>
            </w:pPr>
          </w:p>
        </w:tc>
        <w:tc>
          <w:tcPr>
            <w:tcW w:w="940" w:type="dxa"/>
            <w:vAlign w:val="bottom"/>
          </w:tcPr>
          <w:p>
            <w:pPr>
              <w:ind w:left="280"/>
              <w:spacing w:after="0"/>
              <w:rPr>
                <w:sz w:val="20"/>
                <w:szCs w:val="20"/>
                <w:color w:val="auto"/>
              </w:rPr>
            </w:pPr>
            <w:r>
              <w:rPr>
                <w:rFonts w:ascii="Calibri" w:cs="Calibri" w:eastAsia="Calibri" w:hAnsi="Calibri"/>
                <w:sz w:val="11"/>
                <w:szCs w:val="11"/>
                <w:b w:val="1"/>
                <w:bCs w:val="1"/>
                <w:color w:val="auto"/>
              </w:rPr>
              <w:t>Cost of sales</w:t>
            </w:r>
          </w:p>
        </w:tc>
        <w:tc>
          <w:tcPr>
            <w:tcW w:w="1360" w:type="dxa"/>
            <w:vAlign w:val="bottom"/>
            <w:gridSpan w:val="2"/>
          </w:tcPr>
          <w:p>
            <w:pPr>
              <w:jc w:val="right"/>
              <w:ind w:right="23"/>
              <w:spacing w:after="0"/>
              <w:rPr>
                <w:sz w:val="20"/>
                <w:szCs w:val="20"/>
                <w:color w:val="auto"/>
              </w:rPr>
            </w:pPr>
            <w:r>
              <w:rPr>
                <w:rFonts w:ascii="Calibri" w:cs="Calibri" w:eastAsia="Calibri" w:hAnsi="Calibri"/>
                <w:sz w:val="11"/>
                <w:szCs w:val="11"/>
                <w:b w:val="1"/>
                <w:bCs w:val="1"/>
                <w:color w:val="auto"/>
              </w:rPr>
              <w:t>administratve expenses</w:t>
            </w:r>
          </w:p>
        </w:tc>
        <w:tc>
          <w:tcPr>
            <w:tcW w:w="320" w:type="dxa"/>
            <w:vAlign w:val="bottom"/>
          </w:tcPr>
          <w:p>
            <w:pPr>
              <w:spacing w:after="0"/>
              <w:rPr>
                <w:sz w:val="11"/>
                <w:szCs w:val="11"/>
                <w:color w:val="auto"/>
              </w:rPr>
            </w:pPr>
          </w:p>
        </w:tc>
        <w:tc>
          <w:tcPr>
            <w:tcW w:w="104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Interest Expense</w:t>
            </w:r>
          </w:p>
        </w:tc>
        <w:tc>
          <w:tcPr>
            <w:tcW w:w="6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alibri" w:cs="Calibri" w:eastAsia="Calibri" w:hAnsi="Calibri"/>
                <w:sz w:val="11"/>
                <w:szCs w:val="11"/>
                <w:b w:val="1"/>
                <w:bCs w:val="1"/>
                <w:color w:val="auto"/>
              </w:rPr>
              <w:t>Total</w:t>
            </w:r>
          </w:p>
        </w:tc>
      </w:tr>
      <w:tr>
        <w:trPr>
          <w:trHeight w:val="46"/>
        </w:trPr>
        <w:tc>
          <w:tcPr>
            <w:tcW w:w="3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71"/>
        </w:trPr>
        <w:tc>
          <w:tcPr>
            <w:tcW w:w="3300" w:type="dxa"/>
            <w:vAlign w:val="bottom"/>
            <w:tcBorders>
              <w:bottom w:val="single" w:sz="8" w:color="DBDBDB"/>
            </w:tcBorders>
            <w:shd w:val="clear" w:color="auto" w:fill="DBDBDB"/>
          </w:tcPr>
          <w:p>
            <w:pPr>
              <w:spacing w:after="0"/>
              <w:rPr>
                <w:sz w:val="14"/>
                <w:szCs w:val="14"/>
                <w:color w:val="auto"/>
              </w:rPr>
            </w:pPr>
          </w:p>
        </w:tc>
        <w:tc>
          <w:tcPr>
            <w:tcW w:w="40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spacing w:after="0"/>
              <w:rPr>
                <w:sz w:val="14"/>
                <w:szCs w:val="14"/>
                <w:color w:val="auto"/>
              </w:rPr>
            </w:pPr>
          </w:p>
        </w:tc>
        <w:tc>
          <w:tcPr>
            <w:tcW w:w="400" w:type="dxa"/>
            <w:vAlign w:val="bottom"/>
            <w:tcBorders>
              <w:bottom w:val="single" w:sz="8" w:color="DBDBDB"/>
            </w:tcBorders>
            <w:shd w:val="clear" w:color="auto" w:fill="DBDBDB"/>
          </w:tcPr>
          <w:p>
            <w:pPr>
              <w:spacing w:after="0"/>
              <w:rPr>
                <w:sz w:val="14"/>
                <w:szCs w:val="14"/>
                <w:color w:val="auto"/>
              </w:rPr>
            </w:pPr>
          </w:p>
        </w:tc>
        <w:tc>
          <w:tcPr>
            <w:tcW w:w="1840" w:type="dxa"/>
            <w:vAlign w:val="bottom"/>
            <w:tcBorders>
              <w:bottom w:val="single" w:sz="8" w:color="DBDBDB"/>
            </w:tcBorders>
            <w:gridSpan w:val="2"/>
            <w:shd w:val="clear" w:color="auto" w:fill="DBDBDB"/>
          </w:tcPr>
          <w:p>
            <w:pPr>
              <w:ind w:left="280"/>
              <w:spacing w:after="0" w:line="126" w:lineRule="exact"/>
              <w:rPr>
                <w:sz w:val="20"/>
                <w:szCs w:val="20"/>
                <w:color w:val="auto"/>
              </w:rPr>
            </w:pPr>
            <w:r>
              <w:rPr>
                <w:rFonts w:ascii="Calibri" w:cs="Calibri" w:eastAsia="Calibri" w:hAnsi="Calibri"/>
                <w:sz w:val="11"/>
                <w:szCs w:val="11"/>
                <w:b w:val="1"/>
                <w:bCs w:val="1"/>
                <w:color w:val="auto"/>
              </w:rPr>
              <w:t>Year ended October 31, 2022</w:t>
            </w:r>
          </w:p>
        </w:tc>
        <w:tc>
          <w:tcPr>
            <w:tcW w:w="460" w:type="dxa"/>
            <w:vAlign w:val="bottom"/>
            <w:tcBorders>
              <w:bottom w:val="single" w:sz="8" w:color="DBDBDB"/>
            </w:tcBorders>
            <w:shd w:val="clear" w:color="auto" w:fill="DBDBDB"/>
          </w:tcPr>
          <w:p>
            <w:pPr>
              <w:spacing w:after="0"/>
              <w:rPr>
                <w:sz w:val="14"/>
                <w:szCs w:val="14"/>
                <w:color w:val="auto"/>
              </w:rPr>
            </w:pPr>
          </w:p>
        </w:tc>
        <w:tc>
          <w:tcPr>
            <w:tcW w:w="32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60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r>
      <w:tr>
        <w:trPr>
          <w:trHeight w:val="115"/>
        </w:trPr>
        <w:tc>
          <w:tcPr>
            <w:tcW w:w="3300" w:type="dxa"/>
            <w:vAlign w:val="bottom"/>
          </w:tcPr>
          <w:p>
            <w:pPr>
              <w:ind w:left="20"/>
              <w:spacing w:after="0" w:line="115" w:lineRule="exact"/>
              <w:rPr>
                <w:sz w:val="20"/>
                <w:szCs w:val="20"/>
                <w:color w:val="auto"/>
              </w:rPr>
            </w:pPr>
            <w:r>
              <w:rPr>
                <w:rFonts w:ascii="Calibri" w:cs="Calibri" w:eastAsia="Calibri" w:hAnsi="Calibri"/>
                <w:sz w:val="11"/>
                <w:szCs w:val="11"/>
                <w:b w:val="1"/>
                <w:bCs w:val="1"/>
                <w:color w:val="auto"/>
              </w:rPr>
              <w:t>Operatng leases</w:t>
            </w:r>
          </w:p>
        </w:tc>
        <w:tc>
          <w:tcPr>
            <w:tcW w:w="4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r>
      <w:tr>
        <w:trPr>
          <w:trHeight w:val="46"/>
        </w:trPr>
        <w:tc>
          <w:tcPr>
            <w:tcW w:w="3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60"/>
        </w:trPr>
        <w:tc>
          <w:tcPr>
            <w:tcW w:w="330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Lease cost</w:t>
            </w:r>
          </w:p>
        </w:tc>
        <w:tc>
          <w:tcPr>
            <w:tcW w:w="400" w:type="dxa"/>
            <w:vAlign w:val="bottom"/>
            <w:tcBorders>
              <w:bottom w:val="single" w:sz="8" w:color="DBDBDB"/>
            </w:tcBorders>
            <w:shd w:val="clear" w:color="auto" w:fill="DBDBDB"/>
          </w:tcPr>
          <w:p>
            <w:pPr>
              <w:jc w:val="right"/>
              <w:ind w:right="263"/>
              <w:spacing w:after="0"/>
              <w:rPr>
                <w:sz w:val="20"/>
                <w:szCs w:val="20"/>
                <w:color w:val="auto"/>
              </w:rPr>
            </w:pPr>
            <w:r>
              <w:rPr>
                <w:rFonts w:ascii="Calibri" w:cs="Calibri" w:eastAsia="Calibri" w:hAnsi="Calibri"/>
                <w:sz w:val="11"/>
                <w:szCs w:val="11"/>
                <w:color w:val="auto"/>
              </w:rPr>
              <w:t>$</w:t>
            </w:r>
          </w:p>
        </w:tc>
        <w:tc>
          <w:tcPr>
            <w:tcW w:w="88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0.2</w:t>
            </w:r>
          </w:p>
        </w:tc>
        <w:tc>
          <w:tcPr>
            <w:tcW w:w="26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110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DBDBDB"/>
            </w:tcBorders>
            <w:shd w:val="clear" w:color="auto" w:fill="DBDBDB"/>
          </w:tcPr>
          <w:p>
            <w:pPr>
              <w:jc w:val="right"/>
              <w:ind w:right="203"/>
              <w:spacing w:after="0"/>
              <w:rPr>
                <w:sz w:val="20"/>
                <w:szCs w:val="20"/>
                <w:color w:val="auto"/>
              </w:rPr>
            </w:pPr>
            <w:r>
              <w:rPr>
                <w:rFonts w:ascii="Calibri" w:cs="Calibri" w:eastAsia="Calibri" w:hAnsi="Calibri"/>
                <w:sz w:val="11"/>
                <w:szCs w:val="11"/>
                <w:color w:val="auto"/>
              </w:rPr>
              <w:t>$</w:t>
            </w:r>
          </w:p>
        </w:tc>
        <w:tc>
          <w:tcPr>
            <w:tcW w:w="9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6.4</w:t>
            </w:r>
          </w:p>
        </w:tc>
        <w:tc>
          <w:tcPr>
            <w:tcW w:w="900" w:type="dxa"/>
            <w:vAlign w:val="bottom"/>
            <w:tcBorders>
              <w:bottom w:val="single" w:sz="8" w:color="DBDBDB"/>
            </w:tcBorders>
            <w:shd w:val="clear" w:color="auto" w:fill="DBDBDB"/>
          </w:tcPr>
          <w:p>
            <w:pPr>
              <w:jc w:val="right"/>
              <w:ind w:right="703"/>
              <w:spacing w:after="0"/>
              <w:rPr>
                <w:sz w:val="20"/>
                <w:szCs w:val="20"/>
                <w:color w:val="auto"/>
              </w:rPr>
            </w:pPr>
            <w:r>
              <w:rPr>
                <w:rFonts w:ascii="Calibri" w:cs="Calibri" w:eastAsia="Calibri" w:hAnsi="Calibri"/>
                <w:sz w:val="11"/>
                <w:szCs w:val="11"/>
                <w:color w:val="auto"/>
              </w:rPr>
              <w:t>$</w:t>
            </w:r>
          </w:p>
        </w:tc>
        <w:tc>
          <w:tcPr>
            <w:tcW w:w="46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1.6</w:t>
            </w:r>
          </w:p>
        </w:tc>
        <w:tc>
          <w:tcPr>
            <w:tcW w:w="32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10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Borders>
              <w:bottom w:val="single" w:sz="8" w:color="DBDBDB"/>
            </w:tcBorders>
            <w:shd w:val="clear" w:color="auto" w:fill="DBDBDB"/>
          </w:tcPr>
          <w:p>
            <w:pPr>
              <w:jc w:val="right"/>
              <w:ind w:right="40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8.2</w:t>
            </w:r>
          </w:p>
        </w:tc>
      </w:tr>
      <w:tr>
        <w:trPr>
          <w:trHeight w:val="135"/>
        </w:trPr>
        <w:tc>
          <w:tcPr>
            <w:tcW w:w="3300" w:type="dxa"/>
            <w:vAlign w:val="bottom"/>
          </w:tcPr>
          <w:p>
            <w:pPr>
              <w:ind w:left="280"/>
              <w:spacing w:after="0"/>
              <w:rPr>
                <w:sz w:val="20"/>
                <w:szCs w:val="20"/>
                <w:color w:val="auto"/>
              </w:rPr>
            </w:pPr>
            <w:r>
              <w:rPr>
                <w:rFonts w:ascii="Calibri" w:cs="Calibri" w:eastAsia="Calibri" w:hAnsi="Calibri"/>
                <w:sz w:val="11"/>
                <w:szCs w:val="11"/>
                <w:color w:val="auto"/>
              </w:rPr>
              <w:t>Variable lease cost</w:t>
            </w:r>
          </w:p>
        </w:tc>
        <w:tc>
          <w:tcPr>
            <w:tcW w:w="400" w:type="dxa"/>
            <w:vAlign w:val="bottom"/>
          </w:tcPr>
          <w:p>
            <w:pPr>
              <w:spacing w:after="0"/>
              <w:rPr>
                <w:sz w:val="11"/>
                <w:szCs w:val="11"/>
                <w:color w:val="auto"/>
              </w:rPr>
            </w:pPr>
          </w:p>
        </w:tc>
        <w:tc>
          <w:tcPr>
            <w:tcW w:w="88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260" w:type="dxa"/>
            <w:vAlign w:val="bottom"/>
          </w:tcPr>
          <w:p>
            <w:pPr>
              <w:spacing w:after="0"/>
              <w:rPr>
                <w:sz w:val="11"/>
                <w:szCs w:val="11"/>
                <w:color w:val="auto"/>
              </w:rPr>
            </w:pPr>
          </w:p>
        </w:tc>
        <w:tc>
          <w:tcPr>
            <w:tcW w:w="110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auto"/>
              </w:rPr>
              <w:t>1.9</w:t>
            </w:r>
          </w:p>
        </w:tc>
        <w:tc>
          <w:tcPr>
            <w:tcW w:w="900" w:type="dxa"/>
            <w:vAlign w:val="bottom"/>
          </w:tcPr>
          <w:p>
            <w:pPr>
              <w:spacing w:after="0"/>
              <w:rPr>
                <w:sz w:val="11"/>
                <w:szCs w:val="11"/>
                <w:color w:val="auto"/>
              </w:rPr>
            </w:pPr>
          </w:p>
        </w:tc>
        <w:tc>
          <w:tcPr>
            <w:tcW w:w="46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320" w:type="dxa"/>
            <w:vAlign w:val="bottom"/>
          </w:tcPr>
          <w:p>
            <w:pPr>
              <w:spacing w:after="0"/>
              <w:rPr>
                <w:sz w:val="11"/>
                <w:szCs w:val="11"/>
                <w:color w:val="auto"/>
              </w:rPr>
            </w:pP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alibri" w:cs="Calibri" w:eastAsia="Calibri" w:hAnsi="Calibri"/>
                <w:sz w:val="11"/>
                <w:szCs w:val="11"/>
                <w:color w:val="auto"/>
              </w:rPr>
              <w:t>1.9</w:t>
            </w:r>
          </w:p>
        </w:tc>
      </w:tr>
      <w:tr>
        <w:trPr>
          <w:trHeight w:val="46"/>
        </w:trPr>
        <w:tc>
          <w:tcPr>
            <w:tcW w:w="3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60"/>
        </w:trPr>
        <w:tc>
          <w:tcPr>
            <w:tcW w:w="330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Short-term lease cost</w:t>
            </w:r>
          </w:p>
        </w:tc>
        <w:tc>
          <w:tcPr>
            <w:tcW w:w="4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1.9</w:t>
            </w:r>
          </w:p>
        </w:tc>
        <w:tc>
          <w:tcPr>
            <w:tcW w:w="260" w:type="dxa"/>
            <w:vAlign w:val="bottom"/>
            <w:tcBorders>
              <w:bottom w:val="single" w:sz="8" w:color="DBDBDB"/>
            </w:tcBorders>
            <w:shd w:val="clear" w:color="auto" w:fill="DBDBDB"/>
          </w:tcPr>
          <w:p>
            <w:pPr>
              <w:spacing w:after="0"/>
              <w:rPr>
                <w:sz w:val="13"/>
                <w:szCs w:val="13"/>
                <w:color w:val="auto"/>
              </w:rPr>
            </w:pPr>
          </w:p>
        </w:tc>
        <w:tc>
          <w:tcPr>
            <w:tcW w:w="110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3.5</w:t>
            </w:r>
          </w:p>
        </w:tc>
        <w:tc>
          <w:tcPr>
            <w:tcW w:w="40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11.5</w:t>
            </w:r>
          </w:p>
        </w:tc>
        <w:tc>
          <w:tcPr>
            <w:tcW w:w="900" w:type="dxa"/>
            <w:vAlign w:val="bottom"/>
            <w:tcBorders>
              <w:bottom w:val="single" w:sz="8" w:color="DBDBDB"/>
            </w:tcBorders>
            <w:shd w:val="clear" w:color="auto" w:fill="DBDBDB"/>
          </w:tcPr>
          <w:p>
            <w:pPr>
              <w:spacing w:after="0"/>
              <w:rPr>
                <w:sz w:val="13"/>
                <w:szCs w:val="13"/>
                <w:color w:val="auto"/>
              </w:rPr>
            </w:pPr>
          </w:p>
        </w:tc>
        <w:tc>
          <w:tcPr>
            <w:tcW w:w="46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1.0</w:t>
            </w:r>
          </w:p>
        </w:tc>
        <w:tc>
          <w:tcPr>
            <w:tcW w:w="32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17.9</w:t>
            </w:r>
          </w:p>
        </w:tc>
      </w:tr>
      <w:tr>
        <w:trPr>
          <w:trHeight w:val="135"/>
        </w:trPr>
        <w:tc>
          <w:tcPr>
            <w:tcW w:w="3300" w:type="dxa"/>
            <w:vAlign w:val="bottom"/>
          </w:tcPr>
          <w:p>
            <w:pPr>
              <w:ind w:left="20"/>
              <w:spacing w:after="0"/>
              <w:rPr>
                <w:sz w:val="20"/>
                <w:szCs w:val="20"/>
                <w:color w:val="auto"/>
              </w:rPr>
            </w:pPr>
            <w:r>
              <w:rPr>
                <w:rFonts w:ascii="Calibri" w:cs="Calibri" w:eastAsia="Calibri" w:hAnsi="Calibri"/>
                <w:sz w:val="11"/>
                <w:szCs w:val="11"/>
                <w:b w:val="1"/>
                <w:bCs w:val="1"/>
                <w:color w:val="auto"/>
              </w:rPr>
              <w:t>Finance leases</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46"/>
        </w:trPr>
        <w:tc>
          <w:tcPr>
            <w:tcW w:w="3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60"/>
        </w:trPr>
        <w:tc>
          <w:tcPr>
            <w:tcW w:w="330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Amortzaton of right-of-use assets</w:t>
            </w:r>
          </w:p>
        </w:tc>
        <w:tc>
          <w:tcPr>
            <w:tcW w:w="4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260" w:type="dxa"/>
            <w:vAlign w:val="bottom"/>
            <w:tcBorders>
              <w:bottom w:val="single" w:sz="8" w:color="DBDBDB"/>
            </w:tcBorders>
            <w:shd w:val="clear" w:color="auto" w:fill="DBDBDB"/>
          </w:tcPr>
          <w:p>
            <w:pPr>
              <w:spacing w:after="0"/>
              <w:rPr>
                <w:sz w:val="13"/>
                <w:szCs w:val="13"/>
                <w:color w:val="auto"/>
              </w:rPr>
            </w:pPr>
          </w:p>
        </w:tc>
        <w:tc>
          <w:tcPr>
            <w:tcW w:w="110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0.5</w:t>
            </w:r>
          </w:p>
        </w:tc>
        <w:tc>
          <w:tcPr>
            <w:tcW w:w="900" w:type="dxa"/>
            <w:vAlign w:val="bottom"/>
            <w:tcBorders>
              <w:bottom w:val="single" w:sz="8" w:color="DBDBDB"/>
            </w:tcBorders>
            <w:shd w:val="clear" w:color="auto" w:fill="DBDBDB"/>
          </w:tcPr>
          <w:p>
            <w:pPr>
              <w:spacing w:after="0"/>
              <w:rPr>
                <w:sz w:val="13"/>
                <w:szCs w:val="13"/>
                <w:color w:val="auto"/>
              </w:rPr>
            </w:pPr>
          </w:p>
        </w:tc>
        <w:tc>
          <w:tcPr>
            <w:tcW w:w="46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0.2</w:t>
            </w:r>
          </w:p>
        </w:tc>
        <w:tc>
          <w:tcPr>
            <w:tcW w:w="32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0.7</w:t>
            </w:r>
          </w:p>
        </w:tc>
      </w:tr>
      <w:tr>
        <w:trPr>
          <w:trHeight w:val="135"/>
        </w:trPr>
        <w:tc>
          <w:tcPr>
            <w:tcW w:w="3300" w:type="dxa"/>
            <w:vAlign w:val="bottom"/>
          </w:tcPr>
          <w:p>
            <w:pPr>
              <w:ind w:left="280"/>
              <w:spacing w:after="0"/>
              <w:rPr>
                <w:sz w:val="20"/>
                <w:szCs w:val="20"/>
                <w:color w:val="auto"/>
              </w:rPr>
            </w:pPr>
            <w:r>
              <w:rPr>
                <w:rFonts w:ascii="Calibri" w:cs="Calibri" w:eastAsia="Calibri" w:hAnsi="Calibri"/>
                <w:sz w:val="11"/>
                <w:szCs w:val="11"/>
                <w:color w:val="auto"/>
              </w:rPr>
              <w:t>Interest on lease liabilites</w:t>
            </w:r>
          </w:p>
        </w:tc>
        <w:tc>
          <w:tcPr>
            <w:tcW w:w="400" w:type="dxa"/>
            <w:vAlign w:val="bottom"/>
          </w:tcPr>
          <w:p>
            <w:pPr>
              <w:spacing w:after="0"/>
              <w:rPr>
                <w:sz w:val="11"/>
                <w:szCs w:val="11"/>
                <w:color w:val="auto"/>
              </w:rPr>
            </w:pPr>
          </w:p>
        </w:tc>
        <w:tc>
          <w:tcPr>
            <w:tcW w:w="88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260" w:type="dxa"/>
            <w:vAlign w:val="bottom"/>
          </w:tcPr>
          <w:p>
            <w:pPr>
              <w:spacing w:after="0"/>
              <w:rPr>
                <w:sz w:val="11"/>
                <w:szCs w:val="11"/>
                <w:color w:val="auto"/>
              </w:rPr>
            </w:pPr>
          </w:p>
        </w:tc>
        <w:tc>
          <w:tcPr>
            <w:tcW w:w="110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900" w:type="dxa"/>
            <w:vAlign w:val="bottom"/>
          </w:tcPr>
          <w:p>
            <w:pPr>
              <w:spacing w:after="0"/>
              <w:rPr>
                <w:sz w:val="11"/>
                <w:szCs w:val="11"/>
                <w:color w:val="auto"/>
              </w:rPr>
            </w:pPr>
          </w:p>
        </w:tc>
        <w:tc>
          <w:tcPr>
            <w:tcW w:w="46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320" w:type="dxa"/>
            <w:vAlign w:val="bottom"/>
          </w:tcPr>
          <w:p>
            <w:pPr>
              <w:spacing w:after="0"/>
              <w:rPr>
                <w:sz w:val="11"/>
                <w:szCs w:val="11"/>
                <w:color w:val="auto"/>
              </w:rPr>
            </w:pP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auto"/>
              </w:rPr>
              <w:t>0.2</w:t>
            </w:r>
          </w:p>
        </w:tc>
        <w:tc>
          <w:tcPr>
            <w:tcW w:w="6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alibri" w:cs="Calibri" w:eastAsia="Calibri" w:hAnsi="Calibri"/>
                <w:sz w:val="11"/>
                <w:szCs w:val="11"/>
                <w:color w:val="auto"/>
              </w:rPr>
              <w:t>0.2</w:t>
            </w:r>
          </w:p>
        </w:tc>
      </w:tr>
      <w:tr>
        <w:trPr>
          <w:trHeight w:val="46"/>
        </w:trPr>
        <w:tc>
          <w:tcPr>
            <w:tcW w:w="3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51"/>
        </w:trPr>
        <w:tc>
          <w:tcPr>
            <w:tcW w:w="33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lease cost</w:t>
            </w:r>
          </w:p>
        </w:tc>
        <w:tc>
          <w:tcPr>
            <w:tcW w:w="400" w:type="dxa"/>
            <w:vAlign w:val="bottom"/>
            <w:tcBorders>
              <w:bottom w:val="single" w:sz="8" w:color="DBDBDB"/>
            </w:tcBorders>
            <w:shd w:val="clear" w:color="auto" w:fill="DBDBDB"/>
          </w:tcPr>
          <w:p>
            <w:pPr>
              <w:jc w:val="right"/>
              <w:ind w:right="263"/>
              <w:spacing w:after="0" w:line="126" w:lineRule="exact"/>
              <w:rPr>
                <w:sz w:val="20"/>
                <w:szCs w:val="20"/>
                <w:color w:val="auto"/>
              </w:rPr>
            </w:pPr>
            <w:r>
              <w:rPr>
                <w:rFonts w:ascii="Calibri" w:cs="Calibri" w:eastAsia="Calibri" w:hAnsi="Calibri"/>
                <w:sz w:val="11"/>
                <w:szCs w:val="11"/>
                <w:color w:val="auto"/>
              </w:rPr>
              <w:t>$</w:t>
            </w:r>
          </w:p>
        </w:tc>
        <w:tc>
          <w:tcPr>
            <w:tcW w:w="88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2.1</w:t>
            </w:r>
          </w:p>
        </w:tc>
        <w:tc>
          <w:tcPr>
            <w:tcW w:w="26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w:t>
            </w:r>
          </w:p>
        </w:tc>
        <w:tc>
          <w:tcPr>
            <w:tcW w:w="110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3.5</w:t>
            </w:r>
          </w:p>
        </w:tc>
        <w:tc>
          <w:tcPr>
            <w:tcW w:w="400" w:type="dxa"/>
            <w:vAlign w:val="bottom"/>
            <w:tcBorders>
              <w:bottom w:val="single" w:sz="8" w:color="DBDBDB"/>
            </w:tcBorders>
            <w:shd w:val="clear" w:color="auto" w:fill="DBDBDB"/>
          </w:tcPr>
          <w:p>
            <w:pPr>
              <w:jc w:val="right"/>
              <w:ind w:right="2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20.3</w:t>
            </w:r>
          </w:p>
        </w:tc>
        <w:tc>
          <w:tcPr>
            <w:tcW w:w="900" w:type="dxa"/>
            <w:vAlign w:val="bottom"/>
            <w:tcBorders>
              <w:bottom w:val="single" w:sz="8" w:color="DBDBDB"/>
            </w:tcBorders>
            <w:shd w:val="clear" w:color="auto" w:fill="DBDBDB"/>
          </w:tcPr>
          <w:p>
            <w:pPr>
              <w:jc w:val="right"/>
              <w:ind w:right="703"/>
              <w:spacing w:after="0" w:line="126" w:lineRule="exact"/>
              <w:rPr>
                <w:sz w:val="20"/>
                <w:szCs w:val="20"/>
                <w:color w:val="auto"/>
              </w:rPr>
            </w:pPr>
            <w:r>
              <w:rPr>
                <w:rFonts w:ascii="Calibri" w:cs="Calibri" w:eastAsia="Calibri" w:hAnsi="Calibri"/>
                <w:sz w:val="11"/>
                <w:szCs w:val="11"/>
                <w:color w:val="auto"/>
              </w:rPr>
              <w:t>$</w:t>
            </w:r>
          </w:p>
        </w:tc>
        <w:tc>
          <w:tcPr>
            <w:tcW w:w="46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2.8</w:t>
            </w:r>
          </w:p>
        </w:tc>
        <w:tc>
          <w:tcPr>
            <w:tcW w:w="32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w:t>
            </w:r>
          </w:p>
        </w:tc>
        <w:tc>
          <w:tcPr>
            <w:tcW w:w="104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0.2</w:t>
            </w:r>
          </w:p>
        </w:tc>
        <w:tc>
          <w:tcPr>
            <w:tcW w:w="60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28.9</w:t>
            </w:r>
          </w:p>
        </w:tc>
      </w:tr>
      <w:tr>
        <w:trPr>
          <w:trHeight w:val="135"/>
        </w:trPr>
        <w:tc>
          <w:tcPr>
            <w:tcW w:w="3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2"/>
          </w:tcPr>
          <w:p>
            <w:pPr>
              <w:ind w:left="280"/>
              <w:spacing w:after="0"/>
              <w:rPr>
                <w:sz w:val="20"/>
                <w:szCs w:val="20"/>
                <w:color w:val="auto"/>
              </w:rPr>
            </w:pPr>
            <w:r>
              <w:rPr>
                <w:rFonts w:ascii="Calibri" w:cs="Calibri" w:eastAsia="Calibri" w:hAnsi="Calibri"/>
                <w:sz w:val="11"/>
                <w:szCs w:val="11"/>
                <w:b w:val="1"/>
                <w:bCs w:val="1"/>
                <w:color w:val="auto"/>
              </w:rPr>
              <w:t>Year ended October 31, 2021</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46"/>
        </w:trPr>
        <w:tc>
          <w:tcPr>
            <w:tcW w:w="3300" w:type="dxa"/>
            <w:vAlign w:val="bottom"/>
            <w:tcBorders>
              <w:bottom w:val="single" w:sz="8" w:color="DBDBDB"/>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40"/>
        </w:trPr>
        <w:tc>
          <w:tcPr>
            <w:tcW w:w="3300" w:type="dxa"/>
            <w:vAlign w:val="bottom"/>
            <w:tcBorders>
              <w:bottom w:val="single" w:sz="8" w:color="DBDBDB"/>
            </w:tcBorders>
            <w:shd w:val="clear" w:color="auto" w:fill="DBDBDB"/>
          </w:tcPr>
          <w:p>
            <w:pPr>
              <w:ind w:left="20"/>
              <w:spacing w:after="0" w:line="115" w:lineRule="exact"/>
              <w:rPr>
                <w:sz w:val="20"/>
                <w:szCs w:val="20"/>
                <w:color w:val="auto"/>
              </w:rPr>
            </w:pPr>
            <w:r>
              <w:rPr>
                <w:rFonts w:ascii="Calibri" w:cs="Calibri" w:eastAsia="Calibri" w:hAnsi="Calibri"/>
                <w:sz w:val="11"/>
                <w:szCs w:val="11"/>
                <w:b w:val="1"/>
                <w:bCs w:val="1"/>
                <w:color w:val="auto"/>
              </w:rPr>
              <w:t>Operatng leases</w:t>
            </w:r>
          </w:p>
        </w:tc>
        <w:tc>
          <w:tcPr>
            <w:tcW w:w="400" w:type="dxa"/>
            <w:vAlign w:val="bottom"/>
            <w:tcBorders>
              <w:bottom w:val="single" w:sz="8" w:color="DBDBDB"/>
            </w:tcBorders>
            <w:shd w:val="clear" w:color="auto" w:fill="DBDBDB"/>
          </w:tcPr>
          <w:p>
            <w:pPr>
              <w:spacing w:after="0"/>
              <w:rPr>
                <w:sz w:val="12"/>
                <w:szCs w:val="12"/>
                <w:color w:val="auto"/>
              </w:rPr>
            </w:pPr>
          </w:p>
        </w:tc>
        <w:tc>
          <w:tcPr>
            <w:tcW w:w="880" w:type="dxa"/>
            <w:vAlign w:val="bottom"/>
            <w:tcBorders>
              <w:bottom w:val="single" w:sz="8" w:color="DBDBDB"/>
            </w:tcBorders>
            <w:shd w:val="clear" w:color="auto" w:fill="DBDBDB"/>
          </w:tcPr>
          <w:p>
            <w:pPr>
              <w:spacing w:after="0"/>
              <w:rPr>
                <w:sz w:val="12"/>
                <w:szCs w:val="12"/>
                <w:color w:val="auto"/>
              </w:rPr>
            </w:pPr>
          </w:p>
        </w:tc>
        <w:tc>
          <w:tcPr>
            <w:tcW w:w="260" w:type="dxa"/>
            <w:vAlign w:val="bottom"/>
            <w:tcBorders>
              <w:bottom w:val="single" w:sz="8" w:color="DBDBDB"/>
            </w:tcBorders>
            <w:shd w:val="clear" w:color="auto" w:fill="DBDBDB"/>
          </w:tcPr>
          <w:p>
            <w:pPr>
              <w:spacing w:after="0"/>
              <w:rPr>
                <w:sz w:val="12"/>
                <w:szCs w:val="12"/>
                <w:color w:val="auto"/>
              </w:rPr>
            </w:pPr>
          </w:p>
        </w:tc>
        <w:tc>
          <w:tcPr>
            <w:tcW w:w="1100" w:type="dxa"/>
            <w:vAlign w:val="bottom"/>
            <w:tcBorders>
              <w:bottom w:val="single" w:sz="8" w:color="DBDBDB"/>
            </w:tcBorders>
            <w:shd w:val="clear" w:color="auto" w:fill="DBDBDB"/>
          </w:tcPr>
          <w:p>
            <w:pPr>
              <w:spacing w:after="0"/>
              <w:rPr>
                <w:sz w:val="12"/>
                <w:szCs w:val="12"/>
                <w:color w:val="auto"/>
              </w:rPr>
            </w:pPr>
          </w:p>
        </w:tc>
        <w:tc>
          <w:tcPr>
            <w:tcW w:w="40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spacing w:after="0"/>
              <w:rPr>
                <w:sz w:val="12"/>
                <w:szCs w:val="12"/>
                <w:color w:val="auto"/>
              </w:rPr>
            </w:pPr>
          </w:p>
        </w:tc>
        <w:tc>
          <w:tcPr>
            <w:tcW w:w="460" w:type="dxa"/>
            <w:vAlign w:val="bottom"/>
            <w:tcBorders>
              <w:bottom w:val="single" w:sz="8" w:color="DBDBDB"/>
            </w:tcBorders>
            <w:shd w:val="clear" w:color="auto" w:fill="DBDBDB"/>
          </w:tcPr>
          <w:p>
            <w:pPr>
              <w:spacing w:after="0"/>
              <w:rPr>
                <w:sz w:val="12"/>
                <w:szCs w:val="12"/>
                <w:color w:val="auto"/>
              </w:rPr>
            </w:pPr>
          </w:p>
        </w:tc>
        <w:tc>
          <w:tcPr>
            <w:tcW w:w="320" w:type="dxa"/>
            <w:vAlign w:val="bottom"/>
            <w:tcBorders>
              <w:bottom w:val="single" w:sz="8" w:color="DBDBDB"/>
            </w:tcBorders>
            <w:shd w:val="clear" w:color="auto" w:fill="DBDBDB"/>
          </w:tcPr>
          <w:p>
            <w:pPr>
              <w:spacing w:after="0"/>
              <w:rPr>
                <w:sz w:val="12"/>
                <w:szCs w:val="12"/>
                <w:color w:val="auto"/>
              </w:rPr>
            </w:pPr>
          </w:p>
        </w:tc>
        <w:tc>
          <w:tcPr>
            <w:tcW w:w="1040" w:type="dxa"/>
            <w:vAlign w:val="bottom"/>
            <w:tcBorders>
              <w:bottom w:val="single" w:sz="8" w:color="DBDBDB"/>
            </w:tcBorders>
            <w:shd w:val="clear" w:color="auto" w:fill="DBDBDB"/>
          </w:tcPr>
          <w:p>
            <w:pPr>
              <w:spacing w:after="0"/>
              <w:rPr>
                <w:sz w:val="12"/>
                <w:szCs w:val="12"/>
                <w:color w:val="auto"/>
              </w:rPr>
            </w:pPr>
          </w:p>
        </w:tc>
        <w:tc>
          <w:tcPr>
            <w:tcW w:w="600" w:type="dxa"/>
            <w:vAlign w:val="bottom"/>
            <w:tcBorders>
              <w:bottom w:val="single" w:sz="8" w:color="DBDBDB"/>
            </w:tcBorders>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spacing w:after="0"/>
              <w:rPr>
                <w:sz w:val="12"/>
                <w:szCs w:val="12"/>
                <w:color w:val="auto"/>
              </w:rPr>
            </w:pPr>
          </w:p>
        </w:tc>
      </w:tr>
      <w:tr>
        <w:trPr>
          <w:trHeight w:val="135"/>
        </w:trPr>
        <w:tc>
          <w:tcPr>
            <w:tcW w:w="3300" w:type="dxa"/>
            <w:vAlign w:val="bottom"/>
          </w:tcPr>
          <w:p>
            <w:pPr>
              <w:ind w:left="280"/>
              <w:spacing w:after="0"/>
              <w:rPr>
                <w:sz w:val="20"/>
                <w:szCs w:val="20"/>
                <w:color w:val="auto"/>
              </w:rPr>
            </w:pPr>
            <w:r>
              <w:rPr>
                <w:rFonts w:ascii="Calibri" w:cs="Calibri" w:eastAsia="Calibri" w:hAnsi="Calibri"/>
                <w:sz w:val="11"/>
                <w:szCs w:val="11"/>
                <w:color w:val="auto"/>
              </w:rPr>
              <w:t>Lease cost</w:t>
            </w:r>
          </w:p>
        </w:tc>
        <w:tc>
          <w:tcPr>
            <w:tcW w:w="400" w:type="dxa"/>
            <w:vAlign w:val="bottom"/>
          </w:tcPr>
          <w:p>
            <w:pPr>
              <w:jc w:val="right"/>
              <w:ind w:right="263"/>
              <w:spacing w:after="0"/>
              <w:rPr>
                <w:sz w:val="20"/>
                <w:szCs w:val="20"/>
                <w:color w:val="auto"/>
              </w:rPr>
            </w:pPr>
            <w:r>
              <w:rPr>
                <w:rFonts w:ascii="Calibri" w:cs="Calibri" w:eastAsia="Calibri" w:hAnsi="Calibri"/>
                <w:sz w:val="11"/>
                <w:szCs w:val="11"/>
                <w:color w:val="auto"/>
              </w:rPr>
              <w:t>$</w:t>
            </w:r>
          </w:p>
        </w:tc>
        <w:tc>
          <w:tcPr>
            <w:tcW w:w="88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26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110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400" w:type="dxa"/>
            <w:vAlign w:val="bottom"/>
          </w:tcPr>
          <w:p>
            <w:pPr>
              <w:jc w:val="right"/>
              <w:ind w:right="203"/>
              <w:spacing w:after="0"/>
              <w:rPr>
                <w:sz w:val="20"/>
                <w:szCs w:val="20"/>
                <w:color w:val="auto"/>
              </w:rPr>
            </w:pPr>
            <w:r>
              <w:rPr>
                <w:rFonts w:ascii="Calibri" w:cs="Calibri" w:eastAsia="Calibri" w:hAnsi="Calibri"/>
                <w:sz w:val="11"/>
                <w:szCs w:val="11"/>
                <w:color w:val="auto"/>
              </w:rPr>
              <w:t>$</w:t>
            </w:r>
          </w:p>
        </w:tc>
        <w:tc>
          <w:tcPr>
            <w:tcW w:w="940" w:type="dxa"/>
            <w:vAlign w:val="bottom"/>
          </w:tcPr>
          <w:p>
            <w:pPr>
              <w:jc w:val="right"/>
              <w:ind w:right="63"/>
              <w:spacing w:after="0"/>
              <w:rPr>
                <w:sz w:val="20"/>
                <w:szCs w:val="20"/>
                <w:color w:val="auto"/>
              </w:rPr>
            </w:pPr>
            <w:r>
              <w:rPr>
                <w:rFonts w:ascii="Calibri" w:cs="Calibri" w:eastAsia="Calibri" w:hAnsi="Calibri"/>
                <w:sz w:val="11"/>
                <w:szCs w:val="11"/>
                <w:color w:val="auto"/>
              </w:rPr>
              <w:t>3.9</w:t>
            </w:r>
          </w:p>
        </w:tc>
        <w:tc>
          <w:tcPr>
            <w:tcW w:w="900" w:type="dxa"/>
            <w:vAlign w:val="bottom"/>
          </w:tcPr>
          <w:p>
            <w:pPr>
              <w:jc w:val="right"/>
              <w:ind w:right="703"/>
              <w:spacing w:after="0"/>
              <w:rPr>
                <w:sz w:val="20"/>
                <w:szCs w:val="20"/>
                <w:color w:val="auto"/>
              </w:rPr>
            </w:pPr>
            <w:r>
              <w:rPr>
                <w:rFonts w:ascii="Calibri" w:cs="Calibri" w:eastAsia="Calibri" w:hAnsi="Calibri"/>
                <w:sz w:val="11"/>
                <w:szCs w:val="11"/>
                <w:color w:val="auto"/>
              </w:rPr>
              <w:t>$</w:t>
            </w:r>
          </w:p>
        </w:tc>
        <w:tc>
          <w:tcPr>
            <w:tcW w:w="460" w:type="dxa"/>
            <w:vAlign w:val="bottom"/>
          </w:tcPr>
          <w:p>
            <w:pPr>
              <w:jc w:val="right"/>
              <w:ind w:right="63"/>
              <w:spacing w:after="0"/>
              <w:rPr>
                <w:sz w:val="20"/>
                <w:szCs w:val="20"/>
                <w:color w:val="auto"/>
              </w:rPr>
            </w:pPr>
            <w:r>
              <w:rPr>
                <w:rFonts w:ascii="Calibri" w:cs="Calibri" w:eastAsia="Calibri" w:hAnsi="Calibri"/>
                <w:sz w:val="11"/>
                <w:szCs w:val="11"/>
                <w:color w:val="auto"/>
              </w:rPr>
              <w:t>2.6</w:t>
            </w:r>
          </w:p>
        </w:tc>
        <w:tc>
          <w:tcPr>
            <w:tcW w:w="32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Pr>
          <w:p>
            <w:pPr>
              <w:jc w:val="right"/>
              <w:ind w:right="403"/>
              <w:spacing w:after="0"/>
              <w:rPr>
                <w:sz w:val="20"/>
                <w:szCs w:val="20"/>
                <w:color w:val="auto"/>
              </w:rPr>
            </w:pPr>
            <w:r>
              <w:rPr>
                <w:rFonts w:ascii="Calibri" w:cs="Calibri" w:eastAsia="Calibri" w:hAnsi="Calibri"/>
                <w:sz w:val="11"/>
                <w:szCs w:val="11"/>
                <w:color w:val="auto"/>
              </w:rPr>
              <w:t>$</w:t>
            </w:r>
          </w:p>
        </w:tc>
        <w:tc>
          <w:tcPr>
            <w:tcW w:w="680" w:type="dxa"/>
            <w:vAlign w:val="bottom"/>
          </w:tcPr>
          <w:p>
            <w:pPr>
              <w:jc w:val="right"/>
              <w:spacing w:after="0"/>
              <w:rPr>
                <w:sz w:val="20"/>
                <w:szCs w:val="20"/>
                <w:color w:val="auto"/>
              </w:rPr>
            </w:pPr>
            <w:r>
              <w:rPr>
                <w:rFonts w:ascii="Calibri" w:cs="Calibri" w:eastAsia="Calibri" w:hAnsi="Calibri"/>
                <w:sz w:val="11"/>
                <w:szCs w:val="11"/>
                <w:color w:val="auto"/>
              </w:rPr>
              <w:t>6.5</w:t>
            </w:r>
          </w:p>
        </w:tc>
      </w:tr>
      <w:tr>
        <w:trPr>
          <w:trHeight w:val="46"/>
        </w:trPr>
        <w:tc>
          <w:tcPr>
            <w:tcW w:w="3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60"/>
        </w:trPr>
        <w:tc>
          <w:tcPr>
            <w:tcW w:w="330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Variable lease cost</w:t>
            </w:r>
          </w:p>
        </w:tc>
        <w:tc>
          <w:tcPr>
            <w:tcW w:w="4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260" w:type="dxa"/>
            <w:vAlign w:val="bottom"/>
            <w:tcBorders>
              <w:bottom w:val="single" w:sz="8" w:color="DBDBDB"/>
            </w:tcBorders>
            <w:shd w:val="clear" w:color="auto" w:fill="DBDBDB"/>
          </w:tcPr>
          <w:p>
            <w:pPr>
              <w:spacing w:after="0"/>
              <w:rPr>
                <w:sz w:val="13"/>
                <w:szCs w:val="13"/>
                <w:color w:val="auto"/>
              </w:rPr>
            </w:pPr>
          </w:p>
        </w:tc>
        <w:tc>
          <w:tcPr>
            <w:tcW w:w="110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0.8</w:t>
            </w:r>
          </w:p>
        </w:tc>
        <w:tc>
          <w:tcPr>
            <w:tcW w:w="900" w:type="dxa"/>
            <w:vAlign w:val="bottom"/>
            <w:tcBorders>
              <w:bottom w:val="single" w:sz="8" w:color="DBDBDB"/>
            </w:tcBorders>
            <w:shd w:val="clear" w:color="auto" w:fill="DBDBDB"/>
          </w:tcPr>
          <w:p>
            <w:pPr>
              <w:spacing w:after="0"/>
              <w:rPr>
                <w:sz w:val="13"/>
                <w:szCs w:val="13"/>
                <w:color w:val="auto"/>
              </w:rPr>
            </w:pPr>
          </w:p>
        </w:tc>
        <w:tc>
          <w:tcPr>
            <w:tcW w:w="46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0.1</w:t>
            </w:r>
          </w:p>
        </w:tc>
        <w:tc>
          <w:tcPr>
            <w:tcW w:w="32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0.9</w:t>
            </w:r>
          </w:p>
        </w:tc>
      </w:tr>
      <w:tr>
        <w:trPr>
          <w:trHeight w:val="135"/>
        </w:trPr>
        <w:tc>
          <w:tcPr>
            <w:tcW w:w="3300" w:type="dxa"/>
            <w:vAlign w:val="bottom"/>
          </w:tcPr>
          <w:p>
            <w:pPr>
              <w:ind w:left="280"/>
              <w:spacing w:after="0"/>
              <w:rPr>
                <w:sz w:val="20"/>
                <w:szCs w:val="20"/>
                <w:color w:val="auto"/>
              </w:rPr>
            </w:pPr>
            <w:r>
              <w:rPr>
                <w:rFonts w:ascii="Calibri" w:cs="Calibri" w:eastAsia="Calibri" w:hAnsi="Calibri"/>
                <w:sz w:val="11"/>
                <w:szCs w:val="11"/>
                <w:color w:val="auto"/>
              </w:rPr>
              <w:t>Short-term lease cost</w:t>
            </w:r>
          </w:p>
        </w:tc>
        <w:tc>
          <w:tcPr>
            <w:tcW w:w="400" w:type="dxa"/>
            <w:vAlign w:val="bottom"/>
          </w:tcPr>
          <w:p>
            <w:pPr>
              <w:spacing w:after="0"/>
              <w:rPr>
                <w:sz w:val="11"/>
                <w:szCs w:val="11"/>
                <w:color w:val="auto"/>
              </w:rPr>
            </w:pPr>
          </w:p>
        </w:tc>
        <w:tc>
          <w:tcPr>
            <w:tcW w:w="880" w:type="dxa"/>
            <w:vAlign w:val="bottom"/>
          </w:tcPr>
          <w:p>
            <w:pPr>
              <w:jc w:val="right"/>
              <w:ind w:right="63"/>
              <w:spacing w:after="0"/>
              <w:rPr>
                <w:sz w:val="20"/>
                <w:szCs w:val="20"/>
                <w:color w:val="auto"/>
              </w:rPr>
            </w:pPr>
            <w:r>
              <w:rPr>
                <w:rFonts w:ascii="Calibri" w:cs="Calibri" w:eastAsia="Calibri" w:hAnsi="Calibri"/>
                <w:sz w:val="11"/>
                <w:szCs w:val="11"/>
                <w:color w:val="auto"/>
              </w:rPr>
              <w:t>1.3</w:t>
            </w:r>
          </w:p>
        </w:tc>
        <w:tc>
          <w:tcPr>
            <w:tcW w:w="260" w:type="dxa"/>
            <w:vAlign w:val="bottom"/>
          </w:tcPr>
          <w:p>
            <w:pPr>
              <w:spacing w:after="0"/>
              <w:rPr>
                <w:sz w:val="11"/>
                <w:szCs w:val="11"/>
                <w:color w:val="auto"/>
              </w:rPr>
            </w:pPr>
          </w:p>
        </w:tc>
        <w:tc>
          <w:tcPr>
            <w:tcW w:w="1100" w:type="dxa"/>
            <w:vAlign w:val="bottom"/>
          </w:tcPr>
          <w:p>
            <w:pPr>
              <w:jc w:val="right"/>
              <w:ind w:right="63"/>
              <w:spacing w:after="0"/>
              <w:rPr>
                <w:sz w:val="20"/>
                <w:szCs w:val="20"/>
                <w:color w:val="auto"/>
              </w:rPr>
            </w:pPr>
            <w:r>
              <w:rPr>
                <w:rFonts w:ascii="Calibri" w:cs="Calibri" w:eastAsia="Calibri" w:hAnsi="Calibri"/>
                <w:sz w:val="11"/>
                <w:szCs w:val="11"/>
                <w:color w:val="auto"/>
              </w:rPr>
              <w:t>2.7</w:t>
            </w:r>
          </w:p>
        </w:tc>
        <w:tc>
          <w:tcPr>
            <w:tcW w:w="40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auto"/>
              </w:rPr>
              <w:t>13.2</w:t>
            </w:r>
          </w:p>
        </w:tc>
        <w:tc>
          <w:tcPr>
            <w:tcW w:w="900" w:type="dxa"/>
            <w:vAlign w:val="bottom"/>
          </w:tcPr>
          <w:p>
            <w:pPr>
              <w:spacing w:after="0"/>
              <w:rPr>
                <w:sz w:val="11"/>
                <w:szCs w:val="11"/>
                <w:color w:val="auto"/>
              </w:rPr>
            </w:pPr>
          </w:p>
        </w:tc>
        <w:tc>
          <w:tcPr>
            <w:tcW w:w="460" w:type="dxa"/>
            <w:vAlign w:val="bottom"/>
          </w:tcPr>
          <w:p>
            <w:pPr>
              <w:jc w:val="right"/>
              <w:ind w:right="63"/>
              <w:spacing w:after="0"/>
              <w:rPr>
                <w:sz w:val="20"/>
                <w:szCs w:val="20"/>
                <w:color w:val="auto"/>
              </w:rPr>
            </w:pPr>
            <w:r>
              <w:rPr>
                <w:rFonts w:ascii="Calibri" w:cs="Calibri" w:eastAsia="Calibri" w:hAnsi="Calibri"/>
                <w:sz w:val="11"/>
                <w:szCs w:val="11"/>
                <w:color w:val="auto"/>
              </w:rPr>
              <w:t>0.8</w:t>
            </w:r>
          </w:p>
        </w:tc>
        <w:tc>
          <w:tcPr>
            <w:tcW w:w="320" w:type="dxa"/>
            <w:vAlign w:val="bottom"/>
          </w:tcPr>
          <w:p>
            <w:pPr>
              <w:spacing w:after="0"/>
              <w:rPr>
                <w:sz w:val="11"/>
                <w:szCs w:val="11"/>
                <w:color w:val="auto"/>
              </w:rPr>
            </w:pP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alibri" w:cs="Calibri" w:eastAsia="Calibri" w:hAnsi="Calibri"/>
                <w:sz w:val="11"/>
                <w:szCs w:val="11"/>
                <w:color w:val="auto"/>
              </w:rPr>
              <w:t>18.0</w:t>
            </w:r>
          </w:p>
        </w:tc>
      </w:tr>
      <w:tr>
        <w:trPr>
          <w:trHeight w:val="46"/>
        </w:trPr>
        <w:tc>
          <w:tcPr>
            <w:tcW w:w="3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60"/>
        </w:trPr>
        <w:tc>
          <w:tcPr>
            <w:tcW w:w="33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b w:val="1"/>
                <w:bCs w:val="1"/>
                <w:color w:val="auto"/>
              </w:rPr>
              <w:t>Finance leases</w:t>
            </w:r>
          </w:p>
        </w:tc>
        <w:tc>
          <w:tcPr>
            <w:tcW w:w="4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1100" w:type="dxa"/>
            <w:vAlign w:val="bottom"/>
            <w:tcBorders>
              <w:bottom w:val="single" w:sz="8" w:color="DBDBDB"/>
            </w:tcBorders>
            <w:shd w:val="clear" w:color="auto" w:fill="DBDBDB"/>
          </w:tcPr>
          <w:p>
            <w:pPr>
              <w:spacing w:after="0"/>
              <w:rPr>
                <w:sz w:val="13"/>
                <w:szCs w:val="13"/>
                <w:color w:val="auto"/>
              </w:rPr>
            </w:pPr>
          </w:p>
        </w:tc>
        <w:tc>
          <w:tcPr>
            <w:tcW w:w="40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spacing w:after="0"/>
              <w:rPr>
                <w:sz w:val="13"/>
                <w:szCs w:val="13"/>
                <w:color w:val="auto"/>
              </w:rPr>
            </w:pPr>
          </w:p>
        </w:tc>
        <w:tc>
          <w:tcPr>
            <w:tcW w:w="46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spacing w:after="0"/>
              <w:rPr>
                <w:sz w:val="13"/>
                <w:szCs w:val="13"/>
                <w:color w:val="auto"/>
              </w:rPr>
            </w:pPr>
          </w:p>
        </w:tc>
        <w:tc>
          <w:tcPr>
            <w:tcW w:w="600" w:type="dxa"/>
            <w:vAlign w:val="bottom"/>
            <w:tcBorders>
              <w:bottom w:val="single" w:sz="8" w:color="DBDBDB"/>
            </w:tcBorders>
            <w:shd w:val="clear" w:color="auto" w:fill="DBDBDB"/>
          </w:tcPr>
          <w:p>
            <w:pPr>
              <w:spacing w:after="0"/>
              <w:rPr>
                <w:sz w:val="13"/>
                <w:szCs w:val="13"/>
                <w:color w:val="auto"/>
              </w:rPr>
            </w:pPr>
          </w:p>
        </w:tc>
        <w:tc>
          <w:tcPr>
            <w:tcW w:w="680" w:type="dxa"/>
            <w:vAlign w:val="bottom"/>
            <w:tcBorders>
              <w:bottom w:val="single" w:sz="8" w:color="DBDBDB"/>
            </w:tcBorders>
            <w:shd w:val="clear" w:color="auto" w:fill="DBDBDB"/>
          </w:tcPr>
          <w:p>
            <w:pPr>
              <w:spacing w:after="0"/>
              <w:rPr>
                <w:sz w:val="13"/>
                <w:szCs w:val="13"/>
                <w:color w:val="auto"/>
              </w:rPr>
            </w:pPr>
          </w:p>
        </w:tc>
      </w:tr>
      <w:tr>
        <w:trPr>
          <w:trHeight w:val="135"/>
        </w:trPr>
        <w:tc>
          <w:tcPr>
            <w:tcW w:w="3300" w:type="dxa"/>
            <w:vAlign w:val="bottom"/>
          </w:tcPr>
          <w:p>
            <w:pPr>
              <w:ind w:left="280"/>
              <w:spacing w:after="0"/>
              <w:rPr>
                <w:sz w:val="20"/>
                <w:szCs w:val="20"/>
                <w:color w:val="auto"/>
              </w:rPr>
            </w:pPr>
            <w:r>
              <w:rPr>
                <w:rFonts w:ascii="Calibri" w:cs="Calibri" w:eastAsia="Calibri" w:hAnsi="Calibri"/>
                <w:sz w:val="11"/>
                <w:szCs w:val="11"/>
                <w:color w:val="auto"/>
              </w:rPr>
              <w:t>Amortzaton of right-of-use assets</w:t>
            </w:r>
          </w:p>
        </w:tc>
        <w:tc>
          <w:tcPr>
            <w:tcW w:w="400" w:type="dxa"/>
            <w:vAlign w:val="bottom"/>
          </w:tcPr>
          <w:p>
            <w:pPr>
              <w:spacing w:after="0"/>
              <w:rPr>
                <w:sz w:val="11"/>
                <w:szCs w:val="11"/>
                <w:color w:val="auto"/>
              </w:rPr>
            </w:pPr>
          </w:p>
        </w:tc>
        <w:tc>
          <w:tcPr>
            <w:tcW w:w="88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260" w:type="dxa"/>
            <w:vAlign w:val="bottom"/>
          </w:tcPr>
          <w:p>
            <w:pPr>
              <w:spacing w:after="0"/>
              <w:rPr>
                <w:sz w:val="11"/>
                <w:szCs w:val="11"/>
                <w:color w:val="auto"/>
              </w:rPr>
            </w:pPr>
          </w:p>
        </w:tc>
        <w:tc>
          <w:tcPr>
            <w:tcW w:w="110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40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auto"/>
              </w:rPr>
              <w:t>0.7</w:t>
            </w:r>
          </w:p>
        </w:tc>
        <w:tc>
          <w:tcPr>
            <w:tcW w:w="900" w:type="dxa"/>
            <w:vAlign w:val="bottom"/>
          </w:tcPr>
          <w:p>
            <w:pPr>
              <w:spacing w:after="0"/>
              <w:rPr>
                <w:sz w:val="11"/>
                <w:szCs w:val="11"/>
                <w:color w:val="auto"/>
              </w:rPr>
            </w:pPr>
          </w:p>
        </w:tc>
        <w:tc>
          <w:tcPr>
            <w:tcW w:w="460" w:type="dxa"/>
            <w:vAlign w:val="bottom"/>
          </w:tcPr>
          <w:p>
            <w:pPr>
              <w:jc w:val="right"/>
              <w:ind w:right="63"/>
              <w:spacing w:after="0"/>
              <w:rPr>
                <w:sz w:val="20"/>
                <w:szCs w:val="20"/>
                <w:color w:val="auto"/>
              </w:rPr>
            </w:pPr>
            <w:r>
              <w:rPr>
                <w:rFonts w:ascii="Calibri" w:cs="Calibri" w:eastAsia="Calibri" w:hAnsi="Calibri"/>
                <w:sz w:val="11"/>
                <w:szCs w:val="11"/>
                <w:color w:val="auto"/>
              </w:rPr>
              <w:t>0.4</w:t>
            </w:r>
          </w:p>
        </w:tc>
        <w:tc>
          <w:tcPr>
            <w:tcW w:w="320" w:type="dxa"/>
            <w:vAlign w:val="bottom"/>
          </w:tcPr>
          <w:p>
            <w:pPr>
              <w:spacing w:after="0"/>
              <w:rPr>
                <w:sz w:val="11"/>
                <w:szCs w:val="11"/>
                <w:color w:val="auto"/>
              </w:rPr>
            </w:pP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auto"/>
              </w:rPr>
              <w:t>—</w:t>
            </w:r>
          </w:p>
        </w:tc>
        <w:tc>
          <w:tcPr>
            <w:tcW w:w="6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Calibri" w:cs="Calibri" w:eastAsia="Calibri" w:hAnsi="Calibri"/>
                <w:sz w:val="11"/>
                <w:szCs w:val="11"/>
                <w:color w:val="auto"/>
              </w:rPr>
              <w:t>1.1</w:t>
            </w:r>
          </w:p>
        </w:tc>
      </w:tr>
      <w:tr>
        <w:trPr>
          <w:trHeight w:val="46"/>
        </w:trPr>
        <w:tc>
          <w:tcPr>
            <w:tcW w:w="3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85"/>
        </w:trPr>
        <w:tc>
          <w:tcPr>
            <w:tcW w:w="330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Interest on lease liabilites</w:t>
            </w:r>
          </w:p>
        </w:tc>
        <w:tc>
          <w:tcPr>
            <w:tcW w:w="400" w:type="dxa"/>
            <w:vAlign w:val="bottom"/>
            <w:tcBorders>
              <w:bottom w:val="single" w:sz="8" w:color="DBDBDB"/>
            </w:tcBorders>
            <w:shd w:val="clear" w:color="auto" w:fill="DBDBDB"/>
          </w:tcPr>
          <w:p>
            <w:pPr>
              <w:spacing w:after="0"/>
              <w:rPr>
                <w:sz w:val="15"/>
                <w:szCs w:val="15"/>
                <w:color w:val="auto"/>
              </w:rPr>
            </w:pPr>
          </w:p>
        </w:tc>
        <w:tc>
          <w:tcPr>
            <w:tcW w:w="88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4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spacing w:after="0"/>
              <w:rPr>
                <w:sz w:val="15"/>
                <w:szCs w:val="15"/>
                <w:color w:val="auto"/>
              </w:rPr>
            </w:pPr>
          </w:p>
        </w:tc>
        <w:tc>
          <w:tcPr>
            <w:tcW w:w="46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32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0.3</w:t>
            </w:r>
          </w:p>
        </w:tc>
        <w:tc>
          <w:tcPr>
            <w:tcW w:w="60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0.3</w:t>
            </w:r>
          </w:p>
        </w:tc>
      </w:tr>
      <w:tr>
        <w:trPr>
          <w:trHeight w:val="125"/>
        </w:trPr>
        <w:tc>
          <w:tcPr>
            <w:tcW w:w="33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lease cost</w:t>
            </w:r>
          </w:p>
        </w:tc>
        <w:tc>
          <w:tcPr>
            <w:tcW w:w="400" w:type="dxa"/>
            <w:vAlign w:val="bottom"/>
            <w:tcBorders>
              <w:top w:val="single" w:sz="8" w:color="auto"/>
            </w:tcBorders>
          </w:tcPr>
          <w:p>
            <w:pPr>
              <w:jc w:val="right"/>
              <w:ind w:right="263"/>
              <w:spacing w:after="0" w:line="126" w:lineRule="exact"/>
              <w:rPr>
                <w:sz w:val="20"/>
                <w:szCs w:val="20"/>
                <w:color w:val="auto"/>
              </w:rPr>
            </w:pPr>
            <w:r>
              <w:rPr>
                <w:rFonts w:ascii="Calibri" w:cs="Calibri" w:eastAsia="Calibri" w:hAnsi="Calibri"/>
                <w:sz w:val="11"/>
                <w:szCs w:val="11"/>
                <w:color w:val="auto"/>
              </w:rPr>
              <w:t>$</w:t>
            </w:r>
          </w:p>
        </w:tc>
        <w:tc>
          <w:tcPr>
            <w:tcW w:w="88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1.3</w:t>
            </w:r>
          </w:p>
        </w:tc>
        <w:tc>
          <w:tcPr>
            <w:tcW w:w="26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w:t>
            </w:r>
          </w:p>
        </w:tc>
        <w:tc>
          <w:tcPr>
            <w:tcW w:w="110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2.7</w:t>
            </w:r>
          </w:p>
        </w:tc>
        <w:tc>
          <w:tcPr>
            <w:tcW w:w="400" w:type="dxa"/>
            <w:vAlign w:val="bottom"/>
            <w:tcBorders>
              <w:top w:val="single" w:sz="8" w:color="auto"/>
            </w:tcBorders>
          </w:tcPr>
          <w:p>
            <w:pPr>
              <w:jc w:val="right"/>
              <w:ind w:right="2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18.6</w:t>
            </w:r>
          </w:p>
        </w:tc>
        <w:tc>
          <w:tcPr>
            <w:tcW w:w="900" w:type="dxa"/>
            <w:vAlign w:val="bottom"/>
            <w:tcBorders>
              <w:top w:val="single" w:sz="8" w:color="auto"/>
            </w:tcBorders>
          </w:tcPr>
          <w:p>
            <w:pPr>
              <w:jc w:val="right"/>
              <w:ind w:right="703"/>
              <w:spacing w:after="0" w:line="126" w:lineRule="exact"/>
              <w:rPr>
                <w:sz w:val="20"/>
                <w:szCs w:val="20"/>
                <w:color w:val="auto"/>
              </w:rPr>
            </w:pPr>
            <w:r>
              <w:rPr>
                <w:rFonts w:ascii="Calibri" w:cs="Calibri" w:eastAsia="Calibri" w:hAnsi="Calibri"/>
                <w:sz w:val="11"/>
                <w:szCs w:val="11"/>
                <w:color w:val="auto"/>
              </w:rPr>
              <w:t>$</w:t>
            </w:r>
          </w:p>
        </w:tc>
        <w:tc>
          <w:tcPr>
            <w:tcW w:w="46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3.9</w:t>
            </w:r>
          </w:p>
        </w:tc>
        <w:tc>
          <w:tcPr>
            <w:tcW w:w="32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w:t>
            </w:r>
          </w:p>
        </w:tc>
        <w:tc>
          <w:tcPr>
            <w:tcW w:w="1040" w:type="dxa"/>
            <w:vAlign w:val="bottom"/>
            <w:tcBorders>
              <w:top w:val="single" w:sz="8" w:color="auto"/>
            </w:tcBorders>
          </w:tcPr>
          <w:p>
            <w:pPr>
              <w:jc w:val="right"/>
              <w:ind w:right="63"/>
              <w:spacing w:after="0" w:line="126" w:lineRule="exact"/>
              <w:rPr>
                <w:sz w:val="20"/>
                <w:szCs w:val="20"/>
                <w:color w:val="auto"/>
              </w:rPr>
            </w:pPr>
            <w:r>
              <w:rPr>
                <w:rFonts w:ascii="Calibri" w:cs="Calibri" w:eastAsia="Calibri" w:hAnsi="Calibri"/>
                <w:sz w:val="11"/>
                <w:szCs w:val="11"/>
                <w:color w:val="auto"/>
              </w:rPr>
              <w:t>0.3</w:t>
            </w:r>
          </w:p>
        </w:tc>
        <w:tc>
          <w:tcPr>
            <w:tcW w:w="60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6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26.8</w:t>
            </w:r>
          </w:p>
        </w:tc>
      </w:tr>
      <w:tr>
        <w:trPr>
          <w:trHeight w:val="46"/>
        </w:trPr>
        <w:tc>
          <w:tcPr>
            <w:tcW w:w="3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bl>
    <w:p>
      <w:pPr>
        <w:spacing w:after="0" w:line="211" w:lineRule="exact"/>
        <w:rPr>
          <w:sz w:val="20"/>
          <w:szCs w:val="20"/>
          <w:color w:val="auto"/>
        </w:rPr>
      </w:pPr>
    </w:p>
    <w:p>
      <w:pPr>
        <w:jc w:val="center"/>
        <w:ind w:right="-39"/>
        <w:spacing w:after="0"/>
        <w:rPr>
          <w:sz w:val="20"/>
          <w:szCs w:val="20"/>
          <w:color w:val="auto"/>
        </w:rPr>
      </w:pPr>
      <w:r>
        <w:rPr>
          <w:rFonts w:ascii="Calibri" w:cs="Calibri" w:eastAsia="Calibri" w:hAnsi="Calibri"/>
          <w:sz w:val="13"/>
          <w:szCs w:val="13"/>
          <w:color w:val="auto"/>
        </w:rPr>
        <w:t>Rent expense from operatng leases was approximately $6.9 million for the year ended October 31, 2020. Depreciaton expense on fnance leases was $0.3 million for the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1" w:name="page62"/>
    <w:bookmarkEnd w:id="61"/>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Supplemental cash fow informaton related to leases is set forth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gridSpan w:val="2"/>
          </w:tcPr>
          <w:p>
            <w:pPr>
              <w:jc w:val="right"/>
              <w:ind w:right="303"/>
              <w:spacing w:after="0"/>
              <w:rPr>
                <w:sz w:val="20"/>
                <w:szCs w:val="20"/>
                <w:color w:val="auto"/>
              </w:rPr>
            </w:pPr>
            <w:r>
              <w:rPr>
                <w:rFonts w:ascii="Calibri" w:cs="Calibri" w:eastAsia="Calibri" w:hAnsi="Calibri"/>
                <w:sz w:val="11"/>
                <w:szCs w:val="11"/>
                <w:b w:val="1"/>
                <w:bCs w:val="1"/>
                <w:color w:val="auto"/>
              </w:rPr>
              <w:t>Years ended October 31,</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2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82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2022</w:t>
            </w:r>
          </w:p>
        </w:tc>
        <w:tc>
          <w:tcPr>
            <w:tcW w:w="92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8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2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Cash paid for amounts included in the measurement of lease liabilites for operatng cash fows for operatng lease liabilites</w:t>
            </w:r>
          </w:p>
        </w:tc>
        <w:tc>
          <w:tcPr>
            <w:tcW w:w="520" w:type="dxa"/>
            <w:vAlign w:val="bottom"/>
            <w:tcBorders>
              <w:bottom w:val="single" w:sz="8" w:color="DBDBDB"/>
            </w:tcBorders>
            <w:shd w:val="clear" w:color="auto" w:fill="DBDBDB"/>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102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6.4</w:t>
            </w:r>
          </w:p>
        </w:tc>
        <w:tc>
          <w:tcPr>
            <w:tcW w:w="920" w:type="dxa"/>
            <w:vAlign w:val="bottom"/>
            <w:tcBorders>
              <w:bottom w:val="single" w:sz="8" w:color="DBDBDB"/>
            </w:tcBorders>
            <w:shd w:val="clear" w:color="auto" w:fill="DBDBDB"/>
          </w:tcPr>
          <w:p>
            <w:pPr>
              <w:jc w:val="right"/>
              <w:ind w:right="723"/>
              <w:spacing w:after="0" w:line="126" w:lineRule="exact"/>
              <w:rPr>
                <w:sz w:val="20"/>
                <w:szCs w:val="20"/>
                <w:color w:val="auto"/>
              </w:rPr>
            </w:pPr>
            <w:r>
              <w:rPr>
                <w:rFonts w:ascii="Calibri" w:cs="Calibri" w:eastAsia="Calibri" w:hAnsi="Calibri"/>
                <w:sz w:val="11"/>
                <w:szCs w:val="11"/>
                <w:color w:val="auto"/>
              </w:rPr>
              <w:t>$</w:t>
            </w:r>
          </w:p>
        </w:tc>
        <w:tc>
          <w:tcPr>
            <w:tcW w:w="6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5.5</w:t>
            </w:r>
          </w:p>
        </w:tc>
        <w:tc>
          <w:tcPr>
            <w:tcW w:w="0" w:type="dxa"/>
            <w:vAlign w:val="bottom"/>
          </w:tcPr>
          <w:p>
            <w:pPr>
              <w:spacing w:after="0"/>
              <w:rPr>
                <w:sz w:val="1"/>
                <w:szCs w:val="1"/>
                <w:color w:val="auto"/>
              </w:rPr>
            </w:pPr>
          </w:p>
        </w:tc>
      </w:tr>
      <w:tr>
        <w:trPr>
          <w:trHeight w:val="135"/>
        </w:trPr>
        <w:tc>
          <w:tcPr>
            <w:tcW w:w="8220" w:type="dxa"/>
            <w:vAlign w:val="bottom"/>
          </w:tcPr>
          <w:p>
            <w:pPr>
              <w:ind w:left="20"/>
              <w:spacing w:after="0"/>
              <w:rPr>
                <w:sz w:val="20"/>
                <w:szCs w:val="20"/>
                <w:color w:val="auto"/>
              </w:rPr>
            </w:pPr>
            <w:r>
              <w:rPr>
                <w:rFonts w:ascii="Calibri" w:cs="Calibri" w:eastAsia="Calibri" w:hAnsi="Calibri"/>
                <w:sz w:val="11"/>
                <w:szCs w:val="11"/>
                <w:color w:val="auto"/>
              </w:rPr>
              <w:t>Right-of-use assets obtained in exchange for new operatng lease liabilites</w:t>
            </w:r>
          </w:p>
        </w:tc>
        <w:tc>
          <w:tcPr>
            <w:tcW w:w="520" w:type="dxa"/>
            <w:vAlign w:val="bottom"/>
          </w:tcPr>
          <w:p>
            <w:pPr>
              <w:spacing w:after="0"/>
              <w:rPr>
                <w:sz w:val="11"/>
                <w:szCs w:val="11"/>
                <w:color w:val="auto"/>
              </w:rPr>
            </w:pPr>
          </w:p>
        </w:tc>
        <w:tc>
          <w:tcPr>
            <w:tcW w:w="1020" w:type="dxa"/>
            <w:vAlign w:val="bottom"/>
          </w:tcPr>
          <w:p>
            <w:pPr>
              <w:jc w:val="right"/>
              <w:ind w:right="63"/>
              <w:spacing w:after="0"/>
              <w:rPr>
                <w:sz w:val="20"/>
                <w:szCs w:val="20"/>
                <w:color w:val="auto"/>
              </w:rPr>
            </w:pPr>
            <w:r>
              <w:rPr>
                <w:rFonts w:ascii="Calibri" w:cs="Calibri" w:eastAsia="Calibri" w:hAnsi="Calibri"/>
                <w:sz w:val="11"/>
                <w:szCs w:val="11"/>
                <w:color w:val="auto"/>
              </w:rPr>
              <w:t>23.1</w:t>
            </w:r>
          </w:p>
        </w:tc>
        <w:tc>
          <w:tcPr>
            <w:tcW w:w="9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alibri" w:cs="Calibri" w:eastAsia="Calibri" w:hAnsi="Calibri"/>
                <w:sz w:val="11"/>
                <w:szCs w:val="11"/>
                <w:color w:val="auto"/>
              </w:rPr>
              <w:t>11.3</w:t>
            </w:r>
          </w:p>
        </w:tc>
        <w:tc>
          <w:tcPr>
            <w:tcW w:w="0" w:type="dxa"/>
            <w:vAlign w:val="bottom"/>
          </w:tcPr>
          <w:p>
            <w:pPr>
              <w:spacing w:after="0"/>
              <w:rPr>
                <w:sz w:val="1"/>
                <w:szCs w:val="1"/>
                <w:color w:val="auto"/>
              </w:rPr>
            </w:pPr>
          </w:p>
        </w:tc>
      </w:tr>
      <w:tr>
        <w:trPr>
          <w:trHeight w:val="46"/>
        </w:trPr>
        <w:tc>
          <w:tcPr>
            <w:tcW w:w="8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As of October 31, 2022, future maturites of lease liabilites with original terms in excess of one year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80" w:type="dxa"/>
            <w:vAlign w:val="bottom"/>
            <w:gridSpan w:val="2"/>
          </w:tcPr>
          <w:p>
            <w:pPr>
              <w:jc w:val="right"/>
              <w:ind w:right="283"/>
              <w:spacing w:after="0"/>
              <w:rPr>
                <w:sz w:val="20"/>
                <w:szCs w:val="20"/>
                <w:color w:val="auto"/>
              </w:rPr>
            </w:pPr>
            <w:r>
              <w:rPr>
                <w:rFonts w:ascii="Calibri" w:cs="Calibri" w:eastAsia="Calibri" w:hAnsi="Calibri"/>
                <w:sz w:val="11"/>
                <w:szCs w:val="11"/>
                <w:b w:val="1"/>
                <w:bCs w:val="1"/>
                <w:color w:val="auto"/>
              </w:rPr>
              <w:t>(In millions)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796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Year ending October 31,</w:t>
            </w: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79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3"/>
              <w:spacing w:after="0" w:line="126" w:lineRule="exact"/>
              <w:rPr>
                <w:sz w:val="20"/>
                <w:szCs w:val="20"/>
                <w:color w:val="auto"/>
              </w:rPr>
            </w:pPr>
            <w:r>
              <w:rPr>
                <w:rFonts w:ascii="Calibri" w:cs="Calibri" w:eastAsia="Calibri" w:hAnsi="Calibri"/>
                <w:sz w:val="11"/>
                <w:szCs w:val="11"/>
                <w:b w:val="1"/>
                <w:bCs w:val="1"/>
                <w:color w:val="auto"/>
              </w:rPr>
              <w:t>Operatng Leases</w:t>
            </w:r>
          </w:p>
        </w:tc>
        <w:tc>
          <w:tcPr>
            <w:tcW w:w="62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Finance Leases</w:t>
            </w:r>
          </w:p>
        </w:tc>
        <w:tc>
          <w:tcPr>
            <w:tcW w:w="0" w:type="dxa"/>
            <w:vAlign w:val="bottom"/>
          </w:tcPr>
          <w:p>
            <w:pPr>
              <w:spacing w:after="0"/>
              <w:rPr>
                <w:sz w:val="1"/>
                <w:szCs w:val="1"/>
                <w:color w:val="auto"/>
              </w:rPr>
            </w:pPr>
          </w:p>
        </w:tc>
      </w:tr>
      <w:tr>
        <w:trPr>
          <w:trHeight w:val="46"/>
        </w:trPr>
        <w:tc>
          <w:tcPr>
            <w:tcW w:w="7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2023</w:t>
            </w:r>
          </w:p>
        </w:tc>
        <w:tc>
          <w:tcPr>
            <w:tcW w:w="400" w:type="dxa"/>
            <w:vAlign w:val="bottom"/>
            <w:tcBorders>
              <w:bottom w:val="single" w:sz="8" w:color="DBDBDB"/>
            </w:tcBorders>
            <w:shd w:val="clear" w:color="auto" w:fill="DBDBDB"/>
          </w:tcPr>
          <w:p>
            <w:pPr>
              <w:jc w:val="right"/>
              <w:ind w:right="283"/>
              <w:spacing w:after="0" w:line="126" w:lineRule="exact"/>
              <w:rPr>
                <w:sz w:val="20"/>
                <w:szCs w:val="20"/>
                <w:color w:val="auto"/>
              </w:rPr>
            </w:pPr>
            <w:r>
              <w:rPr>
                <w:rFonts w:ascii="Calibri" w:cs="Calibri" w:eastAsia="Calibri" w:hAnsi="Calibri"/>
                <w:sz w:val="11"/>
                <w:szCs w:val="11"/>
                <w:color w:val="auto"/>
                <w:w w:val="70"/>
              </w:rPr>
              <w:t>$</w:t>
            </w:r>
          </w:p>
        </w:tc>
        <w:tc>
          <w:tcPr>
            <w:tcW w:w="12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7.2</w:t>
            </w:r>
          </w:p>
        </w:tc>
        <w:tc>
          <w:tcPr>
            <w:tcW w:w="620" w:type="dxa"/>
            <w:vAlign w:val="bottom"/>
            <w:tcBorders>
              <w:bottom w:val="single" w:sz="8" w:color="DBDBDB"/>
            </w:tcBorders>
            <w:shd w:val="clear" w:color="auto" w:fill="DBDBDB"/>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10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1.4</w:t>
            </w:r>
          </w:p>
        </w:tc>
        <w:tc>
          <w:tcPr>
            <w:tcW w:w="0" w:type="dxa"/>
            <w:vAlign w:val="bottom"/>
          </w:tcPr>
          <w:p>
            <w:pPr>
              <w:spacing w:after="0"/>
              <w:rPr>
                <w:sz w:val="1"/>
                <w:szCs w:val="1"/>
                <w:color w:val="auto"/>
              </w:rPr>
            </w:pPr>
          </w:p>
        </w:tc>
      </w:tr>
      <w:tr>
        <w:trPr>
          <w:trHeight w:val="135"/>
        </w:trPr>
        <w:tc>
          <w:tcPr>
            <w:tcW w:w="7960" w:type="dxa"/>
            <w:vAlign w:val="bottom"/>
          </w:tcPr>
          <w:p>
            <w:pPr>
              <w:ind w:left="20"/>
              <w:spacing w:after="0"/>
              <w:rPr>
                <w:sz w:val="20"/>
                <w:szCs w:val="20"/>
                <w:color w:val="auto"/>
              </w:rPr>
            </w:pPr>
            <w:r>
              <w:rPr>
                <w:rFonts w:ascii="Calibri" w:cs="Calibri" w:eastAsia="Calibri" w:hAnsi="Calibri"/>
                <w:sz w:val="11"/>
                <w:szCs w:val="11"/>
                <w:color w:val="auto"/>
              </w:rPr>
              <w:t>2024</w:t>
            </w:r>
          </w:p>
        </w:tc>
        <w:tc>
          <w:tcPr>
            <w:tcW w:w="400" w:type="dxa"/>
            <w:vAlign w:val="bottom"/>
          </w:tcPr>
          <w:p>
            <w:pPr>
              <w:spacing w:after="0"/>
              <w:rPr>
                <w:sz w:val="11"/>
                <w:szCs w:val="11"/>
                <w:color w:val="auto"/>
              </w:rPr>
            </w:pPr>
          </w:p>
        </w:tc>
        <w:tc>
          <w:tcPr>
            <w:tcW w:w="1260" w:type="dxa"/>
            <w:vAlign w:val="bottom"/>
          </w:tcPr>
          <w:p>
            <w:pPr>
              <w:jc w:val="right"/>
              <w:ind w:right="103"/>
              <w:spacing w:after="0"/>
              <w:rPr>
                <w:sz w:val="20"/>
                <w:szCs w:val="20"/>
                <w:color w:val="auto"/>
              </w:rPr>
            </w:pPr>
            <w:r>
              <w:rPr>
                <w:rFonts w:ascii="Calibri" w:cs="Calibri" w:eastAsia="Calibri" w:hAnsi="Calibri"/>
                <w:sz w:val="11"/>
                <w:szCs w:val="11"/>
                <w:color w:val="auto"/>
              </w:rPr>
              <w:t>7.4</w:t>
            </w:r>
          </w:p>
        </w:tc>
        <w:tc>
          <w:tcPr>
            <w:tcW w:w="6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color w:val="auto"/>
              </w:rPr>
              <w:t>1.2</w:t>
            </w:r>
          </w:p>
        </w:tc>
        <w:tc>
          <w:tcPr>
            <w:tcW w:w="0" w:type="dxa"/>
            <w:vAlign w:val="bottom"/>
          </w:tcPr>
          <w:p>
            <w:pPr>
              <w:spacing w:after="0"/>
              <w:rPr>
                <w:sz w:val="1"/>
                <w:szCs w:val="1"/>
                <w:color w:val="auto"/>
              </w:rPr>
            </w:pPr>
          </w:p>
        </w:tc>
      </w:tr>
      <w:tr>
        <w:trPr>
          <w:trHeight w:val="46"/>
        </w:trPr>
        <w:tc>
          <w:tcPr>
            <w:tcW w:w="7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7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2025</w:t>
            </w:r>
          </w:p>
        </w:tc>
        <w:tc>
          <w:tcPr>
            <w:tcW w:w="400" w:type="dxa"/>
            <w:vAlign w:val="bottom"/>
            <w:tcBorders>
              <w:bottom w:val="single" w:sz="8" w:color="DBDBDB"/>
            </w:tcBorders>
            <w:shd w:val="clear" w:color="auto" w:fill="DBDBDB"/>
          </w:tcPr>
          <w:p>
            <w:pPr>
              <w:spacing w:after="0"/>
              <w:rPr>
                <w:sz w:val="13"/>
                <w:szCs w:val="13"/>
                <w:color w:val="auto"/>
              </w:rPr>
            </w:pPr>
          </w:p>
        </w:tc>
        <w:tc>
          <w:tcPr>
            <w:tcW w:w="12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6.9</w:t>
            </w:r>
          </w:p>
        </w:tc>
        <w:tc>
          <w:tcPr>
            <w:tcW w:w="62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0.2</w:t>
            </w:r>
          </w:p>
        </w:tc>
        <w:tc>
          <w:tcPr>
            <w:tcW w:w="0" w:type="dxa"/>
            <w:vAlign w:val="bottom"/>
          </w:tcPr>
          <w:p>
            <w:pPr>
              <w:spacing w:after="0"/>
              <w:rPr>
                <w:sz w:val="1"/>
                <w:szCs w:val="1"/>
                <w:color w:val="auto"/>
              </w:rPr>
            </w:pPr>
          </w:p>
        </w:tc>
      </w:tr>
      <w:tr>
        <w:trPr>
          <w:trHeight w:val="135"/>
        </w:trPr>
        <w:tc>
          <w:tcPr>
            <w:tcW w:w="7960" w:type="dxa"/>
            <w:vAlign w:val="bottom"/>
          </w:tcPr>
          <w:p>
            <w:pPr>
              <w:ind w:left="20"/>
              <w:spacing w:after="0"/>
              <w:rPr>
                <w:sz w:val="20"/>
                <w:szCs w:val="20"/>
                <w:color w:val="auto"/>
              </w:rPr>
            </w:pPr>
            <w:r>
              <w:rPr>
                <w:rFonts w:ascii="Calibri" w:cs="Calibri" w:eastAsia="Calibri" w:hAnsi="Calibri"/>
                <w:sz w:val="11"/>
                <w:szCs w:val="11"/>
                <w:color w:val="auto"/>
              </w:rPr>
              <w:t>2026</w:t>
            </w:r>
          </w:p>
        </w:tc>
        <w:tc>
          <w:tcPr>
            <w:tcW w:w="400" w:type="dxa"/>
            <w:vAlign w:val="bottom"/>
          </w:tcPr>
          <w:p>
            <w:pPr>
              <w:spacing w:after="0"/>
              <w:rPr>
                <w:sz w:val="11"/>
                <w:szCs w:val="11"/>
                <w:color w:val="auto"/>
              </w:rPr>
            </w:pPr>
          </w:p>
        </w:tc>
        <w:tc>
          <w:tcPr>
            <w:tcW w:w="1260" w:type="dxa"/>
            <w:vAlign w:val="bottom"/>
          </w:tcPr>
          <w:p>
            <w:pPr>
              <w:jc w:val="right"/>
              <w:ind w:right="103"/>
              <w:spacing w:after="0"/>
              <w:rPr>
                <w:sz w:val="20"/>
                <w:szCs w:val="20"/>
                <w:color w:val="auto"/>
              </w:rPr>
            </w:pPr>
            <w:r>
              <w:rPr>
                <w:rFonts w:ascii="Calibri" w:cs="Calibri" w:eastAsia="Calibri" w:hAnsi="Calibri"/>
                <w:sz w:val="11"/>
                <w:szCs w:val="11"/>
                <w:color w:val="auto"/>
              </w:rPr>
              <w:t>6.8</w:t>
            </w:r>
          </w:p>
        </w:tc>
        <w:tc>
          <w:tcPr>
            <w:tcW w:w="6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7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7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2027</w:t>
            </w:r>
          </w:p>
        </w:tc>
        <w:tc>
          <w:tcPr>
            <w:tcW w:w="400" w:type="dxa"/>
            <w:vAlign w:val="bottom"/>
            <w:tcBorders>
              <w:bottom w:val="single" w:sz="8" w:color="DBDBDB"/>
            </w:tcBorders>
            <w:shd w:val="clear" w:color="auto" w:fill="DBDBDB"/>
          </w:tcPr>
          <w:p>
            <w:pPr>
              <w:spacing w:after="0"/>
              <w:rPr>
                <w:sz w:val="13"/>
                <w:szCs w:val="13"/>
                <w:color w:val="auto"/>
              </w:rPr>
            </w:pPr>
          </w:p>
        </w:tc>
        <w:tc>
          <w:tcPr>
            <w:tcW w:w="12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6.0</w:t>
            </w:r>
          </w:p>
        </w:tc>
        <w:tc>
          <w:tcPr>
            <w:tcW w:w="62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7960" w:type="dxa"/>
            <w:vAlign w:val="bottom"/>
          </w:tcPr>
          <w:p>
            <w:pPr>
              <w:ind w:left="20"/>
              <w:spacing w:after="0"/>
              <w:rPr>
                <w:sz w:val="20"/>
                <w:szCs w:val="20"/>
                <w:color w:val="auto"/>
              </w:rPr>
            </w:pPr>
            <w:r>
              <w:rPr>
                <w:rFonts w:ascii="Calibri" w:cs="Calibri" w:eastAsia="Calibri" w:hAnsi="Calibri"/>
                <w:sz w:val="11"/>
                <w:szCs w:val="11"/>
                <w:color w:val="auto"/>
              </w:rPr>
              <w:t>Thereafer</w:t>
            </w:r>
          </w:p>
        </w:tc>
        <w:tc>
          <w:tcPr>
            <w:tcW w:w="400" w:type="dxa"/>
            <w:vAlign w:val="bottom"/>
          </w:tcPr>
          <w:p>
            <w:pPr>
              <w:spacing w:after="0"/>
              <w:rPr>
                <w:sz w:val="11"/>
                <w:szCs w:val="11"/>
                <w:color w:val="auto"/>
              </w:rPr>
            </w:pPr>
          </w:p>
        </w:tc>
        <w:tc>
          <w:tcPr>
            <w:tcW w:w="1260" w:type="dxa"/>
            <w:vAlign w:val="bottom"/>
          </w:tcPr>
          <w:p>
            <w:pPr>
              <w:jc w:val="right"/>
              <w:ind w:right="103"/>
              <w:spacing w:after="0"/>
              <w:rPr>
                <w:sz w:val="20"/>
                <w:szCs w:val="20"/>
                <w:color w:val="auto"/>
              </w:rPr>
            </w:pPr>
            <w:r>
              <w:rPr>
                <w:rFonts w:ascii="Calibri" w:cs="Calibri" w:eastAsia="Calibri" w:hAnsi="Calibri"/>
                <w:sz w:val="11"/>
                <w:szCs w:val="11"/>
                <w:color w:val="auto"/>
              </w:rPr>
              <w:t>71.0</w:t>
            </w:r>
          </w:p>
        </w:tc>
        <w:tc>
          <w:tcPr>
            <w:tcW w:w="6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7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undiscounted future minimum lease payments</w:t>
            </w:r>
          </w:p>
        </w:tc>
        <w:tc>
          <w:tcPr>
            <w:tcW w:w="400" w:type="dxa"/>
            <w:vAlign w:val="bottom"/>
            <w:tcBorders>
              <w:bottom w:val="single" w:sz="8" w:color="DBDBDB"/>
            </w:tcBorders>
            <w:shd w:val="clear" w:color="auto" w:fill="DBDBDB"/>
          </w:tcPr>
          <w:p>
            <w:pPr>
              <w:jc w:val="right"/>
              <w:ind w:right="283"/>
              <w:spacing w:after="0" w:line="126" w:lineRule="exact"/>
              <w:rPr>
                <w:sz w:val="20"/>
                <w:szCs w:val="20"/>
                <w:color w:val="auto"/>
              </w:rPr>
            </w:pPr>
            <w:r>
              <w:rPr>
                <w:rFonts w:ascii="Calibri" w:cs="Calibri" w:eastAsia="Calibri" w:hAnsi="Calibri"/>
                <w:sz w:val="11"/>
                <w:szCs w:val="11"/>
                <w:color w:val="auto"/>
                <w:w w:val="70"/>
              </w:rPr>
              <w:t>$</w:t>
            </w:r>
          </w:p>
        </w:tc>
        <w:tc>
          <w:tcPr>
            <w:tcW w:w="12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105.3</w:t>
            </w:r>
          </w:p>
        </w:tc>
        <w:tc>
          <w:tcPr>
            <w:tcW w:w="620" w:type="dxa"/>
            <w:vAlign w:val="bottom"/>
            <w:tcBorders>
              <w:bottom w:val="single" w:sz="8" w:color="DBDBDB"/>
            </w:tcBorders>
            <w:shd w:val="clear" w:color="auto" w:fill="DBDBDB"/>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10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2.8</w:t>
            </w:r>
          </w:p>
        </w:tc>
        <w:tc>
          <w:tcPr>
            <w:tcW w:w="0" w:type="dxa"/>
            <w:vAlign w:val="bottom"/>
          </w:tcPr>
          <w:p>
            <w:pPr>
              <w:spacing w:after="0"/>
              <w:rPr>
                <w:sz w:val="1"/>
                <w:szCs w:val="1"/>
                <w:color w:val="auto"/>
              </w:rPr>
            </w:pPr>
          </w:p>
        </w:tc>
      </w:tr>
      <w:tr>
        <w:trPr>
          <w:trHeight w:val="135"/>
        </w:trPr>
        <w:tc>
          <w:tcPr>
            <w:tcW w:w="7960" w:type="dxa"/>
            <w:vAlign w:val="bottom"/>
          </w:tcPr>
          <w:p>
            <w:pPr>
              <w:ind w:left="20"/>
              <w:spacing w:after="0"/>
              <w:rPr>
                <w:sz w:val="20"/>
                <w:szCs w:val="20"/>
                <w:color w:val="auto"/>
              </w:rPr>
            </w:pPr>
            <w:r>
              <w:rPr>
                <w:rFonts w:ascii="Calibri" w:cs="Calibri" w:eastAsia="Calibri" w:hAnsi="Calibri"/>
                <w:sz w:val="11"/>
                <w:szCs w:val="11"/>
                <w:color w:val="auto"/>
              </w:rPr>
              <w:t>Less imputed interest</w:t>
            </w:r>
          </w:p>
        </w:tc>
        <w:tc>
          <w:tcPr>
            <w:tcW w:w="400" w:type="dxa"/>
            <w:vAlign w:val="bottom"/>
          </w:tcPr>
          <w:p>
            <w:pPr>
              <w:spacing w:after="0"/>
              <w:rPr>
                <w:sz w:val="11"/>
                <w:szCs w:val="11"/>
                <w:color w:val="auto"/>
              </w:rPr>
            </w:pPr>
          </w:p>
        </w:tc>
        <w:tc>
          <w:tcPr>
            <w:tcW w:w="1260" w:type="dxa"/>
            <w:vAlign w:val="bottom"/>
          </w:tcPr>
          <w:p>
            <w:pPr>
              <w:jc w:val="right"/>
              <w:ind w:right="63"/>
              <w:spacing w:after="0"/>
              <w:rPr>
                <w:sz w:val="20"/>
                <w:szCs w:val="20"/>
                <w:color w:val="auto"/>
              </w:rPr>
            </w:pPr>
            <w:r>
              <w:rPr>
                <w:rFonts w:ascii="Calibri" w:cs="Calibri" w:eastAsia="Calibri" w:hAnsi="Calibri"/>
                <w:sz w:val="11"/>
                <w:szCs w:val="11"/>
                <w:color w:val="auto"/>
              </w:rPr>
              <w:t>(36.7)</w:t>
            </w:r>
          </w:p>
        </w:tc>
        <w:tc>
          <w:tcPr>
            <w:tcW w:w="6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color w:val="auto"/>
              </w:rPr>
              <w:t>(0.2)</w:t>
            </w:r>
          </w:p>
        </w:tc>
        <w:tc>
          <w:tcPr>
            <w:tcW w:w="0" w:type="dxa"/>
            <w:vAlign w:val="bottom"/>
          </w:tcPr>
          <w:p>
            <w:pPr>
              <w:spacing w:after="0"/>
              <w:rPr>
                <w:sz w:val="1"/>
                <w:szCs w:val="1"/>
                <w:color w:val="auto"/>
              </w:rPr>
            </w:pPr>
          </w:p>
        </w:tc>
      </w:tr>
      <w:tr>
        <w:trPr>
          <w:trHeight w:val="46"/>
        </w:trPr>
        <w:tc>
          <w:tcPr>
            <w:tcW w:w="7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79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discounted future minimum lease payments</w:t>
            </w:r>
          </w:p>
        </w:tc>
        <w:tc>
          <w:tcPr>
            <w:tcW w:w="400" w:type="dxa"/>
            <w:vAlign w:val="bottom"/>
            <w:tcBorders>
              <w:bottom w:val="single" w:sz="8" w:color="DBDBDB"/>
            </w:tcBorders>
            <w:shd w:val="clear" w:color="auto" w:fill="DBDBDB"/>
          </w:tcPr>
          <w:p>
            <w:pPr>
              <w:jc w:val="right"/>
              <w:ind w:right="283"/>
              <w:spacing w:after="0" w:line="126" w:lineRule="exact"/>
              <w:rPr>
                <w:sz w:val="20"/>
                <w:szCs w:val="20"/>
                <w:color w:val="auto"/>
              </w:rPr>
            </w:pPr>
            <w:r>
              <w:rPr>
                <w:rFonts w:ascii="Calibri" w:cs="Calibri" w:eastAsia="Calibri" w:hAnsi="Calibri"/>
                <w:sz w:val="11"/>
                <w:szCs w:val="11"/>
                <w:color w:val="auto"/>
                <w:w w:val="70"/>
              </w:rPr>
              <w:t>$</w:t>
            </w:r>
          </w:p>
        </w:tc>
        <w:tc>
          <w:tcPr>
            <w:tcW w:w="126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68.6</w:t>
            </w:r>
          </w:p>
        </w:tc>
        <w:tc>
          <w:tcPr>
            <w:tcW w:w="620" w:type="dxa"/>
            <w:vAlign w:val="bottom"/>
            <w:tcBorders>
              <w:bottom w:val="single" w:sz="8" w:color="DBDBDB"/>
            </w:tcBorders>
            <w:shd w:val="clear" w:color="auto" w:fill="DBDBDB"/>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10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2.6</w:t>
            </w:r>
          </w:p>
        </w:tc>
        <w:tc>
          <w:tcPr>
            <w:tcW w:w="0" w:type="dxa"/>
            <w:vAlign w:val="bottom"/>
          </w:tcPr>
          <w:p>
            <w:pPr>
              <w:spacing w:after="0"/>
              <w:rPr>
                <w:sz w:val="1"/>
                <w:szCs w:val="1"/>
                <w:color w:val="auto"/>
              </w:rPr>
            </w:pPr>
          </w:p>
        </w:tc>
      </w:tr>
      <w:tr>
        <w:trPr>
          <w:trHeight w:val="20"/>
        </w:trPr>
        <w:tc>
          <w:tcPr>
            <w:tcW w:w="7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Weighted average remaining lease terms and weighted average discount rates as of October 31, 2022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460" w:type="dxa"/>
            <w:vAlign w:val="bottom"/>
          </w:tcPr>
          <w:p>
            <w:pPr>
              <w:spacing w:after="0"/>
              <w:rPr>
                <w:sz w:val="11"/>
                <w:szCs w:val="11"/>
                <w:color w:val="auto"/>
              </w:rPr>
            </w:pPr>
          </w:p>
        </w:tc>
        <w:tc>
          <w:tcPr>
            <w:tcW w:w="4540" w:type="dxa"/>
            <w:vAlign w:val="bottom"/>
          </w:tcPr>
          <w:p>
            <w:pPr>
              <w:jc w:val="right"/>
              <w:ind w:right="523"/>
              <w:spacing w:after="0"/>
              <w:rPr>
                <w:sz w:val="20"/>
                <w:szCs w:val="20"/>
                <w:color w:val="auto"/>
              </w:rPr>
            </w:pPr>
            <w:r>
              <w:rPr>
                <w:rFonts w:ascii="Calibri" w:cs="Calibri" w:eastAsia="Calibri" w:hAnsi="Calibri"/>
                <w:sz w:val="11"/>
                <w:szCs w:val="11"/>
                <w:b w:val="1"/>
                <w:bCs w:val="1"/>
                <w:color w:val="auto"/>
              </w:rPr>
              <w:t>Operatng Leases</w:t>
            </w:r>
          </w:p>
        </w:tc>
        <w:tc>
          <w:tcPr>
            <w:tcW w:w="1280" w:type="dxa"/>
            <w:vAlign w:val="bottom"/>
          </w:tcPr>
          <w:p>
            <w:pPr>
              <w:jc w:val="right"/>
              <w:spacing w:after="0"/>
              <w:rPr>
                <w:sz w:val="20"/>
                <w:szCs w:val="20"/>
                <w:color w:val="auto"/>
              </w:rPr>
            </w:pPr>
            <w:r>
              <w:rPr>
                <w:rFonts w:ascii="Calibri" w:cs="Calibri" w:eastAsia="Calibri" w:hAnsi="Calibri"/>
                <w:sz w:val="11"/>
                <w:szCs w:val="11"/>
                <w:b w:val="1"/>
                <w:bCs w:val="1"/>
                <w:color w:val="auto"/>
              </w:rPr>
              <w:t>Finance Leases</w:t>
            </w:r>
          </w:p>
        </w:tc>
      </w:tr>
      <w:tr>
        <w:trPr>
          <w:trHeight w:val="46"/>
        </w:trPr>
        <w:tc>
          <w:tcPr>
            <w:tcW w:w="546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51"/>
        </w:trPr>
        <w:tc>
          <w:tcPr>
            <w:tcW w:w="54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Weighted average remaining lease term (in years)</w:t>
            </w:r>
          </w:p>
        </w:tc>
        <w:tc>
          <w:tcPr>
            <w:tcW w:w="4540" w:type="dxa"/>
            <w:vAlign w:val="bottom"/>
            <w:tcBorders>
              <w:bottom w:val="single" w:sz="8" w:color="DBDBDB"/>
            </w:tcBorders>
            <w:shd w:val="clear" w:color="auto" w:fill="DBDBDB"/>
          </w:tcPr>
          <w:p>
            <w:pPr>
              <w:jc w:val="right"/>
              <w:ind w:right="523"/>
              <w:spacing w:after="0" w:line="126" w:lineRule="exact"/>
              <w:rPr>
                <w:sz w:val="20"/>
                <w:szCs w:val="20"/>
                <w:color w:val="auto"/>
              </w:rPr>
            </w:pPr>
            <w:r>
              <w:rPr>
                <w:rFonts w:ascii="Calibri" w:cs="Calibri" w:eastAsia="Calibri" w:hAnsi="Calibri"/>
                <w:sz w:val="11"/>
                <w:szCs w:val="11"/>
                <w:color w:val="auto"/>
              </w:rPr>
              <w:t>16.2</w:t>
            </w:r>
          </w:p>
        </w:tc>
        <w:tc>
          <w:tcPr>
            <w:tcW w:w="12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2.1</w:t>
            </w:r>
          </w:p>
        </w:tc>
      </w:tr>
      <w:tr>
        <w:trPr>
          <w:trHeight w:val="135"/>
        </w:trPr>
        <w:tc>
          <w:tcPr>
            <w:tcW w:w="5460" w:type="dxa"/>
            <w:vAlign w:val="bottom"/>
          </w:tcPr>
          <w:p>
            <w:pPr>
              <w:ind w:left="20"/>
              <w:spacing w:after="0"/>
              <w:rPr>
                <w:sz w:val="20"/>
                <w:szCs w:val="20"/>
                <w:color w:val="auto"/>
              </w:rPr>
            </w:pPr>
            <w:r>
              <w:rPr>
                <w:rFonts w:ascii="Calibri" w:cs="Calibri" w:eastAsia="Calibri" w:hAnsi="Calibri"/>
                <w:sz w:val="11"/>
                <w:szCs w:val="11"/>
                <w:color w:val="auto"/>
              </w:rPr>
              <w:t>Weighted average discount rate</w:t>
            </w:r>
          </w:p>
        </w:tc>
        <w:tc>
          <w:tcPr>
            <w:tcW w:w="4540" w:type="dxa"/>
            <w:vAlign w:val="bottom"/>
          </w:tcPr>
          <w:p>
            <w:pPr>
              <w:jc w:val="right"/>
              <w:ind w:right="523"/>
              <w:spacing w:after="0"/>
              <w:rPr>
                <w:sz w:val="20"/>
                <w:szCs w:val="20"/>
                <w:color w:val="auto"/>
              </w:rPr>
            </w:pPr>
            <w:r>
              <w:rPr>
                <w:rFonts w:ascii="Calibri" w:cs="Calibri" w:eastAsia="Calibri" w:hAnsi="Calibri"/>
                <w:sz w:val="11"/>
                <w:szCs w:val="11"/>
                <w:color w:val="auto"/>
              </w:rPr>
              <w:t>5.0 %</w:t>
            </w:r>
          </w:p>
        </w:tc>
        <w:tc>
          <w:tcPr>
            <w:tcW w:w="1280" w:type="dxa"/>
            <w:vAlign w:val="bottom"/>
          </w:tcPr>
          <w:p>
            <w:pPr>
              <w:jc w:val="right"/>
              <w:spacing w:after="0"/>
              <w:rPr>
                <w:sz w:val="20"/>
                <w:szCs w:val="20"/>
                <w:color w:val="auto"/>
              </w:rPr>
            </w:pPr>
            <w:r>
              <w:rPr>
                <w:rFonts w:ascii="Calibri" w:cs="Calibri" w:eastAsia="Calibri" w:hAnsi="Calibri"/>
                <w:sz w:val="11"/>
                <w:szCs w:val="11"/>
                <w:color w:val="auto"/>
              </w:rPr>
              <w:t>7.1 %</w:t>
            </w:r>
          </w:p>
        </w:tc>
      </w:tr>
      <w:tr>
        <w:trPr>
          <w:trHeight w:val="46"/>
        </w:trPr>
        <w:tc>
          <w:tcPr>
            <w:tcW w:w="546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5" w:lineRule="exact"/>
        <w:rPr>
          <w:sz w:val="20"/>
          <w:szCs w:val="20"/>
          <w:color w:val="auto"/>
        </w:rPr>
      </w:pPr>
    </w:p>
    <w:p>
      <w:pPr>
        <w:ind w:left="340" w:hanging="335"/>
        <w:spacing w:after="0"/>
        <w:tabs>
          <w:tab w:leader="none" w:pos="340" w:val="left"/>
        </w:tabs>
        <w:numPr>
          <w:ilvl w:val="0"/>
          <w:numId w:val="23"/>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Commitments and Contngencies</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Litgaton</w:t>
      </w:r>
    </w:p>
    <w:p>
      <w:pPr>
        <w:spacing w:after="0" w:line="158" w:lineRule="exact"/>
        <w:rPr>
          <w:sz w:val="20"/>
          <w:szCs w:val="20"/>
          <w:color w:val="auto"/>
        </w:rPr>
      </w:pPr>
    </w:p>
    <w:p>
      <w:pPr>
        <w:ind w:right="100" w:firstLine="509"/>
        <w:spacing w:after="0" w:line="225" w:lineRule="auto"/>
        <w:rPr>
          <w:sz w:val="20"/>
          <w:szCs w:val="20"/>
          <w:color w:val="auto"/>
        </w:rPr>
      </w:pPr>
      <w:r>
        <w:rPr>
          <w:rFonts w:ascii="Calibri" w:cs="Calibri" w:eastAsia="Calibri" w:hAnsi="Calibri"/>
          <w:sz w:val="13"/>
          <w:szCs w:val="13"/>
          <w:color w:val="auto"/>
        </w:rPr>
        <w:t>We are from tme to tme involved in legal proceedings and investgatons arising in the ordinary course of business, including those relatng to employment maters, relatonships with clients and contractors, intellectual property disputes and other business maters.</w:t>
      </w:r>
    </w:p>
    <w:p>
      <w:pPr>
        <w:spacing w:after="0" w:line="159" w:lineRule="exact"/>
        <w:rPr>
          <w:sz w:val="20"/>
          <w:szCs w:val="20"/>
          <w:color w:val="auto"/>
        </w:rPr>
      </w:pPr>
    </w:p>
    <w:p>
      <w:pPr>
        <w:ind w:right="60" w:firstLine="509"/>
        <w:spacing w:after="0" w:line="230" w:lineRule="auto"/>
        <w:rPr>
          <w:sz w:val="20"/>
          <w:szCs w:val="20"/>
          <w:color w:val="auto"/>
        </w:rPr>
      </w:pPr>
      <w:r>
        <w:rPr>
          <w:rFonts w:ascii="Calibri" w:cs="Calibri" w:eastAsia="Calibri" w:hAnsi="Calibri"/>
          <w:sz w:val="13"/>
          <w:szCs w:val="13"/>
          <w:color w:val="auto"/>
        </w:rPr>
        <w:t>On April 23, 2020, former Mission Produce, Inc. employees fled a class acton lawsuit in the Superior Court of the State of California for the County of Los Angeles against us alleging violaton of certain wage and labor laws in California, including failure to pay all overtme wages, minimum wage violatons, and meal and rest period violatons, among others. Additonally, on June 10, 2020, former Mission Produce, Inc. employees fled a class acton lawsuit in the Superior Court of the State of California for the County of Ventura against us alleging similar violatons of certain wage and labor laws. The plaintfs in both cases seek damages primarily consistng of class certfcaton and payment of wages earned and owed, plus other consequental and special damages. While the Company believes that it did not violate any wage or labor laws, it nevertheless decided to setle these class acton lawsuits. In May 2021, the plaintfs in both class acton lawsuits and the Company agreed preliminarily to a comprehensive setlement to resolve both class acton cases for a total of $0.8 million, which the Company recorded as a loss contngency in selling, general and administratve expenses in the consolidated statements of income during the three months ended April 30, 2021. The partes executed a stpulaton of setlement agreement on such terms in November 2021. This preliminary setlement was approved by the applicable courts in October 2022 and is subject to fnal approval which is currently estmated to be in the spring of 2023.</w:t>
      </w:r>
    </w:p>
    <w:p>
      <w:pPr>
        <w:spacing w:after="0" w:line="163" w:lineRule="exact"/>
        <w:rPr>
          <w:sz w:val="20"/>
          <w:szCs w:val="20"/>
          <w:color w:val="auto"/>
        </w:rPr>
      </w:pPr>
    </w:p>
    <w:p>
      <w:pPr>
        <w:ind w:right="360" w:firstLine="509"/>
        <w:spacing w:after="0" w:line="225" w:lineRule="auto"/>
        <w:rPr>
          <w:sz w:val="20"/>
          <w:szCs w:val="20"/>
          <w:color w:val="auto"/>
        </w:rPr>
      </w:pPr>
      <w:r>
        <w:rPr>
          <w:rFonts w:ascii="Calibri" w:cs="Calibri" w:eastAsia="Calibri" w:hAnsi="Calibri"/>
          <w:sz w:val="13"/>
          <w:szCs w:val="13"/>
          <w:color w:val="auto"/>
        </w:rPr>
        <w:t>The outcomes of our legal proceedings and other contngencies are inherently unpredictable, subject to signifcant uncertaintes, and if one or more legal maters were resolved against the Company in a reportng period for amounts above management’s expectatons, the Company’s fnancial conditon and operatng results for that period could be materially adversely afected.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2" w:name="page63"/>
    <w:bookmarkEnd w:id="62"/>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16"/>
          <w:szCs w:val="16"/>
          <w:b w:val="1"/>
          <w:bCs w:val="1"/>
          <w:color w:val="auto"/>
        </w:rPr>
        <w:t>10.</w:t>
        <w:tab/>
        <w:t>Income Taxes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The components of the provision for income taxes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Years ended October 31,</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center"/>
              <w:ind w:left="303"/>
              <w:spacing w:after="0" w:line="126" w:lineRule="exact"/>
              <w:rPr>
                <w:sz w:val="20"/>
                <w:szCs w:val="20"/>
                <w:color w:val="auto"/>
              </w:rPr>
            </w:pPr>
            <w:r>
              <w:rPr>
                <w:rFonts w:ascii="Calibri" w:cs="Calibri" w:eastAsia="Calibri" w:hAnsi="Calibri"/>
                <w:sz w:val="11"/>
                <w:szCs w:val="11"/>
                <w:b w:val="1"/>
                <w:bCs w:val="1"/>
                <w:color w:val="auto"/>
                <w:w w:val="98"/>
              </w:rPr>
              <w:t>2022</w:t>
            </w:r>
          </w:p>
        </w:tc>
        <w:tc>
          <w:tcPr>
            <w:tcW w:w="220" w:type="dxa"/>
            <w:vAlign w:val="bottom"/>
          </w:tcPr>
          <w:p>
            <w:pPr>
              <w:spacing w:after="0"/>
              <w:rPr>
                <w:sz w:val="10"/>
                <w:szCs w:val="10"/>
                <w:color w:val="auto"/>
              </w:rPr>
            </w:pPr>
          </w:p>
        </w:tc>
        <w:tc>
          <w:tcPr>
            <w:tcW w:w="140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2021</w:t>
            </w:r>
          </w:p>
        </w:tc>
        <w:tc>
          <w:tcPr>
            <w:tcW w:w="720" w:type="dxa"/>
            <w:vAlign w:val="bottom"/>
          </w:tcPr>
          <w:p>
            <w:pPr>
              <w:spacing w:after="0"/>
              <w:rPr>
                <w:sz w:val="10"/>
                <w:szCs w:val="10"/>
                <w:color w:val="auto"/>
              </w:rPr>
            </w:pPr>
          </w:p>
        </w:tc>
        <w:tc>
          <w:tcPr>
            <w:tcW w:w="760" w:type="dxa"/>
            <w:vAlign w:val="bottom"/>
          </w:tcPr>
          <w:p>
            <w:pPr>
              <w:jc w:val="center"/>
              <w:ind w:left="443"/>
              <w:spacing w:after="0" w:line="126" w:lineRule="exact"/>
              <w:rPr>
                <w:sz w:val="20"/>
                <w:szCs w:val="20"/>
                <w:color w:val="auto"/>
              </w:rPr>
            </w:pPr>
            <w:r>
              <w:rPr>
                <w:rFonts w:ascii="Calibri" w:cs="Calibri" w:eastAsia="Calibri" w:hAnsi="Calibri"/>
                <w:sz w:val="11"/>
                <w:szCs w:val="11"/>
                <w:b w:val="1"/>
                <w:bCs w:val="1"/>
                <w:color w:val="auto"/>
                <w:w w:val="98"/>
              </w:rPr>
              <w:t>2020</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Current</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spacing w:after="0"/>
              <w:rPr>
                <w:sz w:val="13"/>
                <w:szCs w:val="13"/>
                <w:color w:val="auto"/>
              </w:rPr>
            </w:pP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spacing w:after="0"/>
              <w:rPr>
                <w:sz w:val="13"/>
                <w:szCs w:val="13"/>
                <w:color w:val="auto"/>
              </w:rPr>
            </w:pPr>
          </w:p>
        </w:tc>
        <w:tc>
          <w:tcPr>
            <w:tcW w:w="72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700" w:type="dxa"/>
            <w:vAlign w:val="bottom"/>
          </w:tcPr>
          <w:p>
            <w:pPr>
              <w:ind w:left="280"/>
              <w:spacing w:after="0"/>
              <w:rPr>
                <w:sz w:val="20"/>
                <w:szCs w:val="20"/>
                <w:color w:val="auto"/>
              </w:rPr>
            </w:pPr>
            <w:r>
              <w:rPr>
                <w:rFonts w:ascii="Calibri" w:cs="Calibri" w:eastAsia="Calibri" w:hAnsi="Calibri"/>
                <w:sz w:val="11"/>
                <w:szCs w:val="11"/>
                <w:color w:val="auto"/>
              </w:rPr>
              <w:t>Federal</w:t>
            </w:r>
          </w:p>
        </w:tc>
        <w:tc>
          <w:tcPr>
            <w:tcW w:w="580" w:type="dxa"/>
            <w:vAlign w:val="bottom"/>
          </w:tcPr>
          <w:p>
            <w:pPr>
              <w:jc w:val="right"/>
              <w:ind w:right="443"/>
              <w:spacing w:after="0"/>
              <w:rPr>
                <w:sz w:val="20"/>
                <w:szCs w:val="20"/>
                <w:color w:val="auto"/>
              </w:rPr>
            </w:pPr>
            <w:r>
              <w:rPr>
                <w:rFonts w:ascii="Calibri" w:cs="Calibri" w:eastAsia="Calibri" w:hAnsi="Calibri"/>
                <w:sz w:val="11"/>
                <w:szCs w:val="11"/>
                <w:color w:val="auto"/>
              </w:rPr>
              <w:t>$</w:t>
            </w:r>
          </w:p>
        </w:tc>
        <w:tc>
          <w:tcPr>
            <w:tcW w:w="900" w:type="dxa"/>
            <w:vAlign w:val="bottom"/>
          </w:tcPr>
          <w:p>
            <w:pPr>
              <w:jc w:val="right"/>
              <w:ind w:right="143"/>
              <w:spacing w:after="0"/>
              <w:rPr>
                <w:sz w:val="20"/>
                <w:szCs w:val="20"/>
                <w:color w:val="auto"/>
              </w:rPr>
            </w:pPr>
            <w:r>
              <w:rPr>
                <w:rFonts w:ascii="Calibri" w:cs="Calibri" w:eastAsia="Calibri" w:hAnsi="Calibri"/>
                <w:sz w:val="11"/>
                <w:szCs w:val="11"/>
                <w:color w:val="auto"/>
              </w:rPr>
              <w:t>0.5</w:t>
            </w:r>
          </w:p>
        </w:tc>
        <w:tc>
          <w:tcPr>
            <w:tcW w:w="2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2.2</w:t>
            </w:r>
          </w:p>
        </w:tc>
        <w:tc>
          <w:tcPr>
            <w:tcW w:w="720" w:type="dxa"/>
            <w:vAlign w:val="bottom"/>
          </w:tcPr>
          <w:p>
            <w:pPr>
              <w:jc w:val="right"/>
              <w:ind w:right="443"/>
              <w:spacing w:after="0"/>
              <w:rPr>
                <w:sz w:val="20"/>
                <w:szCs w:val="20"/>
                <w:color w:val="auto"/>
              </w:rPr>
            </w:pPr>
            <w:r>
              <w:rPr>
                <w:rFonts w:ascii="Calibri" w:cs="Calibri" w:eastAsia="Calibri" w:hAnsi="Calibri"/>
                <w:sz w:val="11"/>
                <w:szCs w:val="11"/>
                <w:color w:val="auto"/>
              </w:rPr>
              <w:t>$</w:t>
            </w:r>
          </w:p>
        </w:tc>
        <w:tc>
          <w:tcPr>
            <w:tcW w:w="760" w:type="dxa"/>
            <w:vAlign w:val="bottom"/>
          </w:tcPr>
          <w:p>
            <w:pPr>
              <w:jc w:val="right"/>
              <w:spacing w:after="0"/>
              <w:rPr>
                <w:sz w:val="20"/>
                <w:szCs w:val="20"/>
                <w:color w:val="auto"/>
              </w:rPr>
            </w:pPr>
            <w:r>
              <w:rPr>
                <w:rFonts w:ascii="Calibri" w:cs="Calibri" w:eastAsia="Calibri" w:hAnsi="Calibri"/>
                <w:sz w:val="11"/>
                <w:szCs w:val="11"/>
                <w:color w:val="auto"/>
              </w:rPr>
              <w:t>4.6</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State</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center"/>
              <w:ind w:left="303"/>
              <w:spacing w:after="0"/>
              <w:rPr>
                <w:sz w:val="20"/>
                <w:szCs w:val="20"/>
                <w:color w:val="auto"/>
              </w:rPr>
            </w:pPr>
            <w:r>
              <w:rPr>
                <w:rFonts w:ascii="Calibri" w:cs="Calibri" w:eastAsia="Calibri" w:hAnsi="Calibri"/>
                <w:sz w:val="11"/>
                <w:szCs w:val="11"/>
                <w:color w:val="auto"/>
              </w:rPr>
              <w:t>(0.1)</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0.6</w:t>
            </w:r>
          </w:p>
        </w:tc>
        <w:tc>
          <w:tcPr>
            <w:tcW w:w="72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0.7</w:t>
            </w:r>
          </w:p>
        </w:tc>
        <w:tc>
          <w:tcPr>
            <w:tcW w:w="0" w:type="dxa"/>
            <w:vAlign w:val="bottom"/>
          </w:tcPr>
          <w:p>
            <w:pPr>
              <w:spacing w:after="0"/>
              <w:rPr>
                <w:sz w:val="1"/>
                <w:szCs w:val="1"/>
                <w:color w:val="auto"/>
              </w:rPr>
            </w:pPr>
          </w:p>
        </w:tc>
      </w:tr>
      <w:tr>
        <w:trPr>
          <w:trHeight w:val="135"/>
        </w:trPr>
        <w:tc>
          <w:tcPr>
            <w:tcW w:w="6700" w:type="dxa"/>
            <w:vAlign w:val="bottom"/>
          </w:tcPr>
          <w:p>
            <w:pPr>
              <w:ind w:left="280"/>
              <w:spacing w:after="0"/>
              <w:rPr>
                <w:sz w:val="20"/>
                <w:szCs w:val="20"/>
                <w:color w:val="auto"/>
              </w:rPr>
            </w:pPr>
            <w:r>
              <w:rPr>
                <w:rFonts w:ascii="Calibri" w:cs="Calibri" w:eastAsia="Calibri" w:hAnsi="Calibri"/>
                <w:sz w:val="11"/>
                <w:szCs w:val="11"/>
                <w:color w:val="auto"/>
              </w:rPr>
              <w:t>Foreign</w:t>
            </w:r>
          </w:p>
        </w:tc>
        <w:tc>
          <w:tcPr>
            <w:tcW w:w="580" w:type="dxa"/>
            <w:vAlign w:val="bottom"/>
          </w:tcPr>
          <w:p>
            <w:pPr>
              <w:spacing w:after="0"/>
              <w:rPr>
                <w:sz w:val="11"/>
                <w:szCs w:val="11"/>
                <w:color w:val="auto"/>
              </w:rPr>
            </w:pPr>
          </w:p>
        </w:tc>
        <w:tc>
          <w:tcPr>
            <w:tcW w:w="900" w:type="dxa"/>
            <w:vAlign w:val="bottom"/>
          </w:tcPr>
          <w:p>
            <w:pPr>
              <w:jc w:val="right"/>
              <w:ind w:right="143"/>
              <w:spacing w:after="0"/>
              <w:rPr>
                <w:sz w:val="20"/>
                <w:szCs w:val="20"/>
                <w:color w:val="auto"/>
              </w:rPr>
            </w:pPr>
            <w:r>
              <w:rPr>
                <w:rFonts w:ascii="Calibri" w:cs="Calibri" w:eastAsia="Calibri" w:hAnsi="Calibri"/>
                <w:sz w:val="11"/>
                <w:szCs w:val="11"/>
                <w:color w:val="auto"/>
              </w:rPr>
              <w:t>3.9</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9.5</w:t>
            </w:r>
          </w:p>
        </w:tc>
        <w:tc>
          <w:tcPr>
            <w:tcW w:w="7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alibri" w:cs="Calibri" w:eastAsia="Calibri" w:hAnsi="Calibri"/>
                <w:sz w:val="11"/>
                <w:szCs w:val="11"/>
                <w:color w:val="auto"/>
              </w:rPr>
              <w:t>10.7</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current</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4.3</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12.3</w:t>
            </w:r>
          </w:p>
        </w:tc>
        <w:tc>
          <w:tcPr>
            <w:tcW w:w="72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16.0</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Deferred</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Federal</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0.7</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2.6</w:t>
            </w:r>
          </w:p>
        </w:tc>
        <w:tc>
          <w:tcPr>
            <w:tcW w:w="72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1.1</w:t>
            </w:r>
          </w:p>
        </w:tc>
        <w:tc>
          <w:tcPr>
            <w:tcW w:w="0" w:type="dxa"/>
            <w:vAlign w:val="bottom"/>
          </w:tcPr>
          <w:p>
            <w:pPr>
              <w:spacing w:after="0"/>
              <w:rPr>
                <w:sz w:val="1"/>
                <w:szCs w:val="1"/>
                <w:color w:val="auto"/>
              </w:rPr>
            </w:pPr>
          </w:p>
        </w:tc>
      </w:tr>
      <w:tr>
        <w:trPr>
          <w:trHeight w:val="135"/>
        </w:trPr>
        <w:tc>
          <w:tcPr>
            <w:tcW w:w="6700" w:type="dxa"/>
            <w:vAlign w:val="bottom"/>
          </w:tcPr>
          <w:p>
            <w:pPr>
              <w:ind w:left="280"/>
              <w:spacing w:after="0"/>
              <w:rPr>
                <w:sz w:val="20"/>
                <w:szCs w:val="20"/>
                <w:color w:val="auto"/>
              </w:rPr>
            </w:pPr>
            <w:r>
              <w:rPr>
                <w:rFonts w:ascii="Calibri" w:cs="Calibri" w:eastAsia="Calibri" w:hAnsi="Calibri"/>
                <w:sz w:val="11"/>
                <w:szCs w:val="11"/>
                <w:color w:val="auto"/>
              </w:rPr>
              <w:t>State</w:t>
            </w:r>
          </w:p>
        </w:tc>
        <w:tc>
          <w:tcPr>
            <w:tcW w:w="580" w:type="dxa"/>
            <w:vAlign w:val="bottom"/>
          </w:tcPr>
          <w:p>
            <w:pPr>
              <w:spacing w:after="0"/>
              <w:rPr>
                <w:sz w:val="11"/>
                <w:szCs w:val="11"/>
                <w:color w:val="auto"/>
              </w:rPr>
            </w:pPr>
          </w:p>
        </w:tc>
        <w:tc>
          <w:tcPr>
            <w:tcW w:w="900" w:type="dxa"/>
            <w:vAlign w:val="bottom"/>
          </w:tcPr>
          <w:p>
            <w:pPr>
              <w:jc w:val="right"/>
              <w:ind w:right="143"/>
              <w:spacing w:after="0"/>
              <w:rPr>
                <w:sz w:val="20"/>
                <w:szCs w:val="20"/>
                <w:color w:val="auto"/>
              </w:rPr>
            </w:pPr>
            <w:r>
              <w:rPr>
                <w:rFonts w:ascii="Calibri" w:cs="Calibri" w:eastAsia="Calibri" w:hAnsi="Calibri"/>
                <w:sz w:val="11"/>
                <w:szCs w:val="11"/>
                <w:color w:val="auto"/>
              </w:rPr>
              <w:t>0.2</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0.3</w:t>
            </w:r>
          </w:p>
        </w:tc>
        <w:tc>
          <w:tcPr>
            <w:tcW w:w="720" w:type="dxa"/>
            <w:vAlign w:val="bottom"/>
          </w:tcPr>
          <w:p>
            <w:pPr>
              <w:spacing w:after="0"/>
              <w:rPr>
                <w:sz w:val="11"/>
                <w:szCs w:val="11"/>
                <w:color w:val="auto"/>
              </w:rPr>
            </w:pPr>
          </w:p>
        </w:tc>
        <w:tc>
          <w:tcPr>
            <w:tcW w:w="760" w:type="dxa"/>
            <w:vAlign w:val="bottom"/>
          </w:tcPr>
          <w:p>
            <w:pPr>
              <w:jc w:val="center"/>
              <w:ind w:left="463"/>
              <w:spacing w:after="0"/>
              <w:rPr>
                <w:sz w:val="20"/>
                <w:szCs w:val="20"/>
                <w:color w:val="auto"/>
              </w:rPr>
            </w:pPr>
            <w:r>
              <w:rPr>
                <w:rFonts w:ascii="Calibri" w:cs="Calibri" w:eastAsia="Calibri" w:hAnsi="Calibri"/>
                <w:sz w:val="11"/>
                <w:szCs w:val="11"/>
                <w:color w:val="auto"/>
                <w:w w:val="96"/>
              </w:rPr>
              <w:t>(0.2)</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DBDBDB"/>
            </w:tcBorders>
            <w:shd w:val="clear" w:color="auto" w:fill="DBDBDB"/>
          </w:tcPr>
          <w:p>
            <w:pPr>
              <w:ind w:left="280"/>
              <w:spacing w:after="0"/>
              <w:rPr>
                <w:sz w:val="20"/>
                <w:szCs w:val="20"/>
                <w:color w:val="auto"/>
              </w:rPr>
            </w:pPr>
            <w:r>
              <w:rPr>
                <w:rFonts w:ascii="Calibri" w:cs="Calibri" w:eastAsia="Calibri" w:hAnsi="Calibri"/>
                <w:sz w:val="11"/>
                <w:szCs w:val="11"/>
                <w:color w:val="auto"/>
              </w:rPr>
              <w:t>Foreign</w:t>
            </w:r>
          </w:p>
        </w:tc>
        <w:tc>
          <w:tcPr>
            <w:tcW w:w="5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center"/>
              <w:ind w:left="303"/>
              <w:spacing w:after="0"/>
              <w:rPr>
                <w:sz w:val="20"/>
                <w:szCs w:val="20"/>
                <w:color w:val="auto"/>
              </w:rPr>
            </w:pPr>
            <w:r>
              <w:rPr>
                <w:rFonts w:ascii="Calibri" w:cs="Calibri" w:eastAsia="Calibri" w:hAnsi="Calibri"/>
                <w:sz w:val="11"/>
                <w:szCs w:val="11"/>
                <w:color w:val="auto"/>
              </w:rPr>
              <w:t>(1.5)</w:t>
            </w:r>
          </w:p>
        </w:tc>
        <w:tc>
          <w:tcPr>
            <w:tcW w:w="22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5.9</w:t>
            </w:r>
          </w:p>
        </w:tc>
        <w:tc>
          <w:tcPr>
            <w:tcW w:w="720" w:type="dxa"/>
            <w:vAlign w:val="bottom"/>
            <w:tcBorders>
              <w:bottom w:val="single" w:sz="8" w:color="DBDBDB"/>
            </w:tcBorders>
            <w:shd w:val="clear" w:color="auto" w:fill="DBDBDB"/>
          </w:tcPr>
          <w:p>
            <w:pPr>
              <w:spacing w:after="0"/>
              <w:rPr>
                <w:sz w:val="15"/>
                <w:szCs w:val="15"/>
                <w:color w:val="auto"/>
              </w:rPr>
            </w:pPr>
          </w:p>
        </w:tc>
        <w:tc>
          <w:tcPr>
            <w:tcW w:w="760" w:type="dxa"/>
            <w:vAlign w:val="bottom"/>
            <w:tcBorders>
              <w:bottom w:val="single" w:sz="8" w:color="DBDBDB"/>
            </w:tcBorders>
            <w:shd w:val="clear" w:color="auto" w:fill="DBDBDB"/>
          </w:tcPr>
          <w:p>
            <w:pPr>
              <w:jc w:val="center"/>
              <w:ind w:left="463"/>
              <w:spacing w:after="0"/>
              <w:rPr>
                <w:sz w:val="20"/>
                <w:szCs w:val="20"/>
                <w:color w:val="auto"/>
              </w:rPr>
            </w:pPr>
            <w:r>
              <w:rPr>
                <w:rFonts w:ascii="Calibri" w:cs="Calibri" w:eastAsia="Calibri" w:hAnsi="Calibri"/>
                <w:sz w:val="11"/>
                <w:szCs w:val="11"/>
                <w:color w:val="auto"/>
                <w:w w:val="96"/>
              </w:rPr>
              <w:t>(1.9)</w:t>
            </w:r>
          </w:p>
        </w:tc>
        <w:tc>
          <w:tcPr>
            <w:tcW w:w="0" w:type="dxa"/>
            <w:vAlign w:val="bottom"/>
          </w:tcPr>
          <w:p>
            <w:pPr>
              <w:spacing w:after="0"/>
              <w:rPr>
                <w:sz w:val="1"/>
                <w:szCs w:val="1"/>
                <w:color w:val="auto"/>
              </w:rPr>
            </w:pPr>
          </w:p>
        </w:tc>
      </w:tr>
      <w:tr>
        <w:trPr>
          <w:trHeight w:val="125"/>
        </w:trPr>
        <w:tc>
          <w:tcPr>
            <w:tcW w:w="67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deferred</w:t>
            </w:r>
          </w:p>
        </w:tc>
        <w:tc>
          <w:tcPr>
            <w:tcW w:w="5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left="303"/>
              <w:spacing w:after="0" w:line="126" w:lineRule="exact"/>
              <w:rPr>
                <w:sz w:val="20"/>
                <w:szCs w:val="20"/>
                <w:color w:val="auto"/>
              </w:rPr>
            </w:pPr>
            <w:r>
              <w:rPr>
                <w:rFonts w:ascii="Calibri" w:cs="Calibri" w:eastAsia="Calibri" w:hAnsi="Calibri"/>
                <w:sz w:val="11"/>
                <w:szCs w:val="11"/>
                <w:color w:val="auto"/>
              </w:rPr>
              <w:t>(0.6)</w:t>
            </w:r>
          </w:p>
        </w:tc>
        <w:tc>
          <w:tcPr>
            <w:tcW w:w="2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8.8</w:t>
            </w:r>
          </w:p>
        </w:tc>
        <w:tc>
          <w:tcPr>
            <w:tcW w:w="7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left="463"/>
              <w:spacing w:after="0" w:line="126" w:lineRule="exact"/>
              <w:rPr>
                <w:sz w:val="20"/>
                <w:szCs w:val="20"/>
                <w:color w:val="auto"/>
              </w:rPr>
            </w:pPr>
            <w:r>
              <w:rPr>
                <w:rFonts w:ascii="Calibri" w:cs="Calibri" w:eastAsia="Calibri" w:hAnsi="Calibri"/>
                <w:sz w:val="11"/>
                <w:szCs w:val="11"/>
                <w:color w:val="auto"/>
                <w:w w:val="96"/>
              </w:rPr>
              <w:t>(1.0)</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Provision for income taxes</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3.7</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21.1</w:t>
            </w:r>
          </w:p>
        </w:tc>
        <w:tc>
          <w:tcPr>
            <w:tcW w:w="72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15.0</w:t>
            </w:r>
          </w:p>
        </w:tc>
        <w:tc>
          <w:tcPr>
            <w:tcW w:w="0" w:type="dxa"/>
            <w:vAlign w:val="bottom"/>
          </w:tcPr>
          <w:p>
            <w:pPr>
              <w:spacing w:after="0"/>
              <w:rPr>
                <w:sz w:val="1"/>
                <w:szCs w:val="1"/>
                <w:color w:val="auto"/>
              </w:rPr>
            </w:pPr>
          </w:p>
        </w:tc>
      </w:tr>
      <w:tr>
        <w:trPr>
          <w:trHeight w:val="20"/>
        </w:trPr>
        <w:tc>
          <w:tcPr>
            <w:tcW w:w="6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U.S. and foreign components of (loss) income before income taxes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Calibri" w:cs="Calibri" w:eastAsia="Calibri" w:hAnsi="Calibri"/>
                <w:sz w:val="11"/>
                <w:szCs w:val="11"/>
                <w:b w:val="1"/>
                <w:bCs w:val="1"/>
                <w:color w:val="auto"/>
              </w:rPr>
              <w:t>Years ended October 31,</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400" w:type="dxa"/>
            <w:vAlign w:val="bottom"/>
          </w:tcPr>
          <w:p>
            <w:pPr>
              <w:ind w:left="1020"/>
              <w:spacing w:after="0" w:line="126" w:lineRule="exact"/>
              <w:rPr>
                <w:sz w:val="20"/>
                <w:szCs w:val="20"/>
                <w:color w:val="auto"/>
              </w:rPr>
            </w:pPr>
            <w:r>
              <w:rPr>
                <w:rFonts w:ascii="Calibri" w:cs="Calibri" w:eastAsia="Calibri" w:hAnsi="Calibri"/>
                <w:sz w:val="11"/>
                <w:szCs w:val="11"/>
                <w:b w:val="1"/>
                <w:bCs w:val="1"/>
                <w:color w:val="auto"/>
              </w:rPr>
              <w:t>2021</w:t>
            </w:r>
          </w:p>
        </w:tc>
        <w:tc>
          <w:tcPr>
            <w:tcW w:w="720" w:type="dxa"/>
            <w:vAlign w:val="bottom"/>
          </w:tcPr>
          <w:p>
            <w:pPr>
              <w:spacing w:after="0"/>
              <w:rPr>
                <w:sz w:val="10"/>
                <w:szCs w:val="10"/>
                <w:color w:val="auto"/>
              </w:rPr>
            </w:pPr>
          </w:p>
        </w:tc>
        <w:tc>
          <w:tcPr>
            <w:tcW w:w="760" w:type="dxa"/>
            <w:vAlign w:val="bottom"/>
          </w:tcPr>
          <w:p>
            <w:pPr>
              <w:ind w:left="520"/>
              <w:spacing w:after="0" w:line="126" w:lineRule="exact"/>
              <w:rPr>
                <w:sz w:val="20"/>
                <w:szCs w:val="20"/>
                <w:color w:val="auto"/>
              </w:rPr>
            </w:pPr>
            <w:r>
              <w:rPr>
                <w:rFonts w:ascii="Calibri" w:cs="Calibri" w:eastAsia="Calibri" w:hAnsi="Calibri"/>
                <w:sz w:val="11"/>
                <w:szCs w:val="11"/>
                <w:b w:val="1"/>
                <w:bCs w:val="1"/>
                <w:color w:val="auto"/>
                <w:w w:val="98"/>
              </w:rPr>
              <w:t>2020</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U.S.</w:t>
            </w:r>
          </w:p>
        </w:tc>
        <w:tc>
          <w:tcPr>
            <w:tcW w:w="56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1.9</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ind w:left="1020"/>
              <w:spacing w:after="0" w:line="126" w:lineRule="exact"/>
              <w:rPr>
                <w:sz w:val="20"/>
                <w:szCs w:val="20"/>
                <w:color w:val="auto"/>
              </w:rPr>
            </w:pPr>
            <w:r>
              <w:rPr>
                <w:rFonts w:ascii="Calibri" w:cs="Calibri" w:eastAsia="Calibri" w:hAnsi="Calibri"/>
                <w:sz w:val="11"/>
                <w:szCs w:val="11"/>
                <w:color w:val="auto"/>
              </w:rPr>
              <w:t>20.8</w:t>
            </w:r>
          </w:p>
        </w:tc>
        <w:tc>
          <w:tcPr>
            <w:tcW w:w="72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ind w:left="520"/>
              <w:spacing w:after="0" w:line="126" w:lineRule="exact"/>
              <w:rPr>
                <w:sz w:val="20"/>
                <w:szCs w:val="20"/>
                <w:color w:val="auto"/>
              </w:rPr>
            </w:pPr>
            <w:r>
              <w:rPr>
                <w:rFonts w:ascii="Calibri" w:cs="Calibri" w:eastAsia="Calibri" w:hAnsi="Calibri"/>
                <w:sz w:val="11"/>
                <w:szCs w:val="11"/>
                <w:color w:val="auto"/>
              </w:rPr>
              <w:t>31.0</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Foreign</w:t>
            </w:r>
          </w:p>
        </w:tc>
        <w:tc>
          <w:tcPr>
            <w:tcW w:w="56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(33.1)</w:t>
            </w:r>
          </w:p>
        </w:tc>
        <w:tc>
          <w:tcPr>
            <w:tcW w:w="220" w:type="dxa"/>
            <w:vAlign w:val="bottom"/>
          </w:tcPr>
          <w:p>
            <w:pPr>
              <w:spacing w:after="0"/>
              <w:rPr>
                <w:sz w:val="11"/>
                <w:szCs w:val="11"/>
                <w:color w:val="auto"/>
              </w:rPr>
            </w:pPr>
          </w:p>
        </w:tc>
        <w:tc>
          <w:tcPr>
            <w:tcW w:w="1400" w:type="dxa"/>
            <w:vAlign w:val="bottom"/>
          </w:tcPr>
          <w:p>
            <w:pPr>
              <w:ind w:left="1020"/>
              <w:spacing w:after="0"/>
              <w:rPr>
                <w:sz w:val="20"/>
                <w:szCs w:val="20"/>
                <w:color w:val="auto"/>
              </w:rPr>
            </w:pPr>
            <w:r>
              <w:rPr>
                <w:rFonts w:ascii="Calibri" w:cs="Calibri" w:eastAsia="Calibri" w:hAnsi="Calibri"/>
                <w:sz w:val="11"/>
                <w:szCs w:val="11"/>
                <w:color w:val="auto"/>
              </w:rPr>
              <w:t>45.2</w:t>
            </w:r>
          </w:p>
        </w:tc>
        <w:tc>
          <w:tcPr>
            <w:tcW w:w="720" w:type="dxa"/>
            <w:vAlign w:val="bottom"/>
          </w:tcPr>
          <w:p>
            <w:pPr>
              <w:spacing w:after="0"/>
              <w:rPr>
                <w:sz w:val="11"/>
                <w:szCs w:val="11"/>
                <w:color w:val="auto"/>
              </w:rPr>
            </w:pPr>
          </w:p>
        </w:tc>
        <w:tc>
          <w:tcPr>
            <w:tcW w:w="760" w:type="dxa"/>
            <w:vAlign w:val="bottom"/>
          </w:tcPr>
          <w:p>
            <w:pPr>
              <w:ind w:left="520"/>
              <w:spacing w:after="0"/>
              <w:rPr>
                <w:sz w:val="20"/>
                <w:szCs w:val="20"/>
                <w:color w:val="auto"/>
              </w:rPr>
            </w:pPr>
            <w:r>
              <w:rPr>
                <w:rFonts w:ascii="Calibri" w:cs="Calibri" w:eastAsia="Calibri" w:hAnsi="Calibri"/>
                <w:sz w:val="11"/>
                <w:szCs w:val="11"/>
                <w:color w:val="auto"/>
              </w:rPr>
              <w:t>12.8</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(Loss) income before income taxes</w:t>
            </w:r>
          </w:p>
        </w:tc>
        <w:tc>
          <w:tcPr>
            <w:tcW w:w="56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(31.2)</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ind w:left="1020"/>
              <w:spacing w:after="0" w:line="126" w:lineRule="exact"/>
              <w:rPr>
                <w:sz w:val="20"/>
                <w:szCs w:val="20"/>
                <w:color w:val="auto"/>
              </w:rPr>
            </w:pPr>
            <w:r>
              <w:rPr>
                <w:rFonts w:ascii="Calibri" w:cs="Calibri" w:eastAsia="Calibri" w:hAnsi="Calibri"/>
                <w:sz w:val="11"/>
                <w:szCs w:val="11"/>
                <w:color w:val="auto"/>
              </w:rPr>
              <w:t>66.0</w:t>
            </w:r>
          </w:p>
        </w:tc>
        <w:tc>
          <w:tcPr>
            <w:tcW w:w="72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ind w:left="520"/>
              <w:spacing w:after="0" w:line="126" w:lineRule="exact"/>
              <w:rPr>
                <w:sz w:val="20"/>
                <w:szCs w:val="20"/>
                <w:color w:val="auto"/>
              </w:rPr>
            </w:pPr>
            <w:r>
              <w:rPr>
                <w:rFonts w:ascii="Calibri" w:cs="Calibri" w:eastAsia="Calibri" w:hAnsi="Calibri"/>
                <w:sz w:val="11"/>
                <w:szCs w:val="11"/>
                <w:color w:val="auto"/>
              </w:rPr>
              <w:t>43.8</w:t>
            </w:r>
          </w:p>
        </w:tc>
        <w:tc>
          <w:tcPr>
            <w:tcW w:w="0" w:type="dxa"/>
            <w:vAlign w:val="bottom"/>
          </w:tcPr>
          <w:p>
            <w:pPr>
              <w:spacing w:after="0"/>
              <w:rPr>
                <w:sz w:val="1"/>
                <w:szCs w:val="1"/>
                <w:color w:val="auto"/>
              </w:rPr>
            </w:pPr>
          </w:p>
        </w:tc>
      </w:tr>
      <w:tr>
        <w:trPr>
          <w:trHeight w:val="20"/>
        </w:trPr>
        <w:tc>
          <w:tcPr>
            <w:tcW w:w="6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 reconciliaton of the provision for income taxes computed at the federal statutory tax rate to income taxes as refected in the fnancial statements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160" w:type="dxa"/>
            <w:vAlign w:val="bottom"/>
          </w:tcPr>
          <w:p>
            <w:pPr>
              <w:jc w:val="right"/>
              <w:ind w:right="743"/>
              <w:spacing w:after="0"/>
              <w:rPr>
                <w:sz w:val="20"/>
                <w:szCs w:val="20"/>
                <w:color w:val="auto"/>
              </w:rPr>
            </w:pPr>
            <w:r>
              <w:rPr>
                <w:rFonts w:ascii="Calibri" w:cs="Calibri" w:eastAsia="Calibri" w:hAnsi="Calibri"/>
                <w:sz w:val="11"/>
                <w:szCs w:val="11"/>
                <w:b w:val="1"/>
                <w:bCs w:val="1"/>
                <w:color w:val="auto"/>
              </w:rPr>
              <w:t>Years ended October 31,</w:t>
            </w:r>
          </w:p>
        </w:tc>
        <w:tc>
          <w:tcPr>
            <w:tcW w:w="1000" w:type="dxa"/>
            <w:vAlign w:val="bottom"/>
          </w:tcPr>
          <w:p>
            <w:pPr>
              <w:spacing w:after="0"/>
              <w:rPr>
                <w:sz w:val="11"/>
                <w:szCs w:val="11"/>
                <w:color w:val="auto"/>
              </w:rPr>
            </w:pPr>
          </w:p>
        </w:tc>
      </w:tr>
      <w:tr>
        <w:trPr>
          <w:trHeight w:val="46"/>
        </w:trPr>
        <w:tc>
          <w:tcPr>
            <w:tcW w:w="654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25"/>
        </w:trPr>
        <w:tc>
          <w:tcPr>
            <w:tcW w:w="6540" w:type="dxa"/>
            <w:vAlign w:val="bottom"/>
          </w:tcPr>
          <w:p>
            <w:pPr>
              <w:spacing w:after="0"/>
              <w:rPr>
                <w:sz w:val="10"/>
                <w:szCs w:val="10"/>
                <w:color w:val="auto"/>
              </w:rPr>
            </w:pPr>
          </w:p>
        </w:tc>
        <w:tc>
          <w:tcPr>
            <w:tcW w:w="158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2022</w:t>
            </w:r>
          </w:p>
        </w:tc>
        <w:tc>
          <w:tcPr>
            <w:tcW w:w="2160" w:type="dxa"/>
            <w:vAlign w:val="bottom"/>
          </w:tcPr>
          <w:p>
            <w:pPr>
              <w:jc w:val="right"/>
              <w:ind w:right="623"/>
              <w:spacing w:after="0" w:line="126" w:lineRule="exact"/>
              <w:rPr>
                <w:sz w:val="20"/>
                <w:szCs w:val="20"/>
                <w:color w:val="auto"/>
              </w:rPr>
            </w:pPr>
            <w:r>
              <w:rPr>
                <w:rFonts w:ascii="Calibri" w:cs="Calibri" w:eastAsia="Calibri" w:hAnsi="Calibri"/>
                <w:sz w:val="11"/>
                <w:szCs w:val="11"/>
                <w:b w:val="1"/>
                <w:bCs w:val="1"/>
                <w:color w:val="auto"/>
              </w:rPr>
              <w:t>2021</w:t>
            </w:r>
          </w:p>
        </w:tc>
        <w:tc>
          <w:tcPr>
            <w:tcW w:w="100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2020</w:t>
            </w:r>
          </w:p>
        </w:tc>
      </w:tr>
      <w:tr>
        <w:trPr>
          <w:trHeight w:val="46"/>
        </w:trPr>
        <w:tc>
          <w:tcPr>
            <w:tcW w:w="6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51"/>
        </w:trPr>
        <w:tc>
          <w:tcPr>
            <w:tcW w:w="65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Federal statutory rate</w:t>
            </w:r>
          </w:p>
        </w:tc>
        <w:tc>
          <w:tcPr>
            <w:tcW w:w="158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21.0 %</w:t>
            </w:r>
          </w:p>
        </w:tc>
        <w:tc>
          <w:tcPr>
            <w:tcW w:w="2160" w:type="dxa"/>
            <w:vAlign w:val="bottom"/>
            <w:tcBorders>
              <w:bottom w:val="single" w:sz="8" w:color="DBDBDB"/>
            </w:tcBorders>
            <w:shd w:val="clear" w:color="auto" w:fill="DBDBDB"/>
          </w:tcPr>
          <w:p>
            <w:pPr>
              <w:jc w:val="right"/>
              <w:ind w:right="623"/>
              <w:spacing w:after="0" w:line="126" w:lineRule="exact"/>
              <w:rPr>
                <w:sz w:val="20"/>
                <w:szCs w:val="20"/>
                <w:color w:val="auto"/>
              </w:rPr>
            </w:pPr>
            <w:r>
              <w:rPr>
                <w:rFonts w:ascii="Calibri" w:cs="Calibri" w:eastAsia="Calibri" w:hAnsi="Calibri"/>
                <w:sz w:val="11"/>
                <w:szCs w:val="11"/>
                <w:color w:val="auto"/>
              </w:rPr>
              <w:t>21.0 %</w:t>
            </w:r>
          </w:p>
        </w:tc>
        <w:tc>
          <w:tcPr>
            <w:tcW w:w="10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21.0 %</w:t>
            </w:r>
          </w:p>
        </w:tc>
      </w:tr>
      <w:tr>
        <w:trPr>
          <w:trHeight w:val="135"/>
        </w:trPr>
        <w:tc>
          <w:tcPr>
            <w:tcW w:w="6540" w:type="dxa"/>
            <w:vAlign w:val="bottom"/>
          </w:tcPr>
          <w:p>
            <w:pPr>
              <w:ind w:left="20"/>
              <w:spacing w:after="0"/>
              <w:rPr>
                <w:sz w:val="20"/>
                <w:szCs w:val="20"/>
                <w:color w:val="auto"/>
              </w:rPr>
            </w:pPr>
            <w:r>
              <w:rPr>
                <w:rFonts w:ascii="Calibri" w:cs="Calibri" w:eastAsia="Calibri" w:hAnsi="Calibri"/>
                <w:sz w:val="11"/>
                <w:szCs w:val="11"/>
                <w:color w:val="auto"/>
              </w:rPr>
              <w:t>State income taxes, net of federal tax beneft</w:t>
            </w:r>
          </w:p>
        </w:tc>
        <w:tc>
          <w:tcPr>
            <w:tcW w:w="1580" w:type="dxa"/>
            <w:vAlign w:val="bottom"/>
          </w:tcPr>
          <w:p>
            <w:pPr>
              <w:jc w:val="right"/>
              <w:ind w:right="143"/>
              <w:spacing w:after="0"/>
              <w:rPr>
                <w:sz w:val="20"/>
                <w:szCs w:val="20"/>
                <w:color w:val="auto"/>
              </w:rPr>
            </w:pPr>
            <w:r>
              <w:rPr>
                <w:rFonts w:ascii="Calibri" w:cs="Calibri" w:eastAsia="Calibri" w:hAnsi="Calibri"/>
                <w:sz w:val="11"/>
                <w:szCs w:val="11"/>
                <w:color w:val="auto"/>
              </w:rPr>
              <w:t>(0.7)%</w:t>
            </w:r>
          </w:p>
        </w:tc>
        <w:tc>
          <w:tcPr>
            <w:tcW w:w="2160" w:type="dxa"/>
            <w:vAlign w:val="bottom"/>
          </w:tcPr>
          <w:p>
            <w:pPr>
              <w:jc w:val="right"/>
              <w:ind w:right="623"/>
              <w:spacing w:after="0"/>
              <w:rPr>
                <w:sz w:val="20"/>
                <w:szCs w:val="20"/>
                <w:color w:val="auto"/>
              </w:rPr>
            </w:pPr>
            <w:r>
              <w:rPr>
                <w:rFonts w:ascii="Calibri" w:cs="Calibri" w:eastAsia="Calibri" w:hAnsi="Calibri"/>
                <w:sz w:val="11"/>
                <w:szCs w:val="11"/>
                <w:color w:val="auto"/>
              </w:rPr>
              <w:t>1.0 %</w:t>
            </w:r>
          </w:p>
        </w:tc>
        <w:tc>
          <w:tcPr>
            <w:tcW w:w="1000" w:type="dxa"/>
            <w:vAlign w:val="bottom"/>
          </w:tcPr>
          <w:p>
            <w:pPr>
              <w:jc w:val="right"/>
              <w:spacing w:after="0"/>
              <w:rPr>
                <w:sz w:val="20"/>
                <w:szCs w:val="20"/>
                <w:color w:val="auto"/>
              </w:rPr>
            </w:pPr>
            <w:r>
              <w:rPr>
                <w:rFonts w:ascii="Calibri" w:cs="Calibri" w:eastAsia="Calibri" w:hAnsi="Calibri"/>
                <w:sz w:val="11"/>
                <w:szCs w:val="11"/>
                <w:color w:val="auto"/>
              </w:rPr>
              <w:t>2.0 %</w:t>
            </w:r>
          </w:p>
        </w:tc>
      </w:tr>
      <w:tr>
        <w:trPr>
          <w:trHeight w:val="46"/>
        </w:trPr>
        <w:tc>
          <w:tcPr>
            <w:tcW w:w="6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65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GILTI</w:t>
            </w:r>
          </w:p>
        </w:tc>
        <w:tc>
          <w:tcPr>
            <w:tcW w:w="15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(1.9)%</w:t>
            </w:r>
          </w:p>
        </w:tc>
        <w:tc>
          <w:tcPr>
            <w:tcW w:w="2160" w:type="dxa"/>
            <w:vAlign w:val="bottom"/>
            <w:tcBorders>
              <w:bottom w:val="single" w:sz="8" w:color="DBDBDB"/>
            </w:tcBorders>
            <w:shd w:val="clear" w:color="auto" w:fill="DBDBDB"/>
          </w:tcPr>
          <w:p>
            <w:pPr>
              <w:jc w:val="right"/>
              <w:ind w:right="623"/>
              <w:spacing w:after="0"/>
              <w:rPr>
                <w:sz w:val="20"/>
                <w:szCs w:val="20"/>
                <w:color w:val="auto"/>
              </w:rPr>
            </w:pPr>
            <w:r>
              <w:rPr>
                <w:rFonts w:ascii="Calibri" w:cs="Calibri" w:eastAsia="Calibri" w:hAnsi="Calibri"/>
                <w:sz w:val="11"/>
                <w:szCs w:val="11"/>
                <w:color w:val="auto"/>
              </w:rPr>
              <w:t>2.3 %</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5.6 %</w:t>
            </w:r>
          </w:p>
        </w:tc>
      </w:tr>
      <w:tr>
        <w:trPr>
          <w:trHeight w:val="135"/>
        </w:trPr>
        <w:tc>
          <w:tcPr>
            <w:tcW w:w="6540" w:type="dxa"/>
            <w:vAlign w:val="bottom"/>
          </w:tcPr>
          <w:p>
            <w:pPr>
              <w:ind w:left="20"/>
              <w:spacing w:after="0"/>
              <w:rPr>
                <w:sz w:val="20"/>
                <w:szCs w:val="20"/>
                <w:color w:val="auto"/>
              </w:rPr>
            </w:pPr>
            <w:r>
              <w:rPr>
                <w:rFonts w:ascii="Calibri" w:cs="Calibri" w:eastAsia="Calibri" w:hAnsi="Calibri"/>
                <w:sz w:val="11"/>
                <w:szCs w:val="11"/>
                <w:color w:val="auto"/>
              </w:rPr>
              <w:t>Non-deductble executve compensaton</w:t>
            </w:r>
          </w:p>
        </w:tc>
        <w:tc>
          <w:tcPr>
            <w:tcW w:w="1580" w:type="dxa"/>
            <w:vAlign w:val="bottom"/>
          </w:tcPr>
          <w:p>
            <w:pPr>
              <w:jc w:val="right"/>
              <w:ind w:right="143"/>
              <w:spacing w:after="0"/>
              <w:rPr>
                <w:sz w:val="20"/>
                <w:szCs w:val="20"/>
                <w:color w:val="auto"/>
              </w:rPr>
            </w:pPr>
            <w:r>
              <w:rPr>
                <w:rFonts w:ascii="Calibri" w:cs="Calibri" w:eastAsia="Calibri" w:hAnsi="Calibri"/>
                <w:sz w:val="11"/>
                <w:szCs w:val="11"/>
                <w:color w:val="auto"/>
              </w:rPr>
              <w:t>(0.9)%</w:t>
            </w:r>
          </w:p>
        </w:tc>
        <w:tc>
          <w:tcPr>
            <w:tcW w:w="2160" w:type="dxa"/>
            <w:vAlign w:val="bottom"/>
          </w:tcPr>
          <w:p>
            <w:pPr>
              <w:jc w:val="right"/>
              <w:ind w:right="623"/>
              <w:spacing w:after="0"/>
              <w:rPr>
                <w:sz w:val="20"/>
                <w:szCs w:val="20"/>
                <w:color w:val="auto"/>
              </w:rPr>
            </w:pPr>
            <w:r>
              <w:rPr>
                <w:rFonts w:ascii="Calibri" w:cs="Calibri" w:eastAsia="Calibri" w:hAnsi="Calibri"/>
                <w:sz w:val="11"/>
                <w:szCs w:val="11"/>
                <w:color w:val="auto"/>
              </w:rPr>
              <w:t>0.5 %</w:t>
            </w:r>
          </w:p>
        </w:tc>
        <w:tc>
          <w:tcPr>
            <w:tcW w:w="1000" w:type="dxa"/>
            <w:vAlign w:val="bottom"/>
          </w:tcPr>
          <w:p>
            <w:pPr>
              <w:jc w:val="right"/>
              <w:spacing w:after="0"/>
              <w:rPr>
                <w:sz w:val="20"/>
                <w:szCs w:val="20"/>
                <w:color w:val="auto"/>
              </w:rPr>
            </w:pPr>
            <w:r>
              <w:rPr>
                <w:rFonts w:ascii="Calibri" w:cs="Calibri" w:eastAsia="Calibri" w:hAnsi="Calibri"/>
                <w:sz w:val="11"/>
                <w:szCs w:val="11"/>
                <w:color w:val="auto"/>
              </w:rPr>
              <w:t>3.9 %</w:t>
            </w:r>
          </w:p>
        </w:tc>
      </w:tr>
      <w:tr>
        <w:trPr>
          <w:trHeight w:val="46"/>
        </w:trPr>
        <w:tc>
          <w:tcPr>
            <w:tcW w:w="6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65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Goodwill impairment</w:t>
            </w:r>
          </w:p>
        </w:tc>
        <w:tc>
          <w:tcPr>
            <w:tcW w:w="15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(33.4)%</w:t>
            </w:r>
          </w:p>
        </w:tc>
        <w:tc>
          <w:tcPr>
            <w:tcW w:w="2160" w:type="dxa"/>
            <w:vAlign w:val="bottom"/>
            <w:tcBorders>
              <w:bottom w:val="single" w:sz="8" w:color="DBDBDB"/>
            </w:tcBorders>
            <w:shd w:val="clear" w:color="auto" w:fill="DBDBDB"/>
          </w:tcPr>
          <w:p>
            <w:pPr>
              <w:jc w:val="right"/>
              <w:ind w:right="623"/>
              <w:spacing w:after="0"/>
              <w:rPr>
                <w:sz w:val="20"/>
                <w:szCs w:val="20"/>
                <w:color w:val="auto"/>
              </w:rPr>
            </w:pPr>
            <w:r>
              <w:rPr>
                <w:rFonts w:ascii="Calibri" w:cs="Calibri" w:eastAsia="Calibri" w:hAnsi="Calibri"/>
                <w:sz w:val="11"/>
                <w:szCs w:val="11"/>
                <w:color w:val="auto"/>
              </w:rPr>
              <w:t>— %</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 %</w:t>
            </w:r>
          </w:p>
        </w:tc>
      </w:tr>
      <w:tr>
        <w:trPr>
          <w:trHeight w:val="135"/>
        </w:trPr>
        <w:tc>
          <w:tcPr>
            <w:tcW w:w="6540" w:type="dxa"/>
            <w:vAlign w:val="bottom"/>
          </w:tcPr>
          <w:p>
            <w:pPr>
              <w:ind w:left="20"/>
              <w:spacing w:after="0"/>
              <w:rPr>
                <w:sz w:val="20"/>
                <w:szCs w:val="20"/>
                <w:color w:val="auto"/>
              </w:rPr>
            </w:pPr>
            <w:r>
              <w:rPr>
                <w:rFonts w:ascii="Calibri" w:cs="Calibri" w:eastAsia="Calibri" w:hAnsi="Calibri"/>
                <w:sz w:val="11"/>
                <w:szCs w:val="11"/>
                <w:color w:val="auto"/>
              </w:rPr>
              <w:t>Moruga fair value remeasurement</w:t>
            </w:r>
          </w:p>
        </w:tc>
        <w:tc>
          <w:tcPr>
            <w:tcW w:w="1580" w:type="dxa"/>
            <w:vAlign w:val="bottom"/>
          </w:tcPr>
          <w:p>
            <w:pPr>
              <w:jc w:val="right"/>
              <w:ind w:right="143"/>
              <w:spacing w:after="0"/>
              <w:rPr>
                <w:sz w:val="20"/>
                <w:szCs w:val="20"/>
                <w:color w:val="auto"/>
              </w:rPr>
            </w:pPr>
            <w:r>
              <w:rPr>
                <w:rFonts w:ascii="Calibri" w:cs="Calibri" w:eastAsia="Calibri" w:hAnsi="Calibri"/>
                <w:sz w:val="11"/>
                <w:szCs w:val="11"/>
                <w:color w:val="auto"/>
              </w:rPr>
              <w:t>1.4 %</w:t>
            </w:r>
          </w:p>
        </w:tc>
        <w:tc>
          <w:tcPr>
            <w:tcW w:w="2160" w:type="dxa"/>
            <w:vAlign w:val="bottom"/>
          </w:tcPr>
          <w:p>
            <w:pPr>
              <w:jc w:val="right"/>
              <w:ind w:right="623"/>
              <w:spacing w:after="0"/>
              <w:rPr>
                <w:sz w:val="20"/>
                <w:szCs w:val="20"/>
                <w:color w:val="auto"/>
              </w:rPr>
            </w:pPr>
            <w:r>
              <w:rPr>
                <w:rFonts w:ascii="Calibri" w:cs="Calibri" w:eastAsia="Calibri" w:hAnsi="Calibri"/>
                <w:sz w:val="11"/>
                <w:szCs w:val="11"/>
                <w:color w:val="auto"/>
              </w:rPr>
              <w:t>— %</w:t>
            </w:r>
          </w:p>
        </w:tc>
        <w:tc>
          <w:tcPr>
            <w:tcW w:w="1000" w:type="dxa"/>
            <w:vAlign w:val="bottom"/>
          </w:tcPr>
          <w:p>
            <w:pPr>
              <w:jc w:val="right"/>
              <w:spacing w:after="0"/>
              <w:rPr>
                <w:sz w:val="20"/>
                <w:szCs w:val="20"/>
                <w:color w:val="auto"/>
              </w:rPr>
            </w:pPr>
            <w:r>
              <w:rPr>
                <w:rFonts w:ascii="Calibri" w:cs="Calibri" w:eastAsia="Calibri" w:hAnsi="Calibri"/>
                <w:sz w:val="11"/>
                <w:szCs w:val="11"/>
                <w:color w:val="auto"/>
              </w:rPr>
              <w:t>— %</w:t>
            </w:r>
          </w:p>
        </w:tc>
      </w:tr>
      <w:tr>
        <w:trPr>
          <w:trHeight w:val="46"/>
        </w:trPr>
        <w:tc>
          <w:tcPr>
            <w:tcW w:w="6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65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Moruga impairment</w:t>
            </w:r>
          </w:p>
        </w:tc>
        <w:tc>
          <w:tcPr>
            <w:tcW w:w="15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 %</w:t>
            </w:r>
          </w:p>
        </w:tc>
        <w:tc>
          <w:tcPr>
            <w:tcW w:w="2160" w:type="dxa"/>
            <w:vAlign w:val="bottom"/>
            <w:tcBorders>
              <w:bottom w:val="single" w:sz="8" w:color="DBDBDB"/>
            </w:tcBorders>
            <w:shd w:val="clear" w:color="auto" w:fill="DBDBDB"/>
          </w:tcPr>
          <w:p>
            <w:pPr>
              <w:jc w:val="right"/>
              <w:ind w:right="623"/>
              <w:spacing w:after="0"/>
              <w:rPr>
                <w:sz w:val="20"/>
                <w:szCs w:val="20"/>
                <w:color w:val="auto"/>
              </w:rPr>
            </w:pPr>
            <w:r>
              <w:rPr>
                <w:rFonts w:ascii="Calibri" w:cs="Calibri" w:eastAsia="Calibri" w:hAnsi="Calibri"/>
                <w:sz w:val="11"/>
                <w:szCs w:val="11"/>
                <w:color w:val="auto"/>
              </w:rPr>
              <w:t>— %</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10.1 %</w:t>
            </w:r>
          </w:p>
        </w:tc>
      </w:tr>
      <w:tr>
        <w:trPr>
          <w:trHeight w:val="135"/>
        </w:trPr>
        <w:tc>
          <w:tcPr>
            <w:tcW w:w="6540" w:type="dxa"/>
            <w:vAlign w:val="bottom"/>
          </w:tcPr>
          <w:p>
            <w:pPr>
              <w:ind w:left="20"/>
              <w:spacing w:after="0"/>
              <w:rPr>
                <w:sz w:val="20"/>
                <w:szCs w:val="20"/>
                <w:color w:val="auto"/>
              </w:rPr>
            </w:pPr>
            <w:r>
              <w:rPr>
                <w:rFonts w:ascii="Calibri" w:cs="Calibri" w:eastAsia="Calibri" w:hAnsi="Calibri"/>
                <w:sz w:val="11"/>
                <w:szCs w:val="11"/>
                <w:color w:val="auto"/>
              </w:rPr>
              <w:t>Foreign tax credits</w:t>
            </w:r>
          </w:p>
        </w:tc>
        <w:tc>
          <w:tcPr>
            <w:tcW w:w="1580" w:type="dxa"/>
            <w:vAlign w:val="bottom"/>
          </w:tcPr>
          <w:p>
            <w:pPr>
              <w:jc w:val="right"/>
              <w:ind w:right="143"/>
              <w:spacing w:after="0"/>
              <w:rPr>
                <w:sz w:val="20"/>
                <w:szCs w:val="20"/>
                <w:color w:val="auto"/>
              </w:rPr>
            </w:pPr>
            <w:r>
              <w:rPr>
                <w:rFonts w:ascii="Calibri" w:cs="Calibri" w:eastAsia="Calibri" w:hAnsi="Calibri"/>
                <w:sz w:val="11"/>
                <w:szCs w:val="11"/>
                <w:color w:val="auto"/>
              </w:rPr>
              <w:t>0.8 %</w:t>
            </w:r>
          </w:p>
        </w:tc>
        <w:tc>
          <w:tcPr>
            <w:tcW w:w="2160" w:type="dxa"/>
            <w:vAlign w:val="bottom"/>
          </w:tcPr>
          <w:p>
            <w:pPr>
              <w:jc w:val="right"/>
              <w:ind w:right="623"/>
              <w:spacing w:after="0"/>
              <w:rPr>
                <w:sz w:val="20"/>
                <w:szCs w:val="20"/>
                <w:color w:val="auto"/>
              </w:rPr>
            </w:pPr>
            <w:r>
              <w:rPr>
                <w:rFonts w:ascii="Calibri" w:cs="Calibri" w:eastAsia="Calibri" w:hAnsi="Calibri"/>
                <w:sz w:val="11"/>
                <w:szCs w:val="11"/>
                <w:color w:val="auto"/>
              </w:rPr>
              <w:t>(0.9)%</w:t>
            </w:r>
          </w:p>
        </w:tc>
        <w:tc>
          <w:tcPr>
            <w:tcW w:w="1000" w:type="dxa"/>
            <w:vAlign w:val="bottom"/>
          </w:tcPr>
          <w:p>
            <w:pPr>
              <w:jc w:val="right"/>
              <w:spacing w:after="0"/>
              <w:rPr>
                <w:sz w:val="20"/>
                <w:szCs w:val="20"/>
                <w:color w:val="auto"/>
              </w:rPr>
            </w:pPr>
            <w:r>
              <w:rPr>
                <w:rFonts w:ascii="Calibri" w:cs="Calibri" w:eastAsia="Calibri" w:hAnsi="Calibri"/>
                <w:sz w:val="11"/>
                <w:szCs w:val="11"/>
                <w:color w:val="auto"/>
              </w:rPr>
              <w:t>(4.6)%</w:t>
            </w:r>
          </w:p>
        </w:tc>
      </w:tr>
      <w:tr>
        <w:trPr>
          <w:trHeight w:val="46"/>
        </w:trPr>
        <w:tc>
          <w:tcPr>
            <w:tcW w:w="6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65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NOL carryback – CARES Act</w:t>
            </w:r>
          </w:p>
        </w:tc>
        <w:tc>
          <w:tcPr>
            <w:tcW w:w="15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 %</w:t>
            </w:r>
          </w:p>
        </w:tc>
        <w:tc>
          <w:tcPr>
            <w:tcW w:w="2160" w:type="dxa"/>
            <w:vAlign w:val="bottom"/>
            <w:tcBorders>
              <w:bottom w:val="single" w:sz="8" w:color="DBDBDB"/>
            </w:tcBorders>
            <w:shd w:val="clear" w:color="auto" w:fill="DBDBDB"/>
          </w:tcPr>
          <w:p>
            <w:pPr>
              <w:jc w:val="right"/>
              <w:ind w:right="623"/>
              <w:spacing w:after="0"/>
              <w:rPr>
                <w:sz w:val="20"/>
                <w:szCs w:val="20"/>
                <w:color w:val="auto"/>
              </w:rPr>
            </w:pPr>
            <w:r>
              <w:rPr>
                <w:rFonts w:ascii="Calibri" w:cs="Calibri" w:eastAsia="Calibri" w:hAnsi="Calibri"/>
                <w:sz w:val="11"/>
                <w:szCs w:val="11"/>
                <w:color w:val="auto"/>
              </w:rPr>
              <w:t>— %</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(2.8)%</w:t>
            </w:r>
          </w:p>
        </w:tc>
      </w:tr>
      <w:tr>
        <w:trPr>
          <w:trHeight w:val="135"/>
        </w:trPr>
        <w:tc>
          <w:tcPr>
            <w:tcW w:w="6540" w:type="dxa"/>
            <w:vAlign w:val="bottom"/>
          </w:tcPr>
          <w:p>
            <w:pPr>
              <w:ind w:left="20"/>
              <w:spacing w:after="0"/>
              <w:rPr>
                <w:sz w:val="20"/>
                <w:szCs w:val="20"/>
                <w:color w:val="auto"/>
              </w:rPr>
            </w:pPr>
            <w:r>
              <w:rPr>
                <w:rFonts w:ascii="Calibri" w:cs="Calibri" w:eastAsia="Calibri" w:hAnsi="Calibri"/>
                <w:sz w:val="11"/>
                <w:szCs w:val="11"/>
                <w:color w:val="auto"/>
              </w:rPr>
              <w:t>Peru income tax rate change</w:t>
            </w:r>
          </w:p>
        </w:tc>
        <w:tc>
          <w:tcPr>
            <w:tcW w:w="1580" w:type="dxa"/>
            <w:vAlign w:val="bottom"/>
          </w:tcPr>
          <w:p>
            <w:pPr>
              <w:jc w:val="right"/>
              <w:ind w:right="143"/>
              <w:spacing w:after="0"/>
              <w:rPr>
                <w:sz w:val="20"/>
                <w:szCs w:val="20"/>
                <w:color w:val="auto"/>
              </w:rPr>
            </w:pPr>
            <w:r>
              <w:rPr>
                <w:rFonts w:ascii="Calibri" w:cs="Calibri" w:eastAsia="Calibri" w:hAnsi="Calibri"/>
                <w:sz w:val="11"/>
                <w:szCs w:val="11"/>
                <w:color w:val="auto"/>
              </w:rPr>
              <w:t>1.8 %</w:t>
            </w:r>
          </w:p>
        </w:tc>
        <w:tc>
          <w:tcPr>
            <w:tcW w:w="2160" w:type="dxa"/>
            <w:vAlign w:val="bottom"/>
          </w:tcPr>
          <w:p>
            <w:pPr>
              <w:jc w:val="right"/>
              <w:ind w:right="623"/>
              <w:spacing w:after="0"/>
              <w:rPr>
                <w:sz w:val="20"/>
                <w:szCs w:val="20"/>
                <w:color w:val="auto"/>
              </w:rPr>
            </w:pPr>
            <w:r>
              <w:rPr>
                <w:rFonts w:ascii="Calibri" w:cs="Calibri" w:eastAsia="Calibri" w:hAnsi="Calibri"/>
                <w:sz w:val="11"/>
                <w:szCs w:val="11"/>
                <w:color w:val="auto"/>
              </w:rPr>
              <w:t>8.3 %</w:t>
            </w:r>
          </w:p>
        </w:tc>
        <w:tc>
          <w:tcPr>
            <w:tcW w:w="1000" w:type="dxa"/>
            <w:vAlign w:val="bottom"/>
          </w:tcPr>
          <w:p>
            <w:pPr>
              <w:jc w:val="right"/>
              <w:spacing w:after="0"/>
              <w:rPr>
                <w:sz w:val="20"/>
                <w:szCs w:val="20"/>
                <w:color w:val="auto"/>
              </w:rPr>
            </w:pPr>
            <w:r>
              <w:rPr>
                <w:rFonts w:ascii="Calibri" w:cs="Calibri" w:eastAsia="Calibri" w:hAnsi="Calibri"/>
                <w:sz w:val="11"/>
                <w:szCs w:val="11"/>
                <w:color w:val="auto"/>
              </w:rPr>
              <w:t>— %</w:t>
            </w:r>
          </w:p>
        </w:tc>
      </w:tr>
      <w:tr>
        <w:trPr>
          <w:trHeight w:val="46"/>
        </w:trPr>
        <w:tc>
          <w:tcPr>
            <w:tcW w:w="65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65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Unrecognized tax benefts increase</w:t>
            </w:r>
          </w:p>
        </w:tc>
        <w:tc>
          <w:tcPr>
            <w:tcW w:w="15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(2.8)%</w:t>
            </w:r>
          </w:p>
        </w:tc>
        <w:tc>
          <w:tcPr>
            <w:tcW w:w="2160" w:type="dxa"/>
            <w:vAlign w:val="bottom"/>
            <w:tcBorders>
              <w:bottom w:val="single" w:sz="8" w:color="DBDBDB"/>
            </w:tcBorders>
            <w:shd w:val="clear" w:color="auto" w:fill="DBDBDB"/>
          </w:tcPr>
          <w:p>
            <w:pPr>
              <w:jc w:val="right"/>
              <w:ind w:right="623"/>
              <w:spacing w:after="0"/>
              <w:rPr>
                <w:sz w:val="20"/>
                <w:szCs w:val="20"/>
                <w:color w:val="auto"/>
              </w:rPr>
            </w:pPr>
            <w:r>
              <w:rPr>
                <w:rFonts w:ascii="Calibri" w:cs="Calibri" w:eastAsia="Calibri" w:hAnsi="Calibri"/>
                <w:sz w:val="11"/>
                <w:szCs w:val="11"/>
                <w:color w:val="auto"/>
              </w:rPr>
              <w:t>0.9 %</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0.6 %</w:t>
            </w:r>
          </w:p>
        </w:tc>
      </w:tr>
      <w:tr>
        <w:trPr>
          <w:trHeight w:val="135"/>
        </w:trPr>
        <w:tc>
          <w:tcPr>
            <w:tcW w:w="6540" w:type="dxa"/>
            <w:vAlign w:val="bottom"/>
          </w:tcPr>
          <w:p>
            <w:pPr>
              <w:ind w:left="20"/>
              <w:spacing w:after="0"/>
              <w:rPr>
                <w:sz w:val="20"/>
                <w:szCs w:val="20"/>
                <w:color w:val="auto"/>
              </w:rPr>
            </w:pPr>
            <w:r>
              <w:rPr>
                <w:rFonts w:ascii="Calibri" w:cs="Calibri" w:eastAsia="Calibri" w:hAnsi="Calibri"/>
                <w:sz w:val="11"/>
                <w:szCs w:val="11"/>
                <w:color w:val="auto"/>
              </w:rPr>
              <w:t>Other, net</w:t>
            </w:r>
          </w:p>
        </w:tc>
        <w:tc>
          <w:tcPr>
            <w:tcW w:w="1580" w:type="dxa"/>
            <w:vAlign w:val="bottom"/>
          </w:tcPr>
          <w:p>
            <w:pPr>
              <w:jc w:val="right"/>
              <w:ind w:right="143"/>
              <w:spacing w:after="0"/>
              <w:rPr>
                <w:sz w:val="20"/>
                <w:szCs w:val="20"/>
                <w:color w:val="auto"/>
              </w:rPr>
            </w:pPr>
            <w:r>
              <w:rPr>
                <w:rFonts w:ascii="Calibri" w:cs="Calibri" w:eastAsia="Calibri" w:hAnsi="Calibri"/>
                <w:sz w:val="11"/>
                <w:szCs w:val="11"/>
                <w:color w:val="auto"/>
              </w:rPr>
              <w:t>2.7 %</w:t>
            </w:r>
          </w:p>
        </w:tc>
        <w:tc>
          <w:tcPr>
            <w:tcW w:w="2160" w:type="dxa"/>
            <w:vAlign w:val="bottom"/>
          </w:tcPr>
          <w:p>
            <w:pPr>
              <w:jc w:val="right"/>
              <w:ind w:right="623"/>
              <w:spacing w:after="0"/>
              <w:rPr>
                <w:sz w:val="20"/>
                <w:szCs w:val="20"/>
                <w:color w:val="auto"/>
              </w:rPr>
            </w:pPr>
            <w:r>
              <w:rPr>
                <w:rFonts w:ascii="Calibri" w:cs="Calibri" w:eastAsia="Calibri" w:hAnsi="Calibri"/>
                <w:sz w:val="11"/>
                <w:szCs w:val="11"/>
                <w:color w:val="auto"/>
              </w:rPr>
              <w:t>(1.1)%</w:t>
            </w:r>
          </w:p>
        </w:tc>
        <w:tc>
          <w:tcPr>
            <w:tcW w:w="1000" w:type="dxa"/>
            <w:vAlign w:val="bottom"/>
          </w:tcPr>
          <w:p>
            <w:pPr>
              <w:jc w:val="right"/>
              <w:spacing w:after="0"/>
              <w:rPr>
                <w:sz w:val="20"/>
                <w:szCs w:val="20"/>
                <w:color w:val="auto"/>
              </w:rPr>
            </w:pPr>
            <w:r>
              <w:rPr>
                <w:rFonts w:ascii="Calibri" w:cs="Calibri" w:eastAsia="Calibri" w:hAnsi="Calibri"/>
                <w:sz w:val="11"/>
                <w:szCs w:val="11"/>
                <w:color w:val="auto"/>
              </w:rPr>
              <w:t>(1.6)%</w:t>
            </w:r>
          </w:p>
        </w:tc>
      </w:tr>
      <w:tr>
        <w:trPr>
          <w:trHeight w:val="46"/>
        </w:trPr>
        <w:tc>
          <w:tcPr>
            <w:tcW w:w="6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68"/>
        </w:trPr>
        <w:tc>
          <w:tcPr>
            <w:tcW w:w="6540" w:type="dxa"/>
            <w:vAlign w:val="bottom"/>
            <w:tcBorders>
              <w:bottom w:val="single" w:sz="8" w:color="auto"/>
            </w:tcBorders>
            <w:shd w:val="clear" w:color="auto" w:fill="DBDBDB"/>
          </w:tcPr>
          <w:p>
            <w:pPr>
              <w:ind w:left="20"/>
              <w:spacing w:after="0" w:line="169" w:lineRule="exact"/>
              <w:rPr>
                <w:sz w:val="20"/>
                <w:szCs w:val="20"/>
                <w:color w:val="auto"/>
              </w:rPr>
            </w:pPr>
            <w:r>
              <w:rPr>
                <w:rFonts w:ascii="Calibri" w:cs="Calibri" w:eastAsia="Calibri" w:hAnsi="Calibri"/>
                <w:sz w:val="11"/>
                <w:szCs w:val="11"/>
                <w:color w:val="auto"/>
              </w:rPr>
              <w:t>Efectve tax rate</w:t>
            </w:r>
            <w:r>
              <w:rPr>
                <w:rFonts w:ascii="Calibri" w:cs="Calibri" w:eastAsia="Calibri" w:hAnsi="Calibri"/>
                <w:sz w:val="14"/>
                <w:szCs w:val="14"/>
                <w:color w:val="auto"/>
                <w:vertAlign w:val="superscript"/>
              </w:rPr>
              <w:t>(1)</w:t>
            </w:r>
          </w:p>
        </w:tc>
        <w:tc>
          <w:tcPr>
            <w:tcW w:w="1580" w:type="dxa"/>
            <w:vAlign w:val="bottom"/>
            <w:tcBorders>
              <w:bottom w:val="single" w:sz="8" w:color="auto"/>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(12.0)%</w:t>
            </w:r>
          </w:p>
        </w:tc>
        <w:tc>
          <w:tcPr>
            <w:tcW w:w="2160" w:type="dxa"/>
            <w:vAlign w:val="bottom"/>
            <w:tcBorders>
              <w:bottom w:val="single" w:sz="8" w:color="auto"/>
            </w:tcBorders>
            <w:shd w:val="clear" w:color="auto" w:fill="DBDBDB"/>
          </w:tcPr>
          <w:p>
            <w:pPr>
              <w:jc w:val="right"/>
              <w:ind w:right="623"/>
              <w:spacing w:after="0"/>
              <w:rPr>
                <w:sz w:val="20"/>
                <w:szCs w:val="20"/>
                <w:color w:val="auto"/>
              </w:rPr>
            </w:pPr>
            <w:r>
              <w:rPr>
                <w:rFonts w:ascii="Calibri" w:cs="Calibri" w:eastAsia="Calibri" w:hAnsi="Calibri"/>
                <w:sz w:val="11"/>
                <w:szCs w:val="11"/>
                <w:color w:val="auto"/>
              </w:rPr>
              <w:t>32.0 %</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1"/>
                <w:szCs w:val="11"/>
                <w:color w:val="auto"/>
              </w:rPr>
              <w:t>34.2 %</w:t>
            </w:r>
          </w:p>
        </w:tc>
      </w:tr>
    </w:tbl>
    <w:p>
      <w:pPr>
        <w:spacing w:after="0" w:line="14" w:lineRule="exact"/>
        <w:rPr>
          <w:sz w:val="20"/>
          <w:szCs w:val="20"/>
          <w:color w:val="auto"/>
        </w:rPr>
      </w:pPr>
    </w:p>
    <w:p>
      <w:pPr>
        <w:ind w:left="120" w:hanging="115"/>
        <w:spacing w:after="0"/>
        <w:tabs>
          <w:tab w:leader="none" w:pos="120" w:val="left"/>
        </w:tabs>
        <w:numPr>
          <w:ilvl w:val="0"/>
          <w:numId w:val="24"/>
        </w:numPr>
        <w:rPr>
          <w:rFonts w:ascii="Calibri" w:cs="Calibri" w:eastAsia="Calibri" w:hAnsi="Calibri"/>
          <w:sz w:val="13"/>
          <w:szCs w:val="13"/>
          <w:color w:val="auto"/>
          <w:vertAlign w:val="superscript"/>
        </w:rPr>
      </w:pPr>
      <w:r>
        <w:rPr>
          <w:rFonts w:ascii="Calibri" w:cs="Calibri" w:eastAsia="Calibri" w:hAnsi="Calibri"/>
          <w:sz w:val="10"/>
          <w:szCs w:val="10"/>
          <w:color w:val="auto"/>
        </w:rPr>
        <w:t>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3" w:name="page64"/>
    <w:bookmarkEnd w:id="63"/>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360" w:firstLine="509"/>
        <w:spacing w:after="0" w:line="225" w:lineRule="auto"/>
        <w:rPr>
          <w:sz w:val="20"/>
          <w:szCs w:val="20"/>
          <w:color w:val="auto"/>
        </w:rPr>
      </w:pPr>
      <w:r>
        <w:rPr>
          <w:rFonts w:ascii="Calibri" w:cs="Calibri" w:eastAsia="Calibri" w:hAnsi="Calibri"/>
          <w:sz w:val="13"/>
          <w:szCs w:val="13"/>
          <w:color w:val="auto"/>
        </w:rPr>
        <w:t>Deferred taxes are recognized for temporary diferences between the basis of assets and liabilites for fnancial statement and income tax purposes. The signifcant components of deferred tax assets and liabilites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gridSpan w:val="2"/>
          </w:tcPr>
          <w:p>
            <w:pPr>
              <w:jc w:val="right"/>
              <w:ind w:right="403"/>
              <w:spacing w:after="0"/>
              <w:rPr>
                <w:sz w:val="20"/>
                <w:szCs w:val="20"/>
                <w:color w:val="auto"/>
              </w:rPr>
            </w:pPr>
            <w:r>
              <w:rPr>
                <w:rFonts w:ascii="Calibri" w:cs="Calibri" w:eastAsia="Calibri" w:hAnsi="Calibri"/>
                <w:sz w:val="11"/>
                <w:szCs w:val="11"/>
                <w:b w:val="1"/>
                <w:bCs w:val="1"/>
                <w:color w:val="auto"/>
              </w:rPr>
              <w:t>October 31,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3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83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2022</w:t>
            </w:r>
          </w:p>
        </w:tc>
        <w:tc>
          <w:tcPr>
            <w:tcW w:w="74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Accrued expenses</w:t>
            </w:r>
          </w:p>
        </w:tc>
        <w:tc>
          <w:tcPr>
            <w:tcW w:w="56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4.6</w:t>
            </w:r>
          </w:p>
        </w:tc>
        <w:tc>
          <w:tcPr>
            <w:tcW w:w="740" w:type="dxa"/>
            <w:vAlign w:val="bottom"/>
            <w:tcBorders>
              <w:bottom w:val="single" w:sz="8" w:color="DBDBDB"/>
            </w:tcBorders>
            <w:shd w:val="clear" w:color="auto" w:fill="DBDBDB"/>
          </w:tcPr>
          <w:p>
            <w:pPr>
              <w:jc w:val="right"/>
              <w:ind w:right="463"/>
              <w:spacing w:after="0" w:line="126" w:lineRule="exact"/>
              <w:rPr>
                <w:sz w:val="20"/>
                <w:szCs w:val="20"/>
                <w:color w:val="auto"/>
              </w:rPr>
            </w:pPr>
            <w:r>
              <w:rPr>
                <w:rFonts w:ascii="Calibri" w:cs="Calibri" w:eastAsia="Calibri" w:hAnsi="Calibri"/>
                <w:sz w:val="11"/>
                <w:szCs w:val="11"/>
                <w:color w:val="auto"/>
              </w:rPr>
              <w:t>$</w:t>
            </w:r>
          </w:p>
        </w:tc>
        <w:tc>
          <w:tcPr>
            <w:tcW w:w="7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4.2</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Net operatng loss and other carryforwards</w:t>
            </w:r>
          </w:p>
        </w:tc>
        <w:tc>
          <w:tcPr>
            <w:tcW w:w="560" w:type="dxa"/>
            <w:vAlign w:val="bottom"/>
          </w:tcPr>
          <w:p>
            <w:pPr>
              <w:spacing w:after="0"/>
              <w:rPr>
                <w:sz w:val="11"/>
                <w:szCs w:val="11"/>
                <w:color w:val="auto"/>
              </w:rPr>
            </w:pPr>
          </w:p>
        </w:tc>
        <w:tc>
          <w:tcPr>
            <w:tcW w:w="920" w:type="dxa"/>
            <w:vAlign w:val="bottom"/>
          </w:tcPr>
          <w:p>
            <w:pPr>
              <w:jc w:val="right"/>
              <w:ind w:right="123"/>
              <w:spacing w:after="0"/>
              <w:rPr>
                <w:sz w:val="20"/>
                <w:szCs w:val="20"/>
                <w:color w:val="auto"/>
              </w:rPr>
            </w:pPr>
            <w:r>
              <w:rPr>
                <w:rFonts w:ascii="Calibri" w:cs="Calibri" w:eastAsia="Calibri" w:hAnsi="Calibri"/>
                <w:sz w:val="11"/>
                <w:szCs w:val="11"/>
                <w:color w:val="auto"/>
              </w:rPr>
              <w:t>1.4</w:t>
            </w:r>
          </w:p>
        </w:tc>
        <w:tc>
          <w:tcPr>
            <w:tcW w:w="7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alibri" w:cs="Calibri" w:eastAsia="Calibri" w:hAnsi="Calibri"/>
                <w:sz w:val="11"/>
                <w:szCs w:val="11"/>
                <w:color w:val="auto"/>
              </w:rPr>
              <w:t>0.8</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Inventory</w:t>
            </w:r>
          </w:p>
        </w:tc>
        <w:tc>
          <w:tcPr>
            <w:tcW w:w="56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0.6</w:t>
            </w:r>
          </w:p>
        </w:tc>
        <w:tc>
          <w:tcPr>
            <w:tcW w:w="74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0.8</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Interest rate swaps</w:t>
            </w:r>
          </w:p>
        </w:tc>
        <w:tc>
          <w:tcPr>
            <w:tcW w:w="560" w:type="dxa"/>
            <w:vAlign w:val="bottom"/>
          </w:tcPr>
          <w:p>
            <w:pPr>
              <w:spacing w:after="0"/>
              <w:rPr>
                <w:sz w:val="11"/>
                <w:szCs w:val="11"/>
                <w:color w:val="auto"/>
              </w:rPr>
            </w:pPr>
          </w:p>
        </w:tc>
        <w:tc>
          <w:tcPr>
            <w:tcW w:w="92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7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alibri" w:cs="Calibri" w:eastAsia="Calibri" w:hAnsi="Calibri"/>
                <w:sz w:val="11"/>
                <w:szCs w:val="11"/>
                <w:color w:val="auto"/>
              </w:rPr>
              <w:t>0.8</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Operatng lease liabilites</w:t>
            </w:r>
          </w:p>
        </w:tc>
        <w:tc>
          <w:tcPr>
            <w:tcW w:w="56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13.8</w:t>
            </w:r>
          </w:p>
        </w:tc>
        <w:tc>
          <w:tcPr>
            <w:tcW w:w="74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11.2</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Allowances, reserves, and other</w:t>
            </w:r>
          </w:p>
        </w:tc>
        <w:tc>
          <w:tcPr>
            <w:tcW w:w="560" w:type="dxa"/>
            <w:vAlign w:val="bottom"/>
          </w:tcPr>
          <w:p>
            <w:pPr>
              <w:spacing w:after="0"/>
              <w:rPr>
                <w:sz w:val="11"/>
                <w:szCs w:val="11"/>
                <w:color w:val="auto"/>
              </w:rPr>
            </w:pPr>
          </w:p>
        </w:tc>
        <w:tc>
          <w:tcPr>
            <w:tcW w:w="920" w:type="dxa"/>
            <w:vAlign w:val="bottom"/>
          </w:tcPr>
          <w:p>
            <w:pPr>
              <w:jc w:val="right"/>
              <w:ind w:right="123"/>
              <w:spacing w:after="0"/>
              <w:rPr>
                <w:sz w:val="20"/>
                <w:szCs w:val="20"/>
                <w:color w:val="auto"/>
              </w:rPr>
            </w:pPr>
            <w:r>
              <w:rPr>
                <w:rFonts w:ascii="Calibri" w:cs="Calibri" w:eastAsia="Calibri" w:hAnsi="Calibri"/>
                <w:sz w:val="11"/>
                <w:szCs w:val="11"/>
                <w:color w:val="auto"/>
              </w:rPr>
              <w:t>1.4</w:t>
            </w:r>
          </w:p>
        </w:tc>
        <w:tc>
          <w:tcPr>
            <w:tcW w:w="7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alibri" w:cs="Calibri" w:eastAsia="Calibri" w:hAnsi="Calibri"/>
                <w:sz w:val="11"/>
                <w:szCs w:val="11"/>
                <w:color w:val="auto"/>
              </w:rPr>
              <w:t>0.3</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deferred tax assets</w:t>
            </w:r>
          </w:p>
        </w:tc>
        <w:tc>
          <w:tcPr>
            <w:tcW w:w="56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21.8</w:t>
            </w:r>
          </w:p>
        </w:tc>
        <w:tc>
          <w:tcPr>
            <w:tcW w:w="74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18.1</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Less: valuaton allowance</w:t>
            </w:r>
          </w:p>
        </w:tc>
        <w:tc>
          <w:tcPr>
            <w:tcW w:w="56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(0.7)</w:t>
            </w:r>
          </w:p>
        </w:tc>
        <w:tc>
          <w:tcPr>
            <w:tcW w:w="7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alibri" w:cs="Calibri" w:eastAsia="Calibri" w:hAnsi="Calibri"/>
                <w:sz w:val="11"/>
                <w:szCs w:val="11"/>
                <w:color w:val="auto"/>
              </w:rPr>
              <w:t>(0.5)</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net deferred tax assets</w:t>
            </w:r>
          </w:p>
        </w:tc>
        <w:tc>
          <w:tcPr>
            <w:tcW w:w="56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21.1</w:t>
            </w:r>
          </w:p>
        </w:tc>
        <w:tc>
          <w:tcPr>
            <w:tcW w:w="740" w:type="dxa"/>
            <w:vAlign w:val="bottom"/>
            <w:tcBorders>
              <w:bottom w:val="single" w:sz="8" w:color="DBDBDB"/>
            </w:tcBorders>
            <w:shd w:val="clear" w:color="auto" w:fill="DBDBDB"/>
          </w:tcPr>
          <w:p>
            <w:pPr>
              <w:jc w:val="right"/>
              <w:ind w:right="463"/>
              <w:spacing w:after="0" w:line="126" w:lineRule="exact"/>
              <w:rPr>
                <w:sz w:val="20"/>
                <w:szCs w:val="20"/>
                <w:color w:val="auto"/>
              </w:rPr>
            </w:pPr>
            <w:r>
              <w:rPr>
                <w:rFonts w:ascii="Calibri" w:cs="Calibri" w:eastAsia="Calibri" w:hAnsi="Calibri"/>
                <w:sz w:val="11"/>
                <w:szCs w:val="11"/>
                <w:color w:val="auto"/>
              </w:rPr>
              <w:t>$</w:t>
            </w:r>
          </w:p>
        </w:tc>
        <w:tc>
          <w:tcPr>
            <w:tcW w:w="7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17.6</w:t>
            </w:r>
          </w:p>
        </w:tc>
        <w:tc>
          <w:tcPr>
            <w:tcW w:w="0" w:type="dxa"/>
            <w:vAlign w:val="bottom"/>
          </w:tcPr>
          <w:p>
            <w:pPr>
              <w:spacing w:after="0"/>
              <w:rPr>
                <w:sz w:val="1"/>
                <w:szCs w:val="1"/>
                <w:color w:val="auto"/>
              </w:rPr>
            </w:pPr>
          </w:p>
        </w:tc>
      </w:tr>
      <w:tr>
        <w:trPr>
          <w:trHeight w:val="125"/>
        </w:trPr>
        <w:tc>
          <w:tcPr>
            <w:tcW w:w="832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Equity interest in unconsolidated subsidiaries</w:t>
            </w:r>
          </w:p>
        </w:tc>
        <w:tc>
          <w:tcPr>
            <w:tcW w:w="5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(3.4)</w:t>
            </w:r>
          </w:p>
        </w:tc>
        <w:tc>
          <w:tcPr>
            <w:tcW w:w="7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(3.1)</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Interest rate swaps</w:t>
            </w:r>
          </w:p>
        </w:tc>
        <w:tc>
          <w:tcPr>
            <w:tcW w:w="56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(0.6)</w:t>
            </w:r>
          </w:p>
        </w:tc>
        <w:tc>
          <w:tcPr>
            <w:tcW w:w="74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Property, plant and equipment</w:t>
            </w:r>
          </w:p>
        </w:tc>
        <w:tc>
          <w:tcPr>
            <w:tcW w:w="56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(23.8)</w:t>
            </w:r>
          </w:p>
        </w:tc>
        <w:tc>
          <w:tcPr>
            <w:tcW w:w="7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alibri" w:cs="Calibri" w:eastAsia="Calibri" w:hAnsi="Calibri"/>
                <w:sz w:val="11"/>
                <w:szCs w:val="11"/>
                <w:color w:val="auto"/>
              </w:rPr>
              <w:t>(21.6)</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Operatng lease right-of-use assets</w:t>
            </w:r>
          </w:p>
        </w:tc>
        <w:tc>
          <w:tcPr>
            <w:tcW w:w="56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(13.1)</w:t>
            </w:r>
          </w:p>
        </w:tc>
        <w:tc>
          <w:tcPr>
            <w:tcW w:w="74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(10.7)</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Repatriaton of foreign earnings</w:t>
            </w:r>
          </w:p>
        </w:tc>
        <w:tc>
          <w:tcPr>
            <w:tcW w:w="560" w:type="dxa"/>
            <w:vAlign w:val="bottom"/>
          </w:tcPr>
          <w:p>
            <w:pPr>
              <w:spacing w:after="0"/>
              <w:rPr>
                <w:sz w:val="11"/>
                <w:szCs w:val="11"/>
                <w:color w:val="auto"/>
              </w:rPr>
            </w:pPr>
          </w:p>
        </w:tc>
        <w:tc>
          <w:tcPr>
            <w:tcW w:w="920" w:type="dxa"/>
            <w:vAlign w:val="bottom"/>
          </w:tcPr>
          <w:p>
            <w:pPr>
              <w:jc w:val="right"/>
              <w:ind w:right="103"/>
              <w:spacing w:after="0"/>
              <w:rPr>
                <w:sz w:val="20"/>
                <w:szCs w:val="20"/>
                <w:color w:val="auto"/>
              </w:rPr>
            </w:pPr>
            <w:r>
              <w:rPr>
                <w:rFonts w:ascii="Calibri" w:cs="Calibri" w:eastAsia="Calibri" w:hAnsi="Calibri"/>
                <w:sz w:val="11"/>
                <w:szCs w:val="11"/>
                <w:color w:val="auto"/>
              </w:rPr>
              <w:t>(1.5)</w:t>
            </w:r>
          </w:p>
        </w:tc>
        <w:tc>
          <w:tcPr>
            <w:tcW w:w="7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alibri" w:cs="Calibri" w:eastAsia="Calibri" w:hAnsi="Calibri"/>
                <w:sz w:val="11"/>
                <w:szCs w:val="11"/>
                <w:color w:val="auto"/>
              </w:rPr>
              <w:t>(1.4)</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Total deferred tax liabilites</w:t>
            </w:r>
          </w:p>
        </w:tc>
        <w:tc>
          <w:tcPr>
            <w:tcW w:w="5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(42.4)</w:t>
            </w:r>
          </w:p>
        </w:tc>
        <w:tc>
          <w:tcPr>
            <w:tcW w:w="740" w:type="dxa"/>
            <w:vAlign w:val="bottom"/>
            <w:tcBorders>
              <w:bottom w:val="single" w:sz="8" w:color="DBDBDB"/>
            </w:tcBorders>
            <w:shd w:val="clear" w:color="auto" w:fill="DBDBDB"/>
          </w:tcPr>
          <w:p>
            <w:pPr>
              <w:spacing w:after="0"/>
              <w:rPr>
                <w:sz w:val="14"/>
                <w:szCs w:val="14"/>
                <w:color w:val="auto"/>
              </w:rPr>
            </w:pPr>
          </w:p>
        </w:tc>
        <w:tc>
          <w:tcPr>
            <w:tcW w:w="7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(36.8)</w:t>
            </w:r>
          </w:p>
        </w:tc>
        <w:tc>
          <w:tcPr>
            <w:tcW w:w="0" w:type="dxa"/>
            <w:vAlign w:val="bottom"/>
          </w:tcPr>
          <w:p>
            <w:pPr>
              <w:spacing w:after="0"/>
              <w:rPr>
                <w:sz w:val="1"/>
                <w:szCs w:val="1"/>
                <w:color w:val="auto"/>
              </w:rPr>
            </w:pPr>
          </w:p>
        </w:tc>
      </w:tr>
      <w:tr>
        <w:trPr>
          <w:trHeight w:val="125"/>
        </w:trPr>
        <w:tc>
          <w:tcPr>
            <w:tcW w:w="832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net deferred tax assets/(liabilites)</w:t>
            </w:r>
          </w:p>
        </w:tc>
        <w:tc>
          <w:tcPr>
            <w:tcW w:w="560" w:type="dxa"/>
            <w:vAlign w:val="bottom"/>
            <w:tcBorders>
              <w:top w:val="single" w:sz="8" w:color="auto"/>
            </w:tcBorders>
          </w:tcPr>
          <w:p>
            <w:pPr>
              <w:jc w:val="right"/>
              <w:ind w:right="423"/>
              <w:spacing w:after="0" w:line="126" w:lineRule="exact"/>
              <w:rPr>
                <w:sz w:val="20"/>
                <w:szCs w:val="20"/>
                <w:color w:val="auto"/>
              </w:rPr>
            </w:pPr>
            <w:r>
              <w:rPr>
                <w:rFonts w:ascii="Calibri" w:cs="Calibri" w:eastAsia="Calibri" w:hAnsi="Calibri"/>
                <w:sz w:val="11"/>
                <w:szCs w:val="11"/>
                <w:color w:val="auto"/>
              </w:rPr>
              <w:t>$</w:t>
            </w:r>
          </w:p>
        </w:tc>
        <w:tc>
          <w:tcPr>
            <w:tcW w:w="92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(21.3)</w:t>
            </w:r>
          </w:p>
        </w:tc>
        <w:tc>
          <w:tcPr>
            <w:tcW w:w="740" w:type="dxa"/>
            <w:vAlign w:val="bottom"/>
            <w:tcBorders>
              <w:top w:val="single" w:sz="8" w:color="auto"/>
            </w:tcBorders>
          </w:tcPr>
          <w:p>
            <w:pPr>
              <w:jc w:val="right"/>
              <w:ind w:right="463"/>
              <w:spacing w:after="0" w:line="126" w:lineRule="exact"/>
              <w:rPr>
                <w:sz w:val="20"/>
                <w:szCs w:val="20"/>
                <w:color w:val="auto"/>
              </w:rPr>
            </w:pPr>
            <w:r>
              <w:rPr>
                <w:rFonts w:ascii="Calibri" w:cs="Calibri" w:eastAsia="Calibri" w:hAnsi="Calibri"/>
                <w:sz w:val="11"/>
                <w:szCs w:val="11"/>
                <w:color w:val="auto"/>
              </w:rPr>
              <w:t>$</w:t>
            </w:r>
          </w:p>
        </w:tc>
        <w:tc>
          <w:tcPr>
            <w:tcW w:w="74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(19.2)</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As of October 31, 2022, the Company had foreign net operatng loss carryforwards of $5.5 million, $5.4 million of which, carries forward indefnitely.</w:t>
      </w:r>
    </w:p>
    <w:p>
      <w:pPr>
        <w:spacing w:after="0" w:line="158" w:lineRule="exact"/>
        <w:rPr>
          <w:sz w:val="20"/>
          <w:szCs w:val="20"/>
          <w:color w:val="auto"/>
        </w:rPr>
      </w:pPr>
    </w:p>
    <w:p>
      <w:pPr>
        <w:ind w:right="140" w:firstLine="509"/>
        <w:spacing w:after="0" w:line="248" w:lineRule="auto"/>
        <w:rPr>
          <w:sz w:val="20"/>
          <w:szCs w:val="20"/>
          <w:color w:val="auto"/>
        </w:rPr>
      </w:pPr>
      <w:r>
        <w:rPr>
          <w:rFonts w:ascii="Calibri" w:cs="Calibri" w:eastAsia="Calibri" w:hAnsi="Calibri"/>
          <w:sz w:val="12"/>
          <w:szCs w:val="12"/>
          <w:color w:val="auto"/>
        </w:rPr>
        <w:t>The net change in the valuaton allowance for deferred tax assets was $(0.2) million and $0.6 million for the years ended October 31, 2022 and 2021, respectvely. Our valuaton allowances primarily relate to deferred tax assets related to net operatng losses in our foreign jurisdictons and certain of our equity method investments whereby sale would result in capital losses that are not more likely than not to be realized.</w:t>
      </w:r>
    </w:p>
    <w:p>
      <w:pPr>
        <w:spacing w:after="0" w:line="153" w:lineRule="exact"/>
        <w:rPr>
          <w:sz w:val="20"/>
          <w:szCs w:val="20"/>
          <w:color w:val="auto"/>
        </w:rPr>
      </w:pPr>
    </w:p>
    <w:p>
      <w:pPr>
        <w:ind w:right="140" w:firstLine="509"/>
        <w:spacing w:after="0" w:line="230" w:lineRule="auto"/>
        <w:rPr>
          <w:sz w:val="20"/>
          <w:szCs w:val="20"/>
          <w:color w:val="auto"/>
        </w:rPr>
      </w:pPr>
      <w:r>
        <w:rPr>
          <w:rFonts w:ascii="Calibri" w:cs="Calibri" w:eastAsia="Calibri" w:hAnsi="Calibri"/>
          <w:sz w:val="13"/>
          <w:szCs w:val="13"/>
          <w:color w:val="auto"/>
        </w:rPr>
        <w:t>As of October 31, 2022, the Company recorded a deferred tax liability for the withholding tax that will be due upon future distributon of approximately $28.1 million of foreign earnings from its Internatonal Farming operatons in Peru. The Company has determined all other accumulated foreign earnings of $168.1 million to be indefnitely reinvested, as it is our intent to permanently reinvest these funds outside of the United States and our current plans do not demonstrate a need to repatriate the cash to fund our U.S. operatons.</w:t>
      </w:r>
    </w:p>
    <w:p>
      <w:pPr>
        <w:spacing w:after="0" w:line="159" w:lineRule="exact"/>
        <w:rPr>
          <w:sz w:val="20"/>
          <w:szCs w:val="20"/>
          <w:color w:val="auto"/>
        </w:rPr>
      </w:pPr>
    </w:p>
    <w:p>
      <w:pPr>
        <w:ind w:right="380" w:firstLine="509"/>
        <w:spacing w:after="0" w:line="230" w:lineRule="auto"/>
        <w:rPr>
          <w:sz w:val="20"/>
          <w:szCs w:val="20"/>
          <w:color w:val="auto"/>
        </w:rPr>
      </w:pPr>
      <w:r>
        <w:rPr>
          <w:rFonts w:ascii="Calibri" w:cs="Calibri" w:eastAsia="Calibri" w:hAnsi="Calibri"/>
          <w:sz w:val="13"/>
          <w:szCs w:val="13"/>
          <w:color w:val="auto"/>
        </w:rPr>
        <w:t>The Company may recognize the tax beneft from an uncertain tax positon claimed on a tax return only if it is more likely than not that the tax positon will be sustained on examinaton by the taxing authorites, based on the technical merits of the positon. The tax benefts recognized in the fnancial statements from such a positon should be measured based on the largest beneft that has a greater than 50% likelihood of being realized upon ultmate setlement.</w:t>
      </w:r>
    </w:p>
    <w:p>
      <w:pPr>
        <w:spacing w:after="0" w:line="15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 reconciliaton of the total amounts of unrecognized tax benefts (exclusive of interest and penaltes)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2"/>
          </w:tcPr>
          <w:p>
            <w:pPr>
              <w:jc w:val="right"/>
              <w:ind w:right="423"/>
              <w:spacing w:after="0"/>
              <w:rPr>
                <w:sz w:val="20"/>
                <w:szCs w:val="20"/>
                <w:color w:val="auto"/>
              </w:rPr>
            </w:pPr>
            <w:r>
              <w:rPr>
                <w:rFonts w:ascii="Calibri" w:cs="Calibri" w:eastAsia="Calibri" w:hAnsi="Calibri"/>
                <w:sz w:val="11"/>
                <w:szCs w:val="11"/>
                <w:b w:val="1"/>
                <w:bCs w:val="1"/>
                <w:color w:val="auto"/>
              </w:rPr>
              <w:t>October 31,</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3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8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center"/>
              <w:ind w:left="303"/>
              <w:spacing w:after="0" w:line="126" w:lineRule="exact"/>
              <w:rPr>
                <w:sz w:val="20"/>
                <w:szCs w:val="20"/>
                <w:color w:val="auto"/>
              </w:rPr>
            </w:pPr>
            <w:r>
              <w:rPr>
                <w:rFonts w:ascii="Calibri" w:cs="Calibri" w:eastAsia="Calibri" w:hAnsi="Calibri"/>
                <w:sz w:val="11"/>
                <w:szCs w:val="11"/>
                <w:b w:val="1"/>
                <w:bCs w:val="1"/>
                <w:color w:val="auto"/>
                <w:w w:val="98"/>
              </w:rPr>
              <w:t>2022</w:t>
            </w:r>
          </w:p>
        </w:tc>
        <w:tc>
          <w:tcPr>
            <w:tcW w:w="76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Unrecognized tax benefts beginning of year</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center"/>
              <w:ind w:left="343"/>
              <w:spacing w:after="0" w:line="126" w:lineRule="exact"/>
              <w:rPr>
                <w:sz w:val="20"/>
                <w:szCs w:val="20"/>
                <w:color w:val="auto"/>
              </w:rPr>
            </w:pPr>
            <w:r>
              <w:rPr>
                <w:rFonts w:ascii="Calibri" w:cs="Calibri" w:eastAsia="Calibri" w:hAnsi="Calibri"/>
                <w:sz w:val="11"/>
                <w:szCs w:val="11"/>
                <w:color w:val="auto"/>
              </w:rPr>
              <w:t>6.1</w:t>
            </w:r>
          </w:p>
        </w:tc>
        <w:tc>
          <w:tcPr>
            <w:tcW w:w="760" w:type="dxa"/>
            <w:vAlign w:val="bottom"/>
            <w:tcBorders>
              <w:bottom w:val="single" w:sz="8" w:color="DBDBDB"/>
            </w:tcBorders>
            <w:shd w:val="clear" w:color="auto" w:fill="DBDBDB"/>
          </w:tcPr>
          <w:p>
            <w:pPr>
              <w:jc w:val="right"/>
              <w:ind w:right="483"/>
              <w:spacing w:after="0" w:line="126" w:lineRule="exact"/>
              <w:rPr>
                <w:sz w:val="20"/>
                <w:szCs w:val="20"/>
                <w:color w:val="auto"/>
              </w:rPr>
            </w:pPr>
            <w:r>
              <w:rPr>
                <w:rFonts w:ascii="Calibri" w:cs="Calibri" w:eastAsia="Calibri" w:hAnsi="Calibri"/>
                <w:sz w:val="11"/>
                <w:szCs w:val="11"/>
                <w:color w:val="auto"/>
              </w:rPr>
              <w:t>$</w:t>
            </w:r>
          </w:p>
        </w:tc>
        <w:tc>
          <w:tcPr>
            <w:tcW w:w="7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6.0</w:t>
            </w:r>
          </w:p>
        </w:tc>
        <w:tc>
          <w:tcPr>
            <w:tcW w:w="0" w:type="dxa"/>
            <w:vAlign w:val="bottom"/>
          </w:tcPr>
          <w:p>
            <w:pPr>
              <w:spacing w:after="0"/>
              <w:rPr>
                <w:sz w:val="1"/>
                <w:szCs w:val="1"/>
                <w:color w:val="auto"/>
              </w:rPr>
            </w:pPr>
          </w:p>
        </w:tc>
      </w:tr>
      <w:tr>
        <w:trPr>
          <w:trHeight w:val="135"/>
        </w:trPr>
        <w:tc>
          <w:tcPr>
            <w:tcW w:w="8320" w:type="dxa"/>
            <w:vAlign w:val="bottom"/>
          </w:tcPr>
          <w:p>
            <w:pPr>
              <w:ind w:left="20"/>
              <w:spacing w:after="0"/>
              <w:rPr>
                <w:sz w:val="20"/>
                <w:szCs w:val="20"/>
                <w:color w:val="auto"/>
              </w:rPr>
            </w:pPr>
            <w:r>
              <w:rPr>
                <w:rFonts w:ascii="Calibri" w:cs="Calibri" w:eastAsia="Calibri" w:hAnsi="Calibri"/>
                <w:sz w:val="11"/>
                <w:szCs w:val="11"/>
                <w:color w:val="auto"/>
              </w:rPr>
              <w:t>Increases/(decreases) related to prior year positons</w:t>
            </w:r>
          </w:p>
        </w:tc>
        <w:tc>
          <w:tcPr>
            <w:tcW w:w="580" w:type="dxa"/>
            <w:vAlign w:val="bottom"/>
          </w:tcPr>
          <w:p>
            <w:pPr>
              <w:spacing w:after="0"/>
              <w:rPr>
                <w:sz w:val="11"/>
                <w:szCs w:val="11"/>
                <w:color w:val="auto"/>
              </w:rPr>
            </w:pPr>
          </w:p>
        </w:tc>
        <w:tc>
          <w:tcPr>
            <w:tcW w:w="900" w:type="dxa"/>
            <w:vAlign w:val="bottom"/>
          </w:tcPr>
          <w:p>
            <w:pPr>
              <w:jc w:val="center"/>
              <w:ind w:left="343"/>
              <w:spacing w:after="0"/>
              <w:rPr>
                <w:sz w:val="20"/>
                <w:szCs w:val="20"/>
                <w:color w:val="auto"/>
              </w:rPr>
            </w:pPr>
            <w:r>
              <w:rPr>
                <w:rFonts w:ascii="Calibri" w:cs="Calibri" w:eastAsia="Calibri" w:hAnsi="Calibri"/>
                <w:sz w:val="11"/>
                <w:szCs w:val="11"/>
                <w:color w:val="auto"/>
              </w:rPr>
              <w:t>0.5</w:t>
            </w:r>
          </w:p>
        </w:tc>
        <w:tc>
          <w:tcPr>
            <w:tcW w:w="7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Calibri" w:cs="Calibri" w:eastAsia="Calibri" w:hAnsi="Calibri"/>
                <w:sz w:val="11"/>
                <w:szCs w:val="11"/>
                <w:color w:val="auto"/>
              </w:rPr>
              <w:t>(0.2)</w:t>
            </w:r>
          </w:p>
        </w:tc>
        <w:tc>
          <w:tcPr>
            <w:tcW w:w="0" w:type="dxa"/>
            <w:vAlign w:val="bottom"/>
          </w:tcPr>
          <w:p>
            <w:pPr>
              <w:spacing w:after="0"/>
              <w:rPr>
                <w:sz w:val="1"/>
                <w:szCs w:val="1"/>
                <w:color w:val="auto"/>
              </w:rPr>
            </w:pPr>
          </w:p>
        </w:tc>
      </w:tr>
      <w:tr>
        <w:trPr>
          <w:trHeight w:val="46"/>
        </w:trPr>
        <w:tc>
          <w:tcPr>
            <w:tcW w:w="8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3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Foreign currency remeasurement</w:t>
            </w:r>
          </w:p>
        </w:tc>
        <w:tc>
          <w:tcPr>
            <w:tcW w:w="5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center"/>
              <w:ind w:left="343"/>
              <w:spacing w:after="0"/>
              <w:rPr>
                <w:sz w:val="20"/>
                <w:szCs w:val="20"/>
                <w:color w:val="auto"/>
              </w:rPr>
            </w:pPr>
            <w:r>
              <w:rPr>
                <w:rFonts w:ascii="Calibri" w:cs="Calibri" w:eastAsia="Calibri" w:hAnsi="Calibri"/>
                <w:sz w:val="11"/>
                <w:szCs w:val="11"/>
                <w:color w:val="auto"/>
              </w:rPr>
              <w:t>0.1</w:t>
            </w:r>
          </w:p>
        </w:tc>
        <w:tc>
          <w:tcPr>
            <w:tcW w:w="760" w:type="dxa"/>
            <w:vAlign w:val="bottom"/>
            <w:tcBorders>
              <w:bottom w:val="single" w:sz="8" w:color="DBDBDB"/>
            </w:tcBorders>
            <w:shd w:val="clear" w:color="auto" w:fill="DBDBDB"/>
          </w:tcPr>
          <w:p>
            <w:pPr>
              <w:spacing w:after="0"/>
              <w:rPr>
                <w:sz w:val="15"/>
                <w:szCs w:val="15"/>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0.3</w:t>
            </w:r>
          </w:p>
        </w:tc>
        <w:tc>
          <w:tcPr>
            <w:tcW w:w="0" w:type="dxa"/>
            <w:vAlign w:val="bottom"/>
          </w:tcPr>
          <w:p>
            <w:pPr>
              <w:spacing w:after="0"/>
              <w:rPr>
                <w:sz w:val="1"/>
                <w:szCs w:val="1"/>
                <w:color w:val="auto"/>
              </w:rPr>
            </w:pPr>
          </w:p>
        </w:tc>
      </w:tr>
      <w:tr>
        <w:trPr>
          <w:trHeight w:val="125"/>
        </w:trPr>
        <w:tc>
          <w:tcPr>
            <w:tcW w:w="832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Unrecognized tax benefts end of year</w:t>
            </w:r>
          </w:p>
        </w:tc>
        <w:tc>
          <w:tcPr>
            <w:tcW w:w="58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top w:val="single" w:sz="8" w:color="auto"/>
            </w:tcBorders>
          </w:tcPr>
          <w:p>
            <w:pPr>
              <w:jc w:val="center"/>
              <w:ind w:left="343"/>
              <w:spacing w:after="0" w:line="126" w:lineRule="exact"/>
              <w:rPr>
                <w:sz w:val="20"/>
                <w:szCs w:val="20"/>
                <w:color w:val="auto"/>
              </w:rPr>
            </w:pPr>
            <w:r>
              <w:rPr>
                <w:rFonts w:ascii="Calibri" w:cs="Calibri" w:eastAsia="Calibri" w:hAnsi="Calibri"/>
                <w:sz w:val="11"/>
                <w:szCs w:val="11"/>
                <w:color w:val="auto"/>
              </w:rPr>
              <w:t>6.7</w:t>
            </w:r>
          </w:p>
        </w:tc>
        <w:tc>
          <w:tcPr>
            <w:tcW w:w="760" w:type="dxa"/>
            <w:vAlign w:val="bottom"/>
            <w:tcBorders>
              <w:top w:val="single" w:sz="8" w:color="auto"/>
            </w:tcBorders>
          </w:tcPr>
          <w:p>
            <w:pPr>
              <w:jc w:val="right"/>
              <w:ind w:right="483"/>
              <w:spacing w:after="0" w:line="126" w:lineRule="exact"/>
              <w:rPr>
                <w:sz w:val="20"/>
                <w:szCs w:val="20"/>
                <w:color w:val="auto"/>
              </w:rPr>
            </w:pPr>
            <w:r>
              <w:rPr>
                <w:rFonts w:ascii="Calibri" w:cs="Calibri" w:eastAsia="Calibri" w:hAnsi="Calibri"/>
                <w:sz w:val="11"/>
                <w:szCs w:val="11"/>
                <w:color w:val="auto"/>
              </w:rPr>
              <w:t>$</w:t>
            </w:r>
          </w:p>
        </w:tc>
        <w:tc>
          <w:tcPr>
            <w:tcW w:w="7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6.1</w:t>
            </w:r>
          </w:p>
        </w:tc>
        <w:tc>
          <w:tcPr>
            <w:tcW w:w="0" w:type="dxa"/>
            <w:vAlign w:val="bottom"/>
          </w:tcPr>
          <w:p>
            <w:pPr>
              <w:spacing w:after="0"/>
              <w:rPr>
                <w:sz w:val="1"/>
                <w:szCs w:val="1"/>
                <w:color w:val="auto"/>
              </w:rPr>
            </w:pPr>
          </w:p>
        </w:tc>
      </w:tr>
      <w:tr>
        <w:trPr>
          <w:trHeight w:val="46"/>
        </w:trPr>
        <w:tc>
          <w:tcPr>
            <w:tcW w:w="8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60" w:firstLine="509"/>
        <w:spacing w:after="0" w:line="225" w:lineRule="auto"/>
        <w:rPr>
          <w:sz w:val="20"/>
          <w:szCs w:val="20"/>
          <w:color w:val="auto"/>
        </w:rPr>
      </w:pPr>
      <w:r>
        <w:rPr>
          <w:rFonts w:ascii="Calibri" w:cs="Calibri" w:eastAsia="Calibri" w:hAnsi="Calibri"/>
          <w:sz w:val="13"/>
          <w:szCs w:val="13"/>
          <w:color w:val="auto"/>
        </w:rPr>
        <w:t>If recognized, the total amount of unrecognized tax benefts as of October 31, 2022 and 2021 would impact the efectve tax rate. There is potental for signifcant changes to unrecognized tax benefts by the end of fscal year 2023 with regards to the 2013 tax assessment as discussed below.</w:t>
      </w:r>
    </w:p>
    <w:p>
      <w:pPr>
        <w:spacing w:after="0" w:line="159" w:lineRule="exact"/>
        <w:rPr>
          <w:sz w:val="20"/>
          <w:szCs w:val="20"/>
          <w:color w:val="auto"/>
        </w:rPr>
      </w:pPr>
    </w:p>
    <w:p>
      <w:pPr>
        <w:ind w:right="280" w:firstLine="509"/>
        <w:spacing w:after="0" w:line="225" w:lineRule="auto"/>
        <w:rPr>
          <w:sz w:val="20"/>
          <w:szCs w:val="20"/>
          <w:color w:val="auto"/>
        </w:rPr>
      </w:pPr>
      <w:r>
        <w:rPr>
          <w:rFonts w:ascii="Calibri" w:cs="Calibri" w:eastAsia="Calibri" w:hAnsi="Calibri"/>
          <w:sz w:val="13"/>
          <w:szCs w:val="13"/>
          <w:color w:val="auto"/>
        </w:rPr>
        <w:t>The Company recognizes interest and penaltes related to uncertain tax positons in income tax expense. The Company recorded $0.6 million, $0.9 million, and $(1.9) million of interest and penaltes in the years ended October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4" w:name="page65"/>
    <w:bookmarkEnd w:id="64"/>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40"/>
        <w:spacing w:after="0" w:line="225" w:lineRule="auto"/>
        <w:rPr>
          <w:sz w:val="20"/>
          <w:szCs w:val="20"/>
          <w:color w:val="auto"/>
        </w:rPr>
      </w:pPr>
      <w:r>
        <w:rPr>
          <w:rFonts w:ascii="Calibri" w:cs="Calibri" w:eastAsia="Calibri" w:hAnsi="Calibri"/>
          <w:sz w:val="13"/>
          <w:szCs w:val="13"/>
          <w:color w:val="auto"/>
        </w:rPr>
        <w:t>respectvely, in the consolidated statements of (loss) income and had $8.3 million and $7.7 million for interest and penaltes accrued as of October 31, 2022 and 2021, respectvely, which have been included in other long-term liabilites in the consolidated balance sheets.</w:t>
      </w:r>
    </w:p>
    <w:p>
      <w:pPr>
        <w:spacing w:after="0" w:line="159" w:lineRule="exact"/>
        <w:rPr>
          <w:sz w:val="20"/>
          <w:szCs w:val="20"/>
          <w:color w:val="auto"/>
        </w:rPr>
      </w:pPr>
    </w:p>
    <w:p>
      <w:pPr>
        <w:ind w:right="20" w:firstLine="509"/>
        <w:spacing w:after="0" w:line="231" w:lineRule="auto"/>
        <w:rPr>
          <w:sz w:val="20"/>
          <w:szCs w:val="20"/>
          <w:color w:val="auto"/>
        </w:rPr>
      </w:pPr>
      <w:r>
        <w:rPr>
          <w:rFonts w:ascii="Calibri" w:cs="Calibri" w:eastAsia="Calibri" w:hAnsi="Calibri"/>
          <w:sz w:val="13"/>
          <w:szCs w:val="13"/>
          <w:color w:val="auto"/>
        </w:rPr>
        <w:t>We conduct business both domestcally and internatonally and, as a result, one or more of our subsidiaries fles income tax returns in U.S. federal, U.S. state and certain foreign jurisdictons. Accordingly, in the normal course of business, we are subject to examinaton by taxing authorites, primarily in the United States, Mexico and Peru. The Company is no longer subject to U.S. federal tax examinatons for the fscal years prior to and including October 31, 2018, nor is it subject to U.S. state income tax examinatons for fscal years prior to and including October 31, 2017. The Company is no longer subject to income tax examinatons in Mexico for calendar years prior to and including December 31, 2016, except for the 2013 calendar year, which is under audit as discussed below. The Company is no longer subject to income tax examinatons in Peru for calendar years prior to and including December 31, 2016.</w:t>
      </w:r>
    </w:p>
    <w:p>
      <w:pPr>
        <w:spacing w:after="0" w:line="159" w:lineRule="exact"/>
        <w:rPr>
          <w:sz w:val="20"/>
          <w:szCs w:val="20"/>
          <w:color w:val="auto"/>
        </w:rPr>
      </w:pPr>
    </w:p>
    <w:p>
      <w:pPr>
        <w:ind w:right="60" w:firstLine="509"/>
        <w:spacing w:after="0" w:line="228" w:lineRule="auto"/>
        <w:rPr>
          <w:sz w:val="20"/>
          <w:szCs w:val="20"/>
          <w:color w:val="auto"/>
        </w:rPr>
      </w:pPr>
      <w:r>
        <w:rPr>
          <w:rFonts w:ascii="Calibri" w:cs="Calibri" w:eastAsia="Calibri" w:hAnsi="Calibri"/>
          <w:sz w:val="13"/>
          <w:szCs w:val="13"/>
          <w:color w:val="auto"/>
        </w:rPr>
        <w:t>The Company’s wholly owned subsidiary in Mexico is currently under audit for the fscal year 2013 and received certain proposed adjustments during fscal year 2018 from the Mexican taxing authorites pertaining to disallowed deductons. During June 2018, the Company fled an administratve appeal challenging the 2013 tax assessment, which in June 2019 the authorites issued a resoluton revoking the tax assessment and ordering the tax auditors to appraise some evidence and re-issue a new assessment in connecton with one of the intermediaries. The Mexican subsidiary fled a tax lawsuit since the tax auditors did not appraise the evidence ofered in connecton with a signifcant porton of the disallowed deductons, which the Company is currently waitng for the resoluton of the trial. The Company believes that is has adequately provided taxes for this mater.</w:t>
      </w:r>
    </w:p>
    <w:p>
      <w:pPr>
        <w:spacing w:after="0" w:line="159" w:lineRule="exact"/>
        <w:rPr>
          <w:sz w:val="20"/>
          <w:szCs w:val="20"/>
          <w:color w:val="auto"/>
        </w:rPr>
      </w:pPr>
    </w:p>
    <w:p>
      <w:pPr>
        <w:ind w:right="20" w:firstLine="509"/>
        <w:spacing w:after="0" w:line="230" w:lineRule="auto"/>
        <w:rPr>
          <w:sz w:val="20"/>
          <w:szCs w:val="20"/>
          <w:color w:val="auto"/>
        </w:rPr>
      </w:pPr>
      <w:r>
        <w:rPr>
          <w:rFonts w:ascii="Calibri" w:cs="Calibri" w:eastAsia="Calibri" w:hAnsi="Calibri"/>
          <w:sz w:val="13"/>
          <w:szCs w:val="13"/>
          <w:color w:val="auto"/>
        </w:rPr>
        <w:t>On December 30, 2020, Peru enacted tax law repealing current tax law which provided benefts to agribusiness enttes. The new law will subject us to higher Peruvian corporate income tax rates than our current rate of 15% as follows: 20% for calendar years 2023 to 2024, 25% for calendar years 2025 to 2027, and 29.5% thereafer. We remeasured our deferred tax balances based on the applicable tax rate in the year the deferred balances are expected to reverse. The increase to the net deferred tax liability for the change in Peruvian tax rate resulted in a $5.4 million increase to tax expense during fscal year 2021.</w:t>
      </w:r>
    </w:p>
    <w:p>
      <w:pPr>
        <w:spacing w:after="0" w:line="159" w:lineRule="exact"/>
        <w:rPr>
          <w:sz w:val="20"/>
          <w:szCs w:val="20"/>
          <w:color w:val="auto"/>
        </w:rPr>
      </w:pPr>
    </w:p>
    <w:p>
      <w:pPr>
        <w:jc w:val="both"/>
        <w:ind w:firstLine="509"/>
        <w:spacing w:after="0" w:line="231" w:lineRule="auto"/>
        <w:rPr>
          <w:sz w:val="20"/>
          <w:szCs w:val="20"/>
          <w:color w:val="auto"/>
        </w:rPr>
      </w:pPr>
      <w:r>
        <w:rPr>
          <w:rFonts w:ascii="Calibri" w:cs="Calibri" w:eastAsia="Calibri" w:hAnsi="Calibri"/>
          <w:sz w:val="13"/>
          <w:szCs w:val="13"/>
          <w:color w:val="auto"/>
        </w:rPr>
        <w:t>On March 27, 2020, the Coronavirus Aid, Relief and Economic Security (“CARES Act”) was signed into law. Among other things, the CARES Act permited NOL carryovers and carrybacks to ofset 100% of taxable income for taxable years beginning before 2021. In additon, the CARES Act allowed NOLs incurred in 2018, 2019, and 2020 to be carried back to each of the fve preceding taxable years to generate a refund of previously paid income taxes. For fscal year 2020 the Company recorded a discrete beneft of $1.2 million due to the revaluaton of deferred tax assets due to the utlizaton of NOLs at a higher tax rate in the carryback period. The CARES Act also contains modifcatons on the limitaton of business interest for tax years beginning in 2019 and 2020. The modifcatons to Secton 163(j) increased the allowable business interest deducton from 30% of adjusted taxable income to 50% of adjusted taxable income which did not have an impact to the company for fscal year 2020 or 2021.</w:t>
      </w:r>
    </w:p>
    <w:p>
      <w:pPr>
        <w:spacing w:after="0" w:line="344" w:lineRule="exact"/>
        <w:rPr>
          <w:sz w:val="20"/>
          <w:szCs w:val="20"/>
          <w:color w:val="auto"/>
        </w:rPr>
      </w:pPr>
    </w:p>
    <w:p>
      <w:pPr>
        <w:ind w:left="420" w:hanging="415"/>
        <w:spacing w:after="0"/>
        <w:tabs>
          <w:tab w:leader="none" w:pos="420" w:val="left"/>
        </w:tabs>
        <w:numPr>
          <w:ilvl w:val="0"/>
          <w:numId w:val="25"/>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Shareholders’ Equity</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2003 Stock Incentve Plan</w:t>
      </w:r>
    </w:p>
    <w:p>
      <w:pPr>
        <w:spacing w:after="0" w:line="158" w:lineRule="exact"/>
        <w:rPr>
          <w:sz w:val="20"/>
          <w:szCs w:val="20"/>
          <w:color w:val="auto"/>
        </w:rPr>
      </w:pPr>
    </w:p>
    <w:p>
      <w:pPr>
        <w:ind w:right="40" w:firstLine="509"/>
        <w:spacing w:after="0" w:line="229" w:lineRule="auto"/>
        <w:rPr>
          <w:sz w:val="20"/>
          <w:szCs w:val="20"/>
          <w:color w:val="auto"/>
        </w:rPr>
      </w:pPr>
      <w:r>
        <w:rPr>
          <w:rFonts w:ascii="Calibri" w:cs="Calibri" w:eastAsia="Calibri" w:hAnsi="Calibri"/>
          <w:sz w:val="13"/>
          <w:szCs w:val="13"/>
          <w:color w:val="auto"/>
        </w:rPr>
        <w:t>Our Board of Directors adopted the Mission Produce, Inc. 2003 Stock Incentve Plan in fscal year 2004, and subsequently restated and amended the plan on July 9, 2019 (collectvely, the “2003 Plan”). The 2003 Plan is a non-qualifed stock opton plan that allowed for the grantng of a combined maximum of 10,200,000 stock opton awards to key employees and directors, untl the completon of our IPO in October 2020, at which tme we adopted the 2020 Incentve Award Plan (“2020 Plan”), and shares of our common stock subject to awards granted under the 2003 Plan that were available for issuance were transferred to, and became available for issuance under the 2020 Plan in accordance with its terms.</w:t>
      </w:r>
    </w:p>
    <w:p>
      <w:pPr>
        <w:spacing w:after="0" w:line="16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2020 Incentve Award Plan</w:t>
      </w:r>
    </w:p>
    <w:p>
      <w:pPr>
        <w:spacing w:after="0" w:line="158" w:lineRule="exact"/>
        <w:rPr>
          <w:sz w:val="20"/>
          <w:szCs w:val="20"/>
          <w:color w:val="auto"/>
        </w:rPr>
      </w:pPr>
    </w:p>
    <w:p>
      <w:pPr>
        <w:ind w:right="160" w:firstLine="509"/>
        <w:spacing w:after="0" w:line="230" w:lineRule="auto"/>
        <w:rPr>
          <w:sz w:val="20"/>
          <w:szCs w:val="20"/>
          <w:color w:val="auto"/>
        </w:rPr>
      </w:pPr>
      <w:r>
        <w:rPr>
          <w:rFonts w:ascii="Calibri" w:cs="Calibri" w:eastAsia="Calibri" w:hAnsi="Calibri"/>
          <w:sz w:val="13"/>
          <w:szCs w:val="13"/>
          <w:color w:val="auto"/>
        </w:rPr>
        <w:t>On October 1, 2020, our Board of Directors adopted the 2020 Plan, which provides for the grant of equity awards, including stock optons, RSUs, and PSUs to directors, employees, consultants, and certain of our afliates. The terms of awards may vary based on the grantee classifcaton, or nature of the award, such as awards contngent upon discrete events, or awards related to contnuing employment. A maximum of 9,880,190 shares of common stock may be issued under the 2020 Plan. As of October 31, 2022, 8,785,878 shares were available for issuance under the 2020 Plan.</w:t>
      </w:r>
    </w:p>
    <w:p>
      <w:pPr>
        <w:spacing w:after="0" w:line="17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Stock-based compensaton</w:t>
      </w:r>
    </w:p>
    <w:p>
      <w:pPr>
        <w:spacing w:after="0" w:line="158" w:lineRule="exact"/>
        <w:rPr>
          <w:sz w:val="20"/>
          <w:szCs w:val="20"/>
          <w:color w:val="auto"/>
        </w:rPr>
      </w:pPr>
    </w:p>
    <w:p>
      <w:pPr>
        <w:ind w:right="180" w:firstLine="509"/>
        <w:spacing w:after="0" w:line="225" w:lineRule="auto"/>
        <w:rPr>
          <w:sz w:val="20"/>
          <w:szCs w:val="20"/>
          <w:color w:val="auto"/>
        </w:rPr>
      </w:pPr>
      <w:r>
        <w:rPr>
          <w:rFonts w:ascii="Calibri" w:cs="Calibri" w:eastAsia="Calibri" w:hAnsi="Calibri"/>
          <w:sz w:val="13"/>
          <w:szCs w:val="13"/>
          <w:color w:val="auto"/>
        </w:rPr>
        <w:t>Stock-based compensaton expense is recorded in selling, general and administratve expenses in the consolidated statements of income. Total stock-based compensaton expense under these plans and the total related recognized tax beneft were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5" w:name="page66"/>
    <w:bookmarkEnd w:id="65"/>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Years ended October 31,</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40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2021</w:t>
            </w:r>
          </w:p>
        </w:tc>
        <w:tc>
          <w:tcPr>
            <w:tcW w:w="72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RSUs</w:t>
            </w:r>
          </w:p>
        </w:tc>
        <w:tc>
          <w:tcPr>
            <w:tcW w:w="58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90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2.0</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1.1</w:t>
            </w:r>
          </w:p>
        </w:tc>
        <w:tc>
          <w:tcPr>
            <w:tcW w:w="72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0.1</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PSUs</w:t>
            </w:r>
          </w:p>
        </w:tc>
        <w:tc>
          <w:tcPr>
            <w:tcW w:w="580" w:type="dxa"/>
            <w:vAlign w:val="bottom"/>
          </w:tcPr>
          <w:p>
            <w:pPr>
              <w:spacing w:after="0"/>
              <w:rPr>
                <w:sz w:val="11"/>
                <w:szCs w:val="11"/>
                <w:color w:val="auto"/>
              </w:rPr>
            </w:pPr>
          </w:p>
        </w:tc>
        <w:tc>
          <w:tcPr>
            <w:tcW w:w="900" w:type="dxa"/>
            <w:vAlign w:val="bottom"/>
          </w:tcPr>
          <w:p>
            <w:pPr>
              <w:jc w:val="right"/>
              <w:ind w:right="143"/>
              <w:spacing w:after="0"/>
              <w:rPr>
                <w:sz w:val="20"/>
                <w:szCs w:val="20"/>
                <w:color w:val="auto"/>
              </w:rPr>
            </w:pPr>
            <w:r>
              <w:rPr>
                <w:rFonts w:ascii="Calibri" w:cs="Calibri" w:eastAsia="Calibri" w:hAnsi="Calibri"/>
                <w:sz w:val="11"/>
                <w:szCs w:val="11"/>
                <w:color w:val="auto"/>
              </w:rPr>
              <w:t>0.3</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7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Stock optons</w:t>
            </w:r>
          </w:p>
        </w:tc>
        <w:tc>
          <w:tcPr>
            <w:tcW w:w="58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1.3</w:t>
            </w:r>
          </w:p>
        </w:tc>
        <w:tc>
          <w:tcPr>
            <w:tcW w:w="22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1.5</w:t>
            </w:r>
          </w:p>
        </w:tc>
        <w:tc>
          <w:tcPr>
            <w:tcW w:w="720" w:type="dxa"/>
            <w:vAlign w:val="bottom"/>
            <w:tcBorders>
              <w:bottom w:val="single" w:sz="8" w:color="DBDBDB"/>
            </w:tcBorders>
            <w:shd w:val="clear" w:color="auto" w:fill="DBDBDB"/>
          </w:tcPr>
          <w:p>
            <w:pPr>
              <w:spacing w:after="0"/>
              <w:rPr>
                <w:sz w:val="15"/>
                <w:szCs w:val="15"/>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4.8</w:t>
            </w:r>
          </w:p>
        </w:tc>
        <w:tc>
          <w:tcPr>
            <w:tcW w:w="0" w:type="dxa"/>
            <w:vAlign w:val="bottom"/>
          </w:tcPr>
          <w:p>
            <w:pPr>
              <w:spacing w:after="0"/>
              <w:rPr>
                <w:sz w:val="1"/>
                <w:szCs w:val="1"/>
                <w:color w:val="auto"/>
              </w:rPr>
            </w:pPr>
          </w:p>
        </w:tc>
      </w:tr>
      <w:tr>
        <w:trPr>
          <w:trHeight w:val="125"/>
        </w:trPr>
        <w:tc>
          <w:tcPr>
            <w:tcW w:w="67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stock-based compensaton expense under incentve plans, pretax</w:t>
            </w:r>
          </w:p>
        </w:tc>
        <w:tc>
          <w:tcPr>
            <w:tcW w:w="5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43"/>
              <w:spacing w:after="0" w:line="126" w:lineRule="exact"/>
              <w:rPr>
                <w:sz w:val="20"/>
                <w:szCs w:val="20"/>
                <w:color w:val="auto"/>
              </w:rPr>
            </w:pPr>
            <w:r>
              <w:rPr>
                <w:rFonts w:ascii="Calibri" w:cs="Calibri" w:eastAsia="Calibri" w:hAnsi="Calibri"/>
                <w:sz w:val="11"/>
                <w:szCs w:val="11"/>
                <w:color w:val="auto"/>
              </w:rPr>
              <w:t>3.6</w:t>
            </w:r>
          </w:p>
        </w:tc>
        <w:tc>
          <w:tcPr>
            <w:tcW w:w="2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2.6</w:t>
            </w:r>
          </w:p>
        </w:tc>
        <w:tc>
          <w:tcPr>
            <w:tcW w:w="7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4.9</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Tax beneft</w:t>
            </w:r>
          </w:p>
        </w:tc>
        <w:tc>
          <w:tcPr>
            <w:tcW w:w="5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0.1</w:t>
            </w:r>
          </w:p>
        </w:tc>
        <w:tc>
          <w:tcPr>
            <w:tcW w:w="72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0.1</w:t>
            </w:r>
          </w:p>
        </w:tc>
        <w:tc>
          <w:tcPr>
            <w:tcW w:w="0" w:type="dxa"/>
            <w:vAlign w:val="bottom"/>
          </w:tcPr>
          <w:p>
            <w:pPr>
              <w:spacing w:after="0"/>
              <w:rPr>
                <w:sz w:val="1"/>
                <w:szCs w:val="1"/>
                <w:color w:val="auto"/>
              </w:rPr>
            </w:pPr>
          </w:p>
        </w:tc>
      </w:tr>
      <w:tr>
        <w:trPr>
          <w:trHeight w:val="20"/>
        </w:trPr>
        <w:tc>
          <w:tcPr>
            <w:tcW w:w="6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Unrecognized stock-based compensaton expense as of October 31, 2022 was $6.5 million and is expected to be recognized over a weighted-average period of 1.5 years.</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RSUs</w:t>
      </w:r>
    </w:p>
    <w:p>
      <w:pPr>
        <w:spacing w:after="0" w:line="190" w:lineRule="exact"/>
        <w:rPr>
          <w:sz w:val="20"/>
          <w:szCs w:val="20"/>
          <w:color w:val="auto"/>
        </w:rPr>
      </w:pPr>
    </w:p>
    <w:p>
      <w:pPr>
        <w:ind w:right="280" w:firstLine="509"/>
        <w:spacing w:after="0" w:line="225" w:lineRule="auto"/>
        <w:rPr>
          <w:sz w:val="20"/>
          <w:szCs w:val="20"/>
          <w:color w:val="auto"/>
        </w:rPr>
      </w:pPr>
      <w:r>
        <w:rPr>
          <w:rFonts w:ascii="Calibri" w:cs="Calibri" w:eastAsia="Calibri" w:hAnsi="Calibri"/>
          <w:sz w:val="13"/>
          <w:szCs w:val="13"/>
          <w:color w:val="auto"/>
        </w:rPr>
        <w:t>RSUs are service-based awards granted under the 2020 Plan to eligible employees and non-employees. RSUs are expected to be setled with shares of the Company’s common stock. Vestng and forfeiture conditons are specifc to each grant as determined by the plan administrator. The fair value of RSUs is determined based on the market price of our common stock on the date of grant.</w:t>
      </w:r>
    </w:p>
    <w:p>
      <w:pPr>
        <w:spacing w:after="0" w:line="160" w:lineRule="exact"/>
        <w:rPr>
          <w:sz w:val="20"/>
          <w:szCs w:val="20"/>
          <w:color w:val="auto"/>
        </w:rPr>
      </w:pPr>
    </w:p>
    <w:p>
      <w:pPr>
        <w:ind w:left="260"/>
        <w:spacing w:after="0"/>
        <w:rPr>
          <w:sz w:val="20"/>
          <w:szCs w:val="20"/>
          <w:color w:val="auto"/>
        </w:rPr>
      </w:pPr>
      <w:r>
        <w:rPr>
          <w:rFonts w:ascii="Calibri" w:cs="Calibri" w:eastAsia="Calibri" w:hAnsi="Calibri"/>
          <w:sz w:val="13"/>
          <w:szCs w:val="13"/>
          <w:i w:val="1"/>
          <w:iCs w:val="1"/>
          <w:color w:val="auto"/>
        </w:rPr>
        <w:t>Employees</w:t>
      </w:r>
    </w:p>
    <w:p>
      <w:pPr>
        <w:spacing w:after="0" w:line="158" w:lineRule="exact"/>
        <w:rPr>
          <w:sz w:val="20"/>
          <w:szCs w:val="20"/>
          <w:color w:val="auto"/>
        </w:rPr>
      </w:pPr>
    </w:p>
    <w:p>
      <w:pPr>
        <w:ind w:right="280" w:firstLine="509"/>
        <w:spacing w:after="0" w:line="225" w:lineRule="auto"/>
        <w:rPr>
          <w:sz w:val="20"/>
          <w:szCs w:val="20"/>
          <w:color w:val="auto"/>
        </w:rPr>
      </w:pPr>
      <w:r>
        <w:rPr>
          <w:rFonts w:ascii="Calibri" w:cs="Calibri" w:eastAsia="Calibri" w:hAnsi="Calibri"/>
          <w:sz w:val="13"/>
          <w:szCs w:val="13"/>
          <w:color w:val="auto"/>
        </w:rPr>
        <w:t>RSUs are granted to employees as well as new-hires and generally vest ratably over three to four years. Actvity for awards during the year ended October 31, 2022 was as follows. No awards were granted during the year ended October 31,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080" w:type="dxa"/>
            <w:vAlign w:val="bottom"/>
          </w:tcPr>
          <w:p>
            <w:pPr>
              <w:spacing w:after="0"/>
              <w:rPr>
                <w:sz w:val="11"/>
                <w:szCs w:val="11"/>
                <w:color w:val="auto"/>
              </w:rPr>
            </w:pPr>
          </w:p>
        </w:tc>
        <w:tc>
          <w:tcPr>
            <w:tcW w:w="438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Units</w:t>
            </w:r>
          </w:p>
        </w:tc>
        <w:tc>
          <w:tcPr>
            <w:tcW w:w="24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alibri" w:cs="Calibri" w:eastAsia="Calibri" w:hAnsi="Calibri"/>
                <w:sz w:val="11"/>
                <w:szCs w:val="11"/>
                <w:b w:val="1"/>
                <w:bCs w:val="1"/>
                <w:color w:val="auto"/>
              </w:rPr>
              <w:t>Weighted average grant-date fair</w:t>
            </w:r>
          </w:p>
        </w:tc>
      </w:tr>
      <w:tr>
        <w:trPr>
          <w:trHeight w:val="138"/>
        </w:trPr>
        <w:tc>
          <w:tcPr>
            <w:tcW w:w="5080" w:type="dxa"/>
            <w:vAlign w:val="bottom"/>
          </w:tcPr>
          <w:p>
            <w:pPr>
              <w:spacing w:after="0"/>
              <w:rPr>
                <w:sz w:val="11"/>
                <w:szCs w:val="11"/>
                <w:color w:val="auto"/>
              </w:rPr>
            </w:pPr>
          </w:p>
        </w:tc>
        <w:tc>
          <w:tcPr>
            <w:tcW w:w="438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(in thousands)</w:t>
            </w:r>
          </w:p>
        </w:tc>
        <w:tc>
          <w:tcPr>
            <w:tcW w:w="24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alibri" w:cs="Calibri" w:eastAsia="Calibri" w:hAnsi="Calibri"/>
                <w:sz w:val="11"/>
                <w:szCs w:val="11"/>
                <w:b w:val="1"/>
                <w:bCs w:val="1"/>
                <w:color w:val="auto"/>
              </w:rPr>
              <w:t>value per unit</w:t>
            </w:r>
          </w:p>
        </w:tc>
      </w:tr>
      <w:tr>
        <w:trPr>
          <w:trHeight w:val="46"/>
        </w:trPr>
        <w:tc>
          <w:tcPr>
            <w:tcW w:w="508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51"/>
        </w:trPr>
        <w:tc>
          <w:tcPr>
            <w:tcW w:w="50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Outstanding at October 31, 2021</w:t>
            </w:r>
          </w:p>
        </w:tc>
        <w:tc>
          <w:tcPr>
            <w:tcW w:w="43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8</w:t>
            </w:r>
          </w:p>
        </w:tc>
        <w:tc>
          <w:tcPr>
            <w:tcW w:w="2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5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20.87</w:t>
            </w:r>
          </w:p>
        </w:tc>
      </w:tr>
      <w:tr>
        <w:trPr>
          <w:trHeight w:val="135"/>
        </w:trPr>
        <w:tc>
          <w:tcPr>
            <w:tcW w:w="5080" w:type="dxa"/>
            <w:vAlign w:val="bottom"/>
          </w:tcPr>
          <w:p>
            <w:pPr>
              <w:ind w:left="20"/>
              <w:spacing w:after="0"/>
              <w:rPr>
                <w:sz w:val="20"/>
                <w:szCs w:val="20"/>
                <w:color w:val="auto"/>
              </w:rPr>
            </w:pPr>
            <w:r>
              <w:rPr>
                <w:rFonts w:ascii="Calibri" w:cs="Calibri" w:eastAsia="Calibri" w:hAnsi="Calibri"/>
                <w:sz w:val="11"/>
                <w:szCs w:val="11"/>
                <w:color w:val="auto"/>
              </w:rPr>
              <w:t>Granted</w:t>
            </w:r>
          </w:p>
        </w:tc>
        <w:tc>
          <w:tcPr>
            <w:tcW w:w="4380" w:type="dxa"/>
            <w:vAlign w:val="bottom"/>
          </w:tcPr>
          <w:p>
            <w:pPr>
              <w:jc w:val="right"/>
              <w:ind w:right="123"/>
              <w:spacing w:after="0"/>
              <w:rPr>
                <w:sz w:val="20"/>
                <w:szCs w:val="20"/>
                <w:color w:val="auto"/>
              </w:rPr>
            </w:pPr>
            <w:r>
              <w:rPr>
                <w:rFonts w:ascii="Calibri" w:cs="Calibri" w:eastAsia="Calibri" w:hAnsi="Calibri"/>
                <w:sz w:val="11"/>
                <w:szCs w:val="11"/>
                <w:color w:val="auto"/>
              </w:rPr>
              <w:t>293</w:t>
            </w:r>
          </w:p>
        </w:tc>
        <w:tc>
          <w:tcPr>
            <w:tcW w:w="24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alibri" w:cs="Calibri" w:eastAsia="Calibri" w:hAnsi="Calibri"/>
                <w:sz w:val="11"/>
                <w:szCs w:val="11"/>
                <w:color w:val="auto"/>
              </w:rPr>
              <w:t>15.88</w:t>
            </w:r>
          </w:p>
        </w:tc>
      </w:tr>
      <w:tr>
        <w:trPr>
          <w:trHeight w:val="46"/>
        </w:trPr>
        <w:tc>
          <w:tcPr>
            <w:tcW w:w="50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160"/>
        </w:trPr>
        <w:tc>
          <w:tcPr>
            <w:tcW w:w="50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Vested</w:t>
            </w:r>
          </w:p>
        </w:tc>
        <w:tc>
          <w:tcPr>
            <w:tcW w:w="438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(2)</w:t>
            </w:r>
          </w:p>
        </w:tc>
        <w:tc>
          <w:tcPr>
            <w:tcW w:w="240" w:type="dxa"/>
            <w:vAlign w:val="bottom"/>
            <w:tcBorders>
              <w:bottom w:val="single" w:sz="8" w:color="DBDBDB"/>
            </w:tcBorders>
            <w:shd w:val="clear" w:color="auto" w:fill="DBDBDB"/>
          </w:tcPr>
          <w:p>
            <w:pPr>
              <w:spacing w:after="0"/>
              <w:rPr>
                <w:sz w:val="13"/>
                <w:szCs w:val="13"/>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20.87</w:t>
            </w:r>
          </w:p>
        </w:tc>
      </w:tr>
      <w:tr>
        <w:trPr>
          <w:trHeight w:val="135"/>
        </w:trPr>
        <w:tc>
          <w:tcPr>
            <w:tcW w:w="5080" w:type="dxa"/>
            <w:vAlign w:val="bottom"/>
          </w:tcPr>
          <w:p>
            <w:pPr>
              <w:ind w:left="20"/>
              <w:spacing w:after="0"/>
              <w:rPr>
                <w:sz w:val="20"/>
                <w:szCs w:val="20"/>
                <w:color w:val="auto"/>
              </w:rPr>
            </w:pPr>
            <w:r>
              <w:rPr>
                <w:rFonts w:ascii="Calibri" w:cs="Calibri" w:eastAsia="Calibri" w:hAnsi="Calibri"/>
                <w:sz w:val="11"/>
                <w:szCs w:val="11"/>
                <w:color w:val="auto"/>
              </w:rPr>
              <w:t>Forfeited</w:t>
            </w:r>
          </w:p>
        </w:tc>
        <w:tc>
          <w:tcPr>
            <w:tcW w:w="4380" w:type="dxa"/>
            <w:vAlign w:val="bottom"/>
          </w:tcPr>
          <w:p>
            <w:pPr>
              <w:jc w:val="right"/>
              <w:ind w:right="103"/>
              <w:spacing w:after="0"/>
              <w:rPr>
                <w:sz w:val="20"/>
                <w:szCs w:val="20"/>
                <w:color w:val="auto"/>
              </w:rPr>
            </w:pPr>
            <w:r>
              <w:rPr>
                <w:rFonts w:ascii="Calibri" w:cs="Calibri" w:eastAsia="Calibri" w:hAnsi="Calibri"/>
                <w:sz w:val="11"/>
                <w:szCs w:val="11"/>
                <w:color w:val="auto"/>
              </w:rPr>
              <w:t>(19)</w:t>
            </w:r>
          </w:p>
        </w:tc>
        <w:tc>
          <w:tcPr>
            <w:tcW w:w="24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alibri" w:cs="Calibri" w:eastAsia="Calibri" w:hAnsi="Calibri"/>
                <w:sz w:val="11"/>
                <w:szCs w:val="11"/>
                <w:color w:val="auto"/>
              </w:rPr>
              <w:t>15.89</w:t>
            </w:r>
          </w:p>
        </w:tc>
      </w:tr>
      <w:tr>
        <w:trPr>
          <w:trHeight w:val="46"/>
        </w:trPr>
        <w:tc>
          <w:tcPr>
            <w:tcW w:w="508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51"/>
        </w:trPr>
        <w:tc>
          <w:tcPr>
            <w:tcW w:w="50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Outstanding at October 31, 2022</w:t>
            </w:r>
          </w:p>
        </w:tc>
        <w:tc>
          <w:tcPr>
            <w:tcW w:w="43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280</w:t>
            </w:r>
          </w:p>
        </w:tc>
        <w:tc>
          <w:tcPr>
            <w:tcW w:w="2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5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15.99</w:t>
            </w:r>
          </w:p>
        </w:tc>
      </w:tr>
      <w:tr>
        <w:trPr>
          <w:trHeight w:val="20"/>
        </w:trPr>
        <w:tc>
          <w:tcPr>
            <w:tcW w:w="508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ind w:left="260"/>
        <w:spacing w:after="0"/>
        <w:rPr>
          <w:sz w:val="20"/>
          <w:szCs w:val="20"/>
          <w:color w:val="auto"/>
        </w:rPr>
      </w:pPr>
      <w:r>
        <w:rPr>
          <w:rFonts w:ascii="Calibri" w:cs="Calibri" w:eastAsia="Calibri" w:hAnsi="Calibri"/>
          <w:sz w:val="13"/>
          <w:szCs w:val="13"/>
          <w:i w:val="1"/>
          <w:iCs w:val="1"/>
          <w:color w:val="auto"/>
        </w:rPr>
        <w:t>Board of Directors</w:t>
      </w:r>
    </w:p>
    <w:p>
      <w:pPr>
        <w:spacing w:after="0" w:line="158" w:lineRule="exact"/>
        <w:rPr>
          <w:sz w:val="20"/>
          <w:szCs w:val="20"/>
          <w:color w:val="auto"/>
        </w:rPr>
      </w:pPr>
    </w:p>
    <w:p>
      <w:pPr>
        <w:ind w:right="80" w:firstLine="509"/>
        <w:spacing w:after="0" w:line="230" w:lineRule="auto"/>
        <w:rPr>
          <w:sz w:val="20"/>
          <w:szCs w:val="20"/>
          <w:color w:val="auto"/>
        </w:rPr>
      </w:pPr>
      <w:r>
        <w:rPr>
          <w:rFonts w:ascii="Calibri" w:cs="Calibri" w:eastAsia="Calibri" w:hAnsi="Calibri"/>
          <w:sz w:val="13"/>
          <w:szCs w:val="13"/>
          <w:color w:val="auto"/>
        </w:rPr>
        <w:t>Under our Director Compensaton Plan, directors receive an automatc annual grant on the date of each Annual Shareholders’ Meetng, set to clif-vest at the earlier of one year following the grant date or at the subsequent Annual Shareholders’ Meetng. Directors are also eligible to defer the distributon of shares between two to fve years, either in lump sum or annual installments. Deferral electons are made annually at the beginning of each plan year and apply to grants made within said year.</w:t>
      </w:r>
    </w:p>
    <w:p>
      <w:pPr>
        <w:spacing w:after="0" w:line="182"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Actvity for RSU awards for directors during the year ended October 31, 2022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280" w:type="dxa"/>
            <w:vAlign w:val="bottom"/>
          </w:tcPr>
          <w:p>
            <w:pPr>
              <w:spacing w:after="0"/>
              <w:rPr>
                <w:sz w:val="11"/>
                <w:szCs w:val="11"/>
                <w:color w:val="auto"/>
              </w:rPr>
            </w:pPr>
          </w:p>
        </w:tc>
        <w:tc>
          <w:tcPr>
            <w:tcW w:w="4220" w:type="dxa"/>
            <w:vAlign w:val="bottom"/>
          </w:tcPr>
          <w:p>
            <w:pPr>
              <w:jc w:val="right"/>
              <w:ind w:right="83"/>
              <w:spacing w:after="0"/>
              <w:rPr>
                <w:sz w:val="20"/>
                <w:szCs w:val="20"/>
                <w:color w:val="auto"/>
              </w:rPr>
            </w:pPr>
            <w:r>
              <w:rPr>
                <w:rFonts w:ascii="Calibri" w:cs="Calibri" w:eastAsia="Calibri" w:hAnsi="Calibri"/>
                <w:sz w:val="11"/>
                <w:szCs w:val="11"/>
                <w:b w:val="1"/>
                <w:bCs w:val="1"/>
                <w:color w:val="auto"/>
              </w:rPr>
              <w:t>Units</w:t>
            </w:r>
          </w:p>
        </w:tc>
        <w:tc>
          <w:tcPr>
            <w:tcW w:w="2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alibri" w:cs="Calibri" w:eastAsia="Calibri" w:hAnsi="Calibri"/>
                <w:sz w:val="11"/>
                <w:szCs w:val="11"/>
                <w:b w:val="1"/>
                <w:bCs w:val="1"/>
                <w:color w:val="auto"/>
              </w:rPr>
              <w:t>Weighted average grant-date fair</w:t>
            </w:r>
          </w:p>
        </w:tc>
      </w:tr>
      <w:tr>
        <w:trPr>
          <w:trHeight w:val="135"/>
        </w:trPr>
        <w:tc>
          <w:tcPr>
            <w:tcW w:w="5280" w:type="dxa"/>
            <w:vAlign w:val="bottom"/>
          </w:tcPr>
          <w:p>
            <w:pPr>
              <w:spacing w:after="0"/>
              <w:rPr>
                <w:sz w:val="11"/>
                <w:szCs w:val="11"/>
                <w:color w:val="auto"/>
              </w:rPr>
            </w:pPr>
          </w:p>
        </w:tc>
        <w:tc>
          <w:tcPr>
            <w:tcW w:w="4220" w:type="dxa"/>
            <w:vAlign w:val="bottom"/>
          </w:tcPr>
          <w:p>
            <w:pPr>
              <w:jc w:val="right"/>
              <w:ind w:right="83"/>
              <w:spacing w:after="0"/>
              <w:rPr>
                <w:sz w:val="20"/>
                <w:szCs w:val="20"/>
                <w:color w:val="auto"/>
              </w:rPr>
            </w:pPr>
            <w:r>
              <w:rPr>
                <w:rFonts w:ascii="Calibri" w:cs="Calibri" w:eastAsia="Calibri" w:hAnsi="Calibri"/>
                <w:sz w:val="11"/>
                <w:szCs w:val="11"/>
                <w:b w:val="1"/>
                <w:bCs w:val="1"/>
                <w:color w:val="auto"/>
              </w:rPr>
              <w:t>(in thousands)</w:t>
            </w:r>
          </w:p>
        </w:tc>
        <w:tc>
          <w:tcPr>
            <w:tcW w:w="2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alibri" w:cs="Calibri" w:eastAsia="Calibri" w:hAnsi="Calibri"/>
                <w:sz w:val="11"/>
                <w:szCs w:val="11"/>
                <w:b w:val="1"/>
                <w:bCs w:val="1"/>
                <w:color w:val="auto"/>
              </w:rPr>
              <w:t>value per unit</w:t>
            </w:r>
          </w:p>
        </w:tc>
      </w:tr>
      <w:tr>
        <w:trPr>
          <w:trHeight w:val="57"/>
        </w:trPr>
        <w:tc>
          <w:tcPr>
            <w:tcW w:w="528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51"/>
        </w:trPr>
        <w:tc>
          <w:tcPr>
            <w:tcW w:w="52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Outstanding at October 31, 2021</w:t>
            </w:r>
          </w:p>
        </w:tc>
        <w:tc>
          <w:tcPr>
            <w:tcW w:w="422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35</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5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19.89</w:t>
            </w:r>
          </w:p>
        </w:tc>
      </w:tr>
      <w:tr>
        <w:trPr>
          <w:trHeight w:val="135"/>
        </w:trPr>
        <w:tc>
          <w:tcPr>
            <w:tcW w:w="5280" w:type="dxa"/>
            <w:vAlign w:val="bottom"/>
          </w:tcPr>
          <w:p>
            <w:pPr>
              <w:ind w:left="20"/>
              <w:spacing w:after="0"/>
              <w:rPr>
                <w:sz w:val="20"/>
                <w:szCs w:val="20"/>
                <w:color w:val="auto"/>
              </w:rPr>
            </w:pPr>
            <w:r>
              <w:rPr>
                <w:rFonts w:ascii="Calibri" w:cs="Calibri" w:eastAsia="Calibri" w:hAnsi="Calibri"/>
                <w:sz w:val="11"/>
                <w:szCs w:val="11"/>
                <w:color w:val="auto"/>
              </w:rPr>
              <w:t>Granted</w:t>
            </w:r>
          </w:p>
        </w:tc>
        <w:tc>
          <w:tcPr>
            <w:tcW w:w="4220" w:type="dxa"/>
            <w:vAlign w:val="bottom"/>
          </w:tcPr>
          <w:p>
            <w:pPr>
              <w:jc w:val="right"/>
              <w:ind w:right="123"/>
              <w:spacing w:after="0"/>
              <w:rPr>
                <w:sz w:val="20"/>
                <w:szCs w:val="20"/>
                <w:color w:val="auto"/>
              </w:rPr>
            </w:pPr>
            <w:r>
              <w:rPr>
                <w:rFonts w:ascii="Calibri" w:cs="Calibri" w:eastAsia="Calibri" w:hAnsi="Calibri"/>
                <w:sz w:val="11"/>
                <w:szCs w:val="11"/>
                <w:color w:val="auto"/>
              </w:rPr>
              <w:t>71</w:t>
            </w:r>
          </w:p>
        </w:tc>
        <w:tc>
          <w:tcPr>
            <w:tcW w:w="2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alibri" w:cs="Calibri" w:eastAsia="Calibri" w:hAnsi="Calibri"/>
                <w:sz w:val="11"/>
                <w:szCs w:val="11"/>
                <w:color w:val="auto"/>
              </w:rPr>
              <w:t>13.08</w:t>
            </w:r>
          </w:p>
        </w:tc>
      </w:tr>
      <w:tr>
        <w:trPr>
          <w:trHeight w:val="46"/>
        </w:trPr>
        <w:tc>
          <w:tcPr>
            <w:tcW w:w="528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160"/>
        </w:trPr>
        <w:tc>
          <w:tcPr>
            <w:tcW w:w="52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Vested</w:t>
            </w:r>
          </w:p>
        </w:tc>
        <w:tc>
          <w:tcPr>
            <w:tcW w:w="4220" w:type="dxa"/>
            <w:vAlign w:val="bottom"/>
            <w:tcBorders>
              <w:bottom w:val="single" w:sz="8" w:color="DBDBDB"/>
            </w:tcBorders>
            <w:shd w:val="clear" w:color="auto" w:fill="DBDBDB"/>
          </w:tcPr>
          <w:p>
            <w:pPr>
              <w:jc w:val="right"/>
              <w:ind w:right="83"/>
              <w:spacing w:after="0"/>
              <w:rPr>
                <w:sz w:val="20"/>
                <w:szCs w:val="20"/>
                <w:color w:val="auto"/>
              </w:rPr>
            </w:pPr>
            <w:r>
              <w:rPr>
                <w:rFonts w:ascii="Calibri" w:cs="Calibri" w:eastAsia="Calibri" w:hAnsi="Calibri"/>
                <w:sz w:val="11"/>
                <w:szCs w:val="11"/>
                <w:color w:val="auto"/>
              </w:rPr>
              <w:t>(38)</w:t>
            </w:r>
          </w:p>
        </w:tc>
        <w:tc>
          <w:tcPr>
            <w:tcW w:w="200" w:type="dxa"/>
            <w:vAlign w:val="bottom"/>
            <w:tcBorders>
              <w:bottom w:val="single" w:sz="8" w:color="DBDBDB"/>
            </w:tcBorders>
            <w:shd w:val="clear" w:color="auto" w:fill="DBDBDB"/>
          </w:tcPr>
          <w:p>
            <w:pPr>
              <w:spacing w:after="0"/>
              <w:rPr>
                <w:sz w:val="13"/>
                <w:szCs w:val="13"/>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19.74</w:t>
            </w:r>
          </w:p>
        </w:tc>
      </w:tr>
      <w:tr>
        <w:trPr>
          <w:trHeight w:val="135"/>
        </w:trPr>
        <w:tc>
          <w:tcPr>
            <w:tcW w:w="5280" w:type="dxa"/>
            <w:vAlign w:val="bottom"/>
          </w:tcPr>
          <w:p>
            <w:pPr>
              <w:ind w:left="20"/>
              <w:spacing w:after="0"/>
              <w:rPr>
                <w:sz w:val="20"/>
                <w:szCs w:val="20"/>
                <w:color w:val="auto"/>
              </w:rPr>
            </w:pPr>
            <w:r>
              <w:rPr>
                <w:rFonts w:ascii="Calibri" w:cs="Calibri" w:eastAsia="Calibri" w:hAnsi="Calibri"/>
                <w:sz w:val="11"/>
                <w:szCs w:val="11"/>
                <w:color w:val="auto"/>
              </w:rPr>
              <w:t>Forfeited</w:t>
            </w:r>
          </w:p>
        </w:tc>
        <w:tc>
          <w:tcPr>
            <w:tcW w:w="422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2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528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76"/>
        </w:trPr>
        <w:tc>
          <w:tcPr>
            <w:tcW w:w="52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Outstanding at October 31, 2022</w:t>
            </w:r>
          </w:p>
        </w:tc>
        <w:tc>
          <w:tcPr>
            <w:tcW w:w="422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68</w:t>
            </w:r>
          </w:p>
        </w:tc>
        <w:tc>
          <w:tcPr>
            <w:tcW w:w="2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5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12.90</w:t>
            </w:r>
          </w:p>
        </w:tc>
      </w:tr>
      <w:tr>
        <w:trPr>
          <w:trHeight w:val="125"/>
        </w:trPr>
        <w:tc>
          <w:tcPr>
            <w:tcW w:w="528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Vested and deferred at October 31, 2022</w:t>
            </w:r>
          </w:p>
        </w:tc>
        <w:tc>
          <w:tcPr>
            <w:tcW w:w="422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15</w:t>
            </w:r>
          </w:p>
        </w:tc>
        <w:tc>
          <w:tcPr>
            <w:tcW w:w="2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58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19.89</w:t>
            </w:r>
          </w:p>
        </w:tc>
      </w:tr>
      <w:tr>
        <w:trPr>
          <w:trHeight w:val="46"/>
        </w:trPr>
        <w:tc>
          <w:tcPr>
            <w:tcW w:w="528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bl>
    <w:p>
      <w:pPr>
        <w:spacing w:after="0" w:line="21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PSUs</w:t>
      </w:r>
    </w:p>
    <w:p>
      <w:pPr>
        <w:spacing w:after="0" w:line="158" w:lineRule="exact"/>
        <w:rPr>
          <w:sz w:val="20"/>
          <w:szCs w:val="20"/>
          <w:color w:val="auto"/>
        </w:rPr>
      </w:pPr>
    </w:p>
    <w:p>
      <w:pPr>
        <w:ind w:right="20" w:firstLine="509"/>
        <w:spacing w:after="0" w:line="230" w:lineRule="auto"/>
        <w:rPr>
          <w:sz w:val="20"/>
          <w:szCs w:val="20"/>
          <w:color w:val="auto"/>
        </w:rPr>
      </w:pPr>
      <w:r>
        <w:rPr>
          <w:rFonts w:ascii="Calibri" w:cs="Calibri" w:eastAsia="Calibri" w:hAnsi="Calibri"/>
          <w:sz w:val="13"/>
          <w:szCs w:val="13"/>
          <w:color w:val="auto"/>
        </w:rPr>
        <w:t>PSUs are performance-based awards granted to eligible employees under the 2020 Plan. PSUs are expected to be setled with shares of the Company’s common stock at the end of a three-year clif vestng period, provided the performance conditons are achieved as of the end of such period. The actual number of shares issued may range from 0% to 200% of the target shares issued at tme of grant. The fair value of PSUs is determined based on the market price of our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6" w:name="page67"/>
    <w:bookmarkEnd w:id="66"/>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Calibri" w:cs="Calibri" w:eastAsia="Calibri" w:hAnsi="Calibri"/>
          <w:sz w:val="13"/>
          <w:szCs w:val="13"/>
          <w:color w:val="auto"/>
        </w:rPr>
        <w:t>Actvity for PSU awards during the year ended October 31, 2022 was as follows. No PSU awards were granted during the years ended October 31, 2021 or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920" w:type="dxa"/>
            <w:vAlign w:val="bottom"/>
          </w:tcPr>
          <w:p>
            <w:pPr>
              <w:spacing w:after="0"/>
              <w:rPr>
                <w:sz w:val="11"/>
                <w:szCs w:val="11"/>
                <w:color w:val="auto"/>
              </w:rPr>
            </w:pPr>
          </w:p>
        </w:tc>
        <w:tc>
          <w:tcPr>
            <w:tcW w:w="438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Units</w:t>
            </w:r>
          </w:p>
        </w:tc>
        <w:tc>
          <w:tcPr>
            <w:tcW w:w="32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Calibri" w:cs="Calibri" w:eastAsia="Calibri" w:hAnsi="Calibri"/>
                <w:sz w:val="11"/>
                <w:szCs w:val="11"/>
                <w:b w:val="1"/>
                <w:bCs w:val="1"/>
                <w:color w:val="auto"/>
              </w:rPr>
              <w:t>Weighted average grant-date fair</w:t>
            </w:r>
          </w:p>
        </w:tc>
      </w:tr>
      <w:tr>
        <w:trPr>
          <w:trHeight w:val="138"/>
        </w:trPr>
        <w:tc>
          <w:tcPr>
            <w:tcW w:w="4920" w:type="dxa"/>
            <w:vAlign w:val="bottom"/>
          </w:tcPr>
          <w:p>
            <w:pPr>
              <w:spacing w:after="0"/>
              <w:rPr>
                <w:sz w:val="11"/>
                <w:szCs w:val="11"/>
                <w:color w:val="auto"/>
              </w:rPr>
            </w:pPr>
          </w:p>
        </w:tc>
        <w:tc>
          <w:tcPr>
            <w:tcW w:w="438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(in thousands)</w:t>
            </w:r>
          </w:p>
        </w:tc>
        <w:tc>
          <w:tcPr>
            <w:tcW w:w="32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Calibri" w:cs="Calibri" w:eastAsia="Calibri" w:hAnsi="Calibri"/>
                <w:sz w:val="11"/>
                <w:szCs w:val="11"/>
                <w:b w:val="1"/>
                <w:bCs w:val="1"/>
                <w:color w:val="auto"/>
              </w:rPr>
              <w:t>value per unit</w:t>
            </w:r>
          </w:p>
        </w:tc>
      </w:tr>
      <w:tr>
        <w:trPr>
          <w:trHeight w:val="46"/>
        </w:trPr>
        <w:tc>
          <w:tcPr>
            <w:tcW w:w="492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151"/>
        </w:trPr>
        <w:tc>
          <w:tcPr>
            <w:tcW w:w="49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Unvested at October 31, 2021</w:t>
            </w:r>
          </w:p>
        </w:tc>
        <w:tc>
          <w:tcPr>
            <w:tcW w:w="438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w:t>
            </w:r>
          </w:p>
        </w:tc>
        <w:tc>
          <w:tcPr>
            <w:tcW w:w="32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w:t>
            </w:r>
          </w:p>
        </w:tc>
        <w:tc>
          <w:tcPr>
            <w:tcW w:w="16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r>
      <w:tr>
        <w:trPr>
          <w:trHeight w:val="135"/>
        </w:trPr>
        <w:tc>
          <w:tcPr>
            <w:tcW w:w="4920" w:type="dxa"/>
            <w:vAlign w:val="bottom"/>
          </w:tcPr>
          <w:p>
            <w:pPr>
              <w:ind w:left="20"/>
              <w:spacing w:after="0"/>
              <w:rPr>
                <w:sz w:val="20"/>
                <w:szCs w:val="20"/>
                <w:color w:val="auto"/>
              </w:rPr>
            </w:pPr>
            <w:r>
              <w:rPr>
                <w:rFonts w:ascii="Calibri" w:cs="Calibri" w:eastAsia="Calibri" w:hAnsi="Calibri"/>
                <w:sz w:val="11"/>
                <w:szCs w:val="11"/>
                <w:color w:val="auto"/>
              </w:rPr>
              <w:t>Granted at target</w:t>
            </w:r>
          </w:p>
        </w:tc>
        <w:tc>
          <w:tcPr>
            <w:tcW w:w="4380" w:type="dxa"/>
            <w:vAlign w:val="bottom"/>
          </w:tcPr>
          <w:p>
            <w:pPr>
              <w:jc w:val="right"/>
              <w:ind w:right="143"/>
              <w:spacing w:after="0"/>
              <w:rPr>
                <w:sz w:val="20"/>
                <w:szCs w:val="20"/>
                <w:color w:val="auto"/>
              </w:rPr>
            </w:pPr>
            <w:r>
              <w:rPr>
                <w:rFonts w:ascii="Calibri" w:cs="Calibri" w:eastAsia="Calibri" w:hAnsi="Calibri"/>
                <w:sz w:val="11"/>
                <w:szCs w:val="11"/>
                <w:color w:val="auto"/>
              </w:rPr>
              <w:t>100</w:t>
            </w:r>
          </w:p>
        </w:tc>
        <w:tc>
          <w:tcPr>
            <w:tcW w:w="32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Calibri" w:cs="Calibri" w:eastAsia="Calibri" w:hAnsi="Calibri"/>
                <w:sz w:val="11"/>
                <w:szCs w:val="11"/>
                <w:color w:val="auto"/>
              </w:rPr>
              <w:t>15.89</w:t>
            </w:r>
          </w:p>
        </w:tc>
      </w:tr>
      <w:tr>
        <w:trPr>
          <w:trHeight w:val="46"/>
        </w:trPr>
        <w:tc>
          <w:tcPr>
            <w:tcW w:w="49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160"/>
        </w:trPr>
        <w:tc>
          <w:tcPr>
            <w:tcW w:w="49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Vested</w:t>
            </w:r>
          </w:p>
        </w:tc>
        <w:tc>
          <w:tcPr>
            <w:tcW w:w="438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w:t>
            </w:r>
          </w:p>
        </w:tc>
        <w:tc>
          <w:tcPr>
            <w:tcW w:w="320" w:type="dxa"/>
            <w:vAlign w:val="bottom"/>
            <w:tcBorders>
              <w:bottom w:val="single" w:sz="8" w:color="DBDBDB"/>
            </w:tcBorders>
            <w:shd w:val="clear" w:color="auto" w:fill="DBDBDB"/>
          </w:tcPr>
          <w:p>
            <w:pPr>
              <w:spacing w:after="0"/>
              <w:rPr>
                <w:sz w:val="13"/>
                <w:szCs w:val="13"/>
                <w:color w:val="auto"/>
              </w:rPr>
            </w:pPr>
          </w:p>
        </w:tc>
        <w:tc>
          <w:tcPr>
            <w:tcW w:w="16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4920" w:type="dxa"/>
            <w:vAlign w:val="bottom"/>
          </w:tcPr>
          <w:p>
            <w:pPr>
              <w:ind w:left="20"/>
              <w:spacing w:after="0"/>
              <w:rPr>
                <w:sz w:val="20"/>
                <w:szCs w:val="20"/>
                <w:color w:val="auto"/>
              </w:rPr>
            </w:pPr>
            <w:r>
              <w:rPr>
                <w:rFonts w:ascii="Calibri" w:cs="Calibri" w:eastAsia="Calibri" w:hAnsi="Calibri"/>
                <w:sz w:val="11"/>
                <w:szCs w:val="11"/>
                <w:color w:val="auto"/>
              </w:rPr>
              <w:t>Forfeited</w:t>
            </w:r>
          </w:p>
        </w:tc>
        <w:tc>
          <w:tcPr>
            <w:tcW w:w="4380" w:type="dxa"/>
            <w:vAlign w:val="bottom"/>
          </w:tcPr>
          <w:p>
            <w:pPr>
              <w:jc w:val="right"/>
              <w:ind w:right="123"/>
              <w:spacing w:after="0"/>
              <w:rPr>
                <w:sz w:val="20"/>
                <w:szCs w:val="20"/>
                <w:color w:val="auto"/>
              </w:rPr>
            </w:pPr>
            <w:r>
              <w:rPr>
                <w:rFonts w:ascii="Calibri" w:cs="Calibri" w:eastAsia="Calibri" w:hAnsi="Calibri"/>
                <w:sz w:val="11"/>
                <w:szCs w:val="11"/>
                <w:color w:val="auto"/>
              </w:rPr>
              <w:t>(5)</w:t>
            </w:r>
          </w:p>
        </w:tc>
        <w:tc>
          <w:tcPr>
            <w:tcW w:w="32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Calibri" w:cs="Calibri" w:eastAsia="Calibri" w:hAnsi="Calibri"/>
                <w:sz w:val="11"/>
                <w:szCs w:val="11"/>
                <w:color w:val="auto"/>
              </w:rPr>
              <w:t>15.89</w:t>
            </w:r>
          </w:p>
        </w:tc>
      </w:tr>
      <w:tr>
        <w:trPr>
          <w:trHeight w:val="46"/>
        </w:trPr>
        <w:tc>
          <w:tcPr>
            <w:tcW w:w="492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151"/>
        </w:trPr>
        <w:tc>
          <w:tcPr>
            <w:tcW w:w="49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Unvested at October 31, 2022</w:t>
            </w:r>
          </w:p>
        </w:tc>
        <w:tc>
          <w:tcPr>
            <w:tcW w:w="438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95</w:t>
            </w:r>
          </w:p>
        </w:tc>
        <w:tc>
          <w:tcPr>
            <w:tcW w:w="320" w:type="dxa"/>
            <w:vAlign w:val="bottom"/>
            <w:tcBorders>
              <w:bottom w:val="single" w:sz="8" w:color="DBDBDB"/>
            </w:tcBorders>
            <w:shd w:val="clear" w:color="auto" w:fill="DBDBDB"/>
          </w:tcPr>
          <w:p>
            <w:pPr>
              <w:jc w:val="right"/>
              <w:ind w:right="63"/>
              <w:spacing w:after="0" w:line="126" w:lineRule="exact"/>
              <w:rPr>
                <w:sz w:val="20"/>
                <w:szCs w:val="20"/>
                <w:color w:val="auto"/>
              </w:rPr>
            </w:pPr>
            <w:r>
              <w:rPr>
                <w:rFonts w:ascii="Calibri" w:cs="Calibri" w:eastAsia="Calibri" w:hAnsi="Calibri"/>
                <w:sz w:val="11"/>
                <w:szCs w:val="11"/>
                <w:color w:val="auto"/>
              </w:rPr>
              <w:t>$</w:t>
            </w:r>
          </w:p>
        </w:tc>
        <w:tc>
          <w:tcPr>
            <w:tcW w:w="16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15.89</w:t>
            </w:r>
          </w:p>
        </w:tc>
      </w:tr>
      <w:tr>
        <w:trPr>
          <w:trHeight w:val="20"/>
        </w:trPr>
        <w:tc>
          <w:tcPr>
            <w:tcW w:w="492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Stock optons</w:t>
      </w:r>
    </w:p>
    <w:p>
      <w:pPr>
        <w:spacing w:after="0" w:line="158" w:lineRule="exact"/>
        <w:rPr>
          <w:sz w:val="20"/>
          <w:szCs w:val="20"/>
          <w:color w:val="auto"/>
        </w:rPr>
      </w:pPr>
    </w:p>
    <w:p>
      <w:pPr>
        <w:ind w:right="260" w:firstLine="509"/>
        <w:spacing w:after="0" w:line="233" w:lineRule="auto"/>
        <w:rPr>
          <w:sz w:val="20"/>
          <w:szCs w:val="20"/>
          <w:color w:val="auto"/>
        </w:rPr>
      </w:pPr>
      <w:r>
        <w:rPr>
          <w:rFonts w:ascii="Calibri" w:cs="Calibri" w:eastAsia="Calibri" w:hAnsi="Calibri"/>
          <w:sz w:val="13"/>
          <w:szCs w:val="13"/>
          <w:color w:val="auto"/>
        </w:rPr>
        <w:t>Stock optons are generally granted with exercise prices no less than the fair market value at grant date and vest based on tenure of employment or other specifc events and expire 10 years afer the grant date. The fair value of stock optons are estmated as of the date of grant using the Black-Scholes opton valuaton model with the following assumptons, as required by the model:</w:t>
      </w:r>
    </w:p>
    <w:p>
      <w:pPr>
        <w:spacing w:after="0" w:line="75" w:lineRule="exact"/>
        <w:rPr>
          <w:sz w:val="20"/>
          <w:szCs w:val="20"/>
          <w:color w:val="auto"/>
        </w:rPr>
      </w:pPr>
    </w:p>
    <w:p>
      <w:pPr>
        <w:ind w:left="1020" w:hanging="251"/>
        <w:spacing w:after="0"/>
        <w:tabs>
          <w:tab w:leader="none" w:pos="1020" w:val="left"/>
        </w:tabs>
        <w:numPr>
          <w:ilvl w:val="0"/>
          <w:numId w:val="26"/>
        </w:numPr>
        <w:rPr>
          <w:rFonts w:ascii="Calibri" w:cs="Calibri" w:eastAsia="Calibri" w:hAnsi="Calibri"/>
          <w:sz w:val="13"/>
          <w:szCs w:val="13"/>
          <w:color w:val="auto"/>
        </w:rPr>
      </w:pPr>
      <w:r>
        <w:rPr>
          <w:rFonts w:ascii="Calibri" w:cs="Calibri" w:eastAsia="Calibri" w:hAnsi="Calibri"/>
          <w:sz w:val="13"/>
          <w:szCs w:val="13"/>
          <w:i w:val="1"/>
          <w:iCs w:val="1"/>
          <w:color w:val="auto"/>
        </w:rPr>
        <w:t>Risk-free rate</w:t>
      </w:r>
      <w:r>
        <w:rPr>
          <w:rFonts w:ascii="Calibri" w:cs="Calibri" w:eastAsia="Calibri" w:hAnsi="Calibri"/>
          <w:sz w:val="13"/>
          <w:szCs w:val="13"/>
          <w:color w:val="auto"/>
        </w:rPr>
        <w:t>- the current interest rate on fve to seven-year U.S. Treasury Bonds</w:t>
      </w:r>
    </w:p>
    <w:p>
      <w:pPr>
        <w:spacing w:after="0" w:line="85" w:lineRule="exact"/>
        <w:rPr>
          <w:rFonts w:ascii="Calibri" w:cs="Calibri" w:eastAsia="Calibri" w:hAnsi="Calibri"/>
          <w:sz w:val="13"/>
          <w:szCs w:val="13"/>
          <w:color w:val="auto"/>
        </w:rPr>
      </w:pPr>
    </w:p>
    <w:p>
      <w:pPr>
        <w:ind w:left="1020" w:hanging="251"/>
        <w:spacing w:after="0"/>
        <w:tabs>
          <w:tab w:leader="none" w:pos="1020" w:val="left"/>
        </w:tabs>
        <w:numPr>
          <w:ilvl w:val="0"/>
          <w:numId w:val="26"/>
        </w:numPr>
        <w:rPr>
          <w:rFonts w:ascii="Calibri" w:cs="Calibri" w:eastAsia="Calibri" w:hAnsi="Calibri"/>
          <w:sz w:val="13"/>
          <w:szCs w:val="13"/>
          <w:color w:val="auto"/>
        </w:rPr>
      </w:pPr>
      <w:r>
        <w:rPr>
          <w:rFonts w:ascii="Calibri" w:cs="Calibri" w:eastAsia="Calibri" w:hAnsi="Calibri"/>
          <w:sz w:val="13"/>
          <w:szCs w:val="13"/>
          <w:i w:val="1"/>
          <w:iCs w:val="1"/>
          <w:color w:val="auto"/>
        </w:rPr>
        <w:t>Volatlity</w:t>
      </w:r>
      <w:r>
        <w:rPr>
          <w:rFonts w:ascii="Calibri" w:cs="Calibri" w:eastAsia="Calibri" w:hAnsi="Calibri"/>
          <w:sz w:val="13"/>
          <w:szCs w:val="13"/>
          <w:color w:val="auto"/>
        </w:rPr>
        <w:t>- the average of equity implied asset volatlity of publicly-traded direct compettor companies</w:t>
      </w:r>
    </w:p>
    <w:p>
      <w:pPr>
        <w:spacing w:after="0" w:line="74" w:lineRule="exact"/>
        <w:rPr>
          <w:rFonts w:ascii="Calibri" w:cs="Calibri" w:eastAsia="Calibri" w:hAnsi="Calibri"/>
          <w:sz w:val="13"/>
          <w:szCs w:val="13"/>
          <w:color w:val="auto"/>
        </w:rPr>
      </w:pPr>
    </w:p>
    <w:p>
      <w:pPr>
        <w:ind w:left="1020" w:hanging="251"/>
        <w:spacing w:after="0"/>
        <w:tabs>
          <w:tab w:leader="none" w:pos="1020" w:val="left"/>
        </w:tabs>
        <w:numPr>
          <w:ilvl w:val="0"/>
          <w:numId w:val="26"/>
        </w:numPr>
        <w:rPr>
          <w:rFonts w:ascii="Calibri" w:cs="Calibri" w:eastAsia="Calibri" w:hAnsi="Calibri"/>
          <w:sz w:val="13"/>
          <w:szCs w:val="13"/>
          <w:color w:val="auto"/>
        </w:rPr>
      </w:pPr>
      <w:r>
        <w:rPr>
          <w:rFonts w:ascii="Calibri" w:cs="Calibri" w:eastAsia="Calibri" w:hAnsi="Calibri"/>
          <w:sz w:val="13"/>
          <w:szCs w:val="13"/>
          <w:i w:val="1"/>
          <w:iCs w:val="1"/>
          <w:color w:val="auto"/>
        </w:rPr>
        <w:t>Expected life</w:t>
      </w:r>
      <w:r>
        <w:rPr>
          <w:rFonts w:ascii="Calibri" w:cs="Calibri" w:eastAsia="Calibri" w:hAnsi="Calibri"/>
          <w:sz w:val="13"/>
          <w:szCs w:val="13"/>
          <w:color w:val="auto"/>
        </w:rPr>
        <w:t>- calculated as the average of the vestng term and original contractual term, known as “the simplifed method”</w:t>
      </w:r>
    </w:p>
    <w:p>
      <w:pPr>
        <w:spacing w:after="0" w:line="16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No stock optons were granted during the years ended October 31, 2022 and 2021. The weighted-average grant-date fair value of optons granted during the year ended October 31, 2020 was $3.61.</w:t>
      </w:r>
    </w:p>
    <w:p>
      <w:pPr>
        <w:spacing w:after="0"/>
        <w:rPr>
          <w:sz w:val="20"/>
          <w:szCs w:val="20"/>
          <w:color w:val="auto"/>
        </w:rPr>
      </w:pPr>
      <w:r>
        <w:rPr>
          <w:rFonts w:ascii="Calibri" w:cs="Calibri" w:eastAsia="Calibri" w:hAnsi="Calibri"/>
          <w:sz w:val="13"/>
          <w:szCs w:val="13"/>
          <w:color w:val="auto"/>
        </w:rPr>
        <w:t>Assumptons used to estmate the fair value for stock optons granted during the year ended October 31, 2020 were as follows:</w:t>
      </w:r>
    </w:p>
    <w:p>
      <w:pPr>
        <w:spacing w:after="0" w:line="205"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340" w:type="dxa"/>
            <w:vAlign w:val="bottom"/>
            <w:tcBorders>
              <w:top w:val="single" w:sz="8" w:color="auto"/>
              <w:bottom w:val="single" w:sz="8" w:color="DBDBDB"/>
            </w:tcBorders>
            <w:shd w:val="clear" w:color="auto" w:fill="DBDBDB"/>
          </w:tcPr>
          <w:p>
            <w:pPr>
              <w:spacing w:after="0"/>
              <w:rPr>
                <w:sz w:val="20"/>
                <w:szCs w:val="20"/>
                <w:color w:val="auto"/>
              </w:rPr>
            </w:pPr>
            <w:r>
              <w:rPr>
                <w:rFonts w:ascii="Calibri" w:cs="Calibri" w:eastAsia="Calibri" w:hAnsi="Calibri"/>
                <w:sz w:val="11"/>
                <w:szCs w:val="11"/>
                <w:color w:val="auto"/>
              </w:rPr>
              <w:t>Risk-free interest rate</w:t>
            </w:r>
          </w:p>
        </w:tc>
        <w:tc>
          <w:tcPr>
            <w:tcW w:w="35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0.4 %</w:t>
            </w:r>
          </w:p>
        </w:tc>
      </w:tr>
      <w:tr>
        <w:trPr>
          <w:trHeight w:val="135"/>
        </w:trPr>
        <w:tc>
          <w:tcPr>
            <w:tcW w:w="4340" w:type="dxa"/>
            <w:vAlign w:val="bottom"/>
          </w:tcPr>
          <w:p>
            <w:pPr>
              <w:spacing w:after="0"/>
              <w:rPr>
                <w:sz w:val="20"/>
                <w:szCs w:val="20"/>
                <w:color w:val="auto"/>
              </w:rPr>
            </w:pPr>
            <w:r>
              <w:rPr>
                <w:rFonts w:ascii="Calibri" w:cs="Calibri" w:eastAsia="Calibri" w:hAnsi="Calibri"/>
                <w:sz w:val="11"/>
                <w:szCs w:val="11"/>
                <w:color w:val="auto"/>
              </w:rPr>
              <w:t>Volatlity</w:t>
            </w:r>
          </w:p>
        </w:tc>
        <w:tc>
          <w:tcPr>
            <w:tcW w:w="3560" w:type="dxa"/>
            <w:vAlign w:val="bottom"/>
          </w:tcPr>
          <w:p>
            <w:pPr>
              <w:jc w:val="right"/>
              <w:spacing w:after="0"/>
              <w:rPr>
                <w:sz w:val="20"/>
                <w:szCs w:val="20"/>
                <w:color w:val="auto"/>
              </w:rPr>
            </w:pPr>
            <w:r>
              <w:rPr>
                <w:rFonts w:ascii="Calibri" w:cs="Calibri" w:eastAsia="Calibri" w:hAnsi="Calibri"/>
                <w:sz w:val="11"/>
                <w:szCs w:val="11"/>
                <w:color w:val="auto"/>
              </w:rPr>
              <w:t>30 %</w:t>
            </w:r>
          </w:p>
        </w:tc>
      </w:tr>
      <w:tr>
        <w:trPr>
          <w:trHeight w:val="46"/>
        </w:trPr>
        <w:tc>
          <w:tcPr>
            <w:tcW w:w="43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160"/>
        </w:trPr>
        <w:tc>
          <w:tcPr>
            <w:tcW w:w="4340" w:type="dxa"/>
            <w:vAlign w:val="bottom"/>
            <w:tcBorders>
              <w:bottom w:val="single" w:sz="8" w:color="DBDBDB"/>
            </w:tcBorders>
            <w:shd w:val="clear" w:color="auto" w:fill="DBDBDB"/>
          </w:tcPr>
          <w:p>
            <w:pPr>
              <w:spacing w:after="0"/>
              <w:rPr>
                <w:sz w:val="20"/>
                <w:szCs w:val="20"/>
                <w:color w:val="auto"/>
              </w:rPr>
            </w:pPr>
            <w:r>
              <w:rPr>
                <w:rFonts w:ascii="Calibri" w:cs="Calibri" w:eastAsia="Calibri" w:hAnsi="Calibri"/>
                <w:sz w:val="11"/>
                <w:szCs w:val="11"/>
                <w:color w:val="auto"/>
              </w:rPr>
              <w:t>Expected life (in years)</w:t>
            </w:r>
          </w:p>
        </w:tc>
        <w:tc>
          <w:tcPr>
            <w:tcW w:w="35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6.3</w:t>
            </w:r>
          </w:p>
        </w:tc>
      </w:tr>
      <w:tr>
        <w:trPr>
          <w:trHeight w:val="135"/>
        </w:trPr>
        <w:tc>
          <w:tcPr>
            <w:tcW w:w="4340" w:type="dxa"/>
            <w:vAlign w:val="bottom"/>
          </w:tcPr>
          <w:p>
            <w:pPr>
              <w:spacing w:after="0"/>
              <w:rPr>
                <w:sz w:val="20"/>
                <w:szCs w:val="20"/>
                <w:color w:val="auto"/>
              </w:rPr>
            </w:pPr>
            <w:r>
              <w:rPr>
                <w:rFonts w:ascii="Calibri" w:cs="Calibri" w:eastAsia="Calibri" w:hAnsi="Calibri"/>
                <w:sz w:val="11"/>
                <w:szCs w:val="11"/>
                <w:color w:val="auto"/>
              </w:rPr>
              <w:t>Dividend rate</w:t>
            </w:r>
          </w:p>
        </w:tc>
        <w:tc>
          <w:tcPr>
            <w:tcW w:w="3560" w:type="dxa"/>
            <w:vAlign w:val="bottom"/>
          </w:tcPr>
          <w:p>
            <w:pPr>
              <w:jc w:val="right"/>
              <w:ind w:right="63"/>
              <w:spacing w:after="0"/>
              <w:rPr>
                <w:sz w:val="20"/>
                <w:szCs w:val="20"/>
                <w:color w:val="auto"/>
              </w:rPr>
            </w:pPr>
            <w:r>
              <w:rPr>
                <w:rFonts w:ascii="Calibri" w:cs="Calibri" w:eastAsia="Calibri" w:hAnsi="Calibri"/>
                <w:sz w:val="11"/>
                <w:szCs w:val="11"/>
                <w:color w:val="auto"/>
              </w:rPr>
              <w:t>—</w:t>
            </w:r>
          </w:p>
        </w:tc>
      </w:tr>
      <w:tr>
        <w:trPr>
          <w:trHeight w:val="46"/>
        </w:trPr>
        <w:tc>
          <w:tcPr>
            <w:tcW w:w="434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bl>
    <w:p>
      <w:pPr>
        <w:spacing w:after="0" w:line="209" w:lineRule="exact"/>
        <w:rPr>
          <w:sz w:val="20"/>
          <w:szCs w:val="20"/>
          <w:color w:val="auto"/>
        </w:rPr>
      </w:pPr>
    </w:p>
    <w:p>
      <w:pPr>
        <w:ind w:right="240" w:firstLine="509"/>
        <w:spacing w:after="0" w:line="233" w:lineRule="auto"/>
        <w:rPr>
          <w:sz w:val="20"/>
          <w:szCs w:val="20"/>
          <w:color w:val="auto"/>
        </w:rPr>
      </w:pPr>
      <w:r>
        <w:rPr>
          <w:rFonts w:ascii="Calibri" w:cs="Calibri" w:eastAsia="Calibri" w:hAnsi="Calibri"/>
          <w:sz w:val="13"/>
          <w:szCs w:val="13"/>
          <w:color w:val="auto"/>
        </w:rPr>
        <w:t>The total grant-date fair value of stock optons vested during the years ended October 31, 2022, 2021 and 2020 was $1.4 million, $1.3 million, and $5.5 million, respectvely. The total intrinsic value of stock optons exercised was $0.1 million in the year ended October 31, 2022, and $0.2 million in both years ended October 31, 2021 and 2020.</w:t>
      </w:r>
    </w:p>
    <w:p>
      <w:pPr>
        <w:spacing w:after="0" w:line="160" w:lineRule="exact"/>
        <w:rPr>
          <w:sz w:val="20"/>
          <w:szCs w:val="20"/>
          <w:color w:val="auto"/>
        </w:rPr>
      </w:pPr>
    </w:p>
    <w:p>
      <w:pPr>
        <w:ind w:left="260"/>
        <w:spacing w:after="0"/>
        <w:rPr>
          <w:sz w:val="20"/>
          <w:szCs w:val="20"/>
          <w:color w:val="auto"/>
        </w:rPr>
      </w:pPr>
      <w:r>
        <w:rPr>
          <w:rFonts w:ascii="Calibri" w:cs="Calibri" w:eastAsia="Calibri" w:hAnsi="Calibri"/>
          <w:sz w:val="13"/>
          <w:szCs w:val="13"/>
          <w:i w:val="1"/>
          <w:iCs w:val="1"/>
          <w:color w:val="auto"/>
        </w:rPr>
        <w:t>CEO Award</w:t>
      </w:r>
    </w:p>
    <w:p>
      <w:pPr>
        <w:spacing w:after="0" w:line="201" w:lineRule="exact"/>
        <w:rPr>
          <w:sz w:val="20"/>
          <w:szCs w:val="20"/>
          <w:color w:val="auto"/>
        </w:rPr>
      </w:pPr>
    </w:p>
    <w:p>
      <w:pPr>
        <w:ind w:right="60" w:firstLine="509"/>
        <w:spacing w:after="0" w:line="228" w:lineRule="auto"/>
        <w:rPr>
          <w:sz w:val="20"/>
          <w:szCs w:val="20"/>
          <w:color w:val="auto"/>
        </w:rPr>
      </w:pPr>
      <w:r>
        <w:rPr>
          <w:rFonts w:ascii="Calibri" w:cs="Calibri" w:eastAsia="Calibri" w:hAnsi="Calibri"/>
          <w:sz w:val="13"/>
          <w:szCs w:val="13"/>
          <w:color w:val="auto"/>
        </w:rPr>
        <w:t>On July 9, 2019 our Board of Directors approved a stock opton grant to the Company’s Chief Executve Ofcer (“CEO”), Steve Barnard, covering 1,700,000 shares of our common stock (“CEO Award”). The CEO Award had a strike price of $9.41 per share, which the Board of Directors assumed to be the then current fair market value of the Company’s common stock on the grant date. The terms of the grant were such that the vestng of the stock opton was contngent upon a successful inital public ofering of the Company’s common stock. There were 471,308 shares available under the 2003 Plan as of the date the CEO Award was granted. We accounted for 471,308 shares of the CEO Award that are subject to share setlement as equity-classifed awards and 1,228,692 shares as liability-classifed awards. The liability-classifed porton of the CEO Award represented that porton of the CEO Award that was in excess of the shareholder-approved share limit authorized under the 2003 Plan as of October 31, 2019 and thus were classifed as liability awards. In the event the modifed Plan was not approved by the shareholders, the liability-classifed porton of the CEO Award would have been subject to cash setlement. The Company has not recognized any stock-based compensaton expense prior to the modifcaton of the CEO Award discussed below because the vestng of the award was dependent upon the occurrence of an inital public ofering. At the date of grant, based on a subsequent valuaton performed, the estmated fair market value of the CEO award was determined to be $9.1 million.</w:t>
      </w:r>
    </w:p>
    <w:p>
      <w:pPr>
        <w:spacing w:after="0" w:line="205" w:lineRule="exact"/>
        <w:rPr>
          <w:sz w:val="20"/>
          <w:szCs w:val="20"/>
          <w:color w:val="auto"/>
        </w:rPr>
      </w:pPr>
    </w:p>
    <w:p>
      <w:pPr>
        <w:ind w:right="40" w:firstLine="509"/>
        <w:spacing w:after="0" w:line="228" w:lineRule="auto"/>
        <w:rPr>
          <w:sz w:val="20"/>
          <w:szCs w:val="20"/>
          <w:color w:val="auto"/>
        </w:rPr>
      </w:pPr>
      <w:r>
        <w:rPr>
          <w:rFonts w:ascii="Calibri" w:cs="Calibri" w:eastAsia="Calibri" w:hAnsi="Calibri"/>
          <w:sz w:val="13"/>
          <w:szCs w:val="13"/>
          <w:color w:val="auto"/>
        </w:rPr>
        <w:t>On October 29, 2019, our Board of Directors, with the consent of Mr. Barnard, modifed the CEO Award to amend the vestng schedule. As a result of this amendment, 850,000 shares subject to the CEO Award were modifed to vest at the earlier of (i) the seventh year anniversary of the grant date, (ii) immediately prior to the consummaton of a change in control (as defned in the Plan) or, (iii) upon the closing of an IPO of our common stock, in each case, subject to Mr. Barnard’s contnued service with the Company as of the applicable vestng date. Of these CEO Award shares, we accounted for 235,654 shares as equity-classifed awards and 614,346 CEO Award shares (i.e., the allocable porton of those CEO Award shares that were in excess of the shareholder-approved share limit authorized under the original Plan as of October 31, 2019) as liability-classifed awards. The remaining 850,000 CEO Award shares were modifed to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7" w:name="page68"/>
    <w:bookmarkEnd w:id="67"/>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ind w:right="60"/>
        <w:spacing w:after="0" w:line="230" w:lineRule="auto"/>
        <w:rPr>
          <w:sz w:val="20"/>
          <w:szCs w:val="20"/>
          <w:color w:val="auto"/>
        </w:rPr>
      </w:pPr>
      <w:r>
        <w:rPr>
          <w:rFonts w:ascii="Calibri" w:cs="Calibri" w:eastAsia="Calibri" w:hAnsi="Calibri"/>
          <w:sz w:val="13"/>
          <w:szCs w:val="13"/>
          <w:color w:val="auto"/>
        </w:rPr>
        <w:t>vest in fve equal installments on the frst fve anniversaries of the grant date, subject to Mr. Barnard’s contnued service with the Company as of the applicable vestng date. Of these shares, we accounted for 235,654 shares as equity-classifed awards and 614,346 shares as liability-classifed awards (i.e., the allocable porton of those CEO Award shares that were in excess of the shareholder-approved share limit authorized under the 2003 Plan as of October 31, 2019).</w:t>
      </w:r>
    </w:p>
    <w:p>
      <w:pPr>
        <w:spacing w:after="0" w:line="191" w:lineRule="exact"/>
        <w:rPr>
          <w:sz w:val="20"/>
          <w:szCs w:val="20"/>
          <w:color w:val="auto"/>
        </w:rPr>
      </w:pPr>
    </w:p>
    <w:p>
      <w:pPr>
        <w:ind w:firstLine="509"/>
        <w:spacing w:after="0" w:line="230" w:lineRule="auto"/>
        <w:rPr>
          <w:sz w:val="20"/>
          <w:szCs w:val="20"/>
          <w:color w:val="auto"/>
        </w:rPr>
      </w:pPr>
      <w:r>
        <w:rPr>
          <w:rFonts w:ascii="Calibri" w:cs="Calibri" w:eastAsia="Calibri" w:hAnsi="Calibri"/>
          <w:sz w:val="13"/>
          <w:szCs w:val="13"/>
          <w:color w:val="auto"/>
        </w:rPr>
        <w:t>Prior to the October 2019 modifcaton, the Company determined that it was not probable that the CEO awards would vest because of the contngent nature of the CEO Award. Upon modifcaton of the vestng terms, during October 2019, the Company determined that it was probable that the CEO Award would vest. The Company determined the fair value of the CEO Award on the date of modifcaton to be $11.3 million, to be recognized as stock-based compensaton expense as service is provided.</w:t>
      </w:r>
    </w:p>
    <w:p>
      <w:pPr>
        <w:spacing w:after="0" w:line="191" w:lineRule="exact"/>
        <w:rPr>
          <w:sz w:val="20"/>
          <w:szCs w:val="20"/>
          <w:color w:val="auto"/>
        </w:rPr>
      </w:pPr>
    </w:p>
    <w:p>
      <w:pPr>
        <w:ind w:right="80" w:firstLine="509"/>
        <w:spacing w:after="0" w:line="230" w:lineRule="auto"/>
        <w:rPr>
          <w:sz w:val="20"/>
          <w:szCs w:val="20"/>
          <w:color w:val="auto"/>
        </w:rPr>
      </w:pPr>
      <w:r>
        <w:rPr>
          <w:rFonts w:ascii="Calibri" w:cs="Calibri" w:eastAsia="Calibri" w:hAnsi="Calibri"/>
          <w:sz w:val="13"/>
          <w:szCs w:val="13"/>
          <w:color w:val="auto"/>
        </w:rPr>
        <w:t>During December 2019, management determined the fair value of our common stock with the support of a third-party valuaton specialist as of the July 9, 2019 stock opton grant date. As a result of this independent valuaton, the Company determined the fair value of our common stock on the stock opton grant date to be $13.74 per share. As a result, the Board of Directors, with the consent of Mr. Barnard, modifed the CEO Awards to increase the strike price to $13.74 per share. As of the modifcaton date, the fair value of liability-classifed awards was $5.6 million.</w:t>
      </w:r>
    </w:p>
    <w:p>
      <w:pPr>
        <w:spacing w:after="0" w:line="202" w:lineRule="exact"/>
        <w:rPr>
          <w:sz w:val="20"/>
          <w:szCs w:val="20"/>
          <w:color w:val="auto"/>
        </w:rPr>
      </w:pPr>
    </w:p>
    <w:p>
      <w:pPr>
        <w:ind w:right="160" w:firstLine="509"/>
        <w:spacing w:after="0" w:line="228" w:lineRule="auto"/>
        <w:rPr>
          <w:sz w:val="20"/>
          <w:szCs w:val="20"/>
          <w:color w:val="auto"/>
        </w:rPr>
      </w:pPr>
      <w:r>
        <w:rPr>
          <w:rFonts w:ascii="Calibri" w:cs="Calibri" w:eastAsia="Calibri" w:hAnsi="Calibri"/>
          <w:sz w:val="13"/>
          <w:szCs w:val="13"/>
          <w:color w:val="auto"/>
        </w:rPr>
        <w:t>On March 19, 2020, shareholders approved an amendment to the 2003 Plan that added an additonal 2,550,000 shares available to be issued. Upon the approval of the amendment, the 1,228,692 awards previously accounted for as liability-classifed awards were reclassifed to shareholders’ equity and accounted for prospectvely as equity awards because of the increase in shares available to be issued under the 2003 Plan. On the date of reclassifcaton, management determined the fair value of our common stock, with the assistance of a third-party valuaton specialist, to be $12.63 per share, resultng in an estmated fair value of $4.6 million for the reclassifed awards. As of March 19, 2020, the Company had accrued $0.3 million in accrued expenses related to the liability-classifed awards, which was reclassifed to shareholders’ equity as of March 19, 2020.</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Stock opton actvity for the CEO Award during the year ended October 31, 2022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6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0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Weighted-average</w:t>
            </w:r>
          </w:p>
        </w:tc>
        <w:tc>
          <w:tcPr>
            <w:tcW w:w="6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1"/>
                <w:szCs w:val="11"/>
                <w:b w:val="1"/>
                <w:bCs w:val="1"/>
                <w:color w:val="auto"/>
              </w:rPr>
              <w:t>Aggregate</w:t>
            </w:r>
          </w:p>
        </w:tc>
      </w:tr>
      <w:tr>
        <w:trPr>
          <w:trHeight w:val="127"/>
        </w:trPr>
        <w:tc>
          <w:tcPr>
            <w:tcW w:w="3600" w:type="dxa"/>
            <w:vAlign w:val="bottom"/>
          </w:tcPr>
          <w:p>
            <w:pPr>
              <w:spacing w:after="0"/>
              <w:rPr>
                <w:sz w:val="11"/>
                <w:szCs w:val="11"/>
                <w:color w:val="auto"/>
              </w:rPr>
            </w:pPr>
          </w:p>
        </w:tc>
        <w:tc>
          <w:tcPr>
            <w:tcW w:w="2380" w:type="dxa"/>
            <w:vAlign w:val="bottom"/>
          </w:tcPr>
          <w:p>
            <w:pPr>
              <w:jc w:val="right"/>
              <w:ind w:right="103"/>
              <w:spacing w:after="0" w:line="128" w:lineRule="exact"/>
              <w:rPr>
                <w:sz w:val="20"/>
                <w:szCs w:val="20"/>
                <w:color w:val="auto"/>
              </w:rPr>
            </w:pPr>
            <w:r>
              <w:rPr>
                <w:rFonts w:ascii="Calibri" w:cs="Calibri" w:eastAsia="Calibri" w:hAnsi="Calibri"/>
                <w:sz w:val="11"/>
                <w:szCs w:val="11"/>
                <w:b w:val="1"/>
                <w:bCs w:val="1"/>
                <w:color w:val="auto"/>
              </w:rPr>
              <w:t>Number of optons</w:t>
            </w:r>
          </w:p>
        </w:tc>
        <w:tc>
          <w:tcPr>
            <w:tcW w:w="520" w:type="dxa"/>
            <w:vAlign w:val="bottom"/>
          </w:tcPr>
          <w:p>
            <w:pPr>
              <w:spacing w:after="0"/>
              <w:rPr>
                <w:sz w:val="11"/>
                <w:szCs w:val="11"/>
                <w:color w:val="auto"/>
              </w:rPr>
            </w:pPr>
          </w:p>
        </w:tc>
        <w:tc>
          <w:tcPr>
            <w:tcW w:w="1620" w:type="dxa"/>
            <w:vAlign w:val="bottom"/>
          </w:tcPr>
          <w:p>
            <w:pPr>
              <w:jc w:val="right"/>
              <w:ind w:right="423"/>
              <w:spacing w:after="0" w:line="128" w:lineRule="exact"/>
              <w:rPr>
                <w:sz w:val="20"/>
                <w:szCs w:val="20"/>
                <w:color w:val="auto"/>
              </w:rPr>
            </w:pPr>
            <w:r>
              <w:rPr>
                <w:rFonts w:ascii="Calibri" w:cs="Calibri" w:eastAsia="Calibri" w:hAnsi="Calibri"/>
                <w:sz w:val="11"/>
                <w:szCs w:val="11"/>
                <w:b w:val="1"/>
                <w:bCs w:val="1"/>
                <w:color w:val="auto"/>
              </w:rPr>
              <w:t>Weighted-average</w:t>
            </w:r>
          </w:p>
        </w:tc>
        <w:tc>
          <w:tcPr>
            <w:tcW w:w="1500" w:type="dxa"/>
            <w:vAlign w:val="bottom"/>
          </w:tcPr>
          <w:p>
            <w:pPr>
              <w:jc w:val="right"/>
              <w:ind w:right="103"/>
              <w:spacing w:after="0" w:line="128" w:lineRule="exact"/>
              <w:rPr>
                <w:sz w:val="20"/>
                <w:szCs w:val="20"/>
                <w:color w:val="auto"/>
              </w:rPr>
            </w:pPr>
            <w:r>
              <w:rPr>
                <w:rFonts w:ascii="Calibri" w:cs="Calibri" w:eastAsia="Calibri" w:hAnsi="Calibri"/>
                <w:sz w:val="11"/>
                <w:szCs w:val="11"/>
                <w:b w:val="1"/>
                <w:bCs w:val="1"/>
                <w:color w:val="auto"/>
              </w:rPr>
              <w:t>remaining life</w:t>
            </w:r>
          </w:p>
        </w:tc>
        <w:tc>
          <w:tcPr>
            <w:tcW w:w="600" w:type="dxa"/>
            <w:vAlign w:val="bottom"/>
          </w:tcPr>
          <w:p>
            <w:pPr>
              <w:spacing w:after="0"/>
              <w:rPr>
                <w:sz w:val="11"/>
                <w:szCs w:val="11"/>
                <w:color w:val="auto"/>
              </w:rPr>
            </w:pPr>
          </w:p>
        </w:tc>
        <w:tc>
          <w:tcPr>
            <w:tcW w:w="1060" w:type="dxa"/>
            <w:vAlign w:val="bottom"/>
          </w:tcPr>
          <w:p>
            <w:pPr>
              <w:jc w:val="right"/>
              <w:spacing w:after="0" w:line="128" w:lineRule="exact"/>
              <w:rPr>
                <w:sz w:val="20"/>
                <w:szCs w:val="20"/>
                <w:color w:val="auto"/>
              </w:rPr>
            </w:pPr>
            <w:r>
              <w:rPr>
                <w:rFonts w:ascii="Calibri" w:cs="Calibri" w:eastAsia="Calibri" w:hAnsi="Calibri"/>
                <w:sz w:val="11"/>
                <w:szCs w:val="11"/>
                <w:b w:val="1"/>
                <w:bCs w:val="1"/>
                <w:color w:val="auto"/>
              </w:rPr>
              <w:t>intrinsic value</w:t>
            </w:r>
          </w:p>
        </w:tc>
      </w:tr>
      <w:tr>
        <w:trPr>
          <w:trHeight w:val="145"/>
        </w:trPr>
        <w:tc>
          <w:tcPr>
            <w:tcW w:w="3600" w:type="dxa"/>
            <w:vAlign w:val="bottom"/>
          </w:tcPr>
          <w:p>
            <w:pPr>
              <w:spacing w:after="0"/>
              <w:rPr>
                <w:sz w:val="12"/>
                <w:szCs w:val="12"/>
                <w:color w:val="auto"/>
              </w:rPr>
            </w:pPr>
          </w:p>
        </w:tc>
        <w:tc>
          <w:tcPr>
            <w:tcW w:w="238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(in thousands)</w:t>
            </w:r>
          </w:p>
        </w:tc>
        <w:tc>
          <w:tcPr>
            <w:tcW w:w="520" w:type="dxa"/>
            <w:vAlign w:val="bottom"/>
          </w:tcPr>
          <w:p>
            <w:pPr>
              <w:spacing w:after="0"/>
              <w:rPr>
                <w:sz w:val="12"/>
                <w:szCs w:val="12"/>
                <w:color w:val="auto"/>
              </w:rPr>
            </w:pPr>
          </w:p>
        </w:tc>
        <w:tc>
          <w:tcPr>
            <w:tcW w:w="1620" w:type="dxa"/>
            <w:vAlign w:val="bottom"/>
          </w:tcPr>
          <w:p>
            <w:pPr>
              <w:jc w:val="right"/>
              <w:ind w:right="423"/>
              <w:spacing w:after="0"/>
              <w:rPr>
                <w:sz w:val="20"/>
                <w:szCs w:val="20"/>
                <w:color w:val="auto"/>
              </w:rPr>
            </w:pPr>
            <w:r>
              <w:rPr>
                <w:rFonts w:ascii="Calibri" w:cs="Calibri" w:eastAsia="Calibri" w:hAnsi="Calibri"/>
                <w:sz w:val="11"/>
                <w:szCs w:val="11"/>
                <w:b w:val="1"/>
                <w:bCs w:val="1"/>
                <w:color w:val="auto"/>
              </w:rPr>
              <w:t>exercise price</w:t>
            </w:r>
          </w:p>
        </w:tc>
        <w:tc>
          <w:tcPr>
            <w:tcW w:w="150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(in years)</w:t>
            </w:r>
          </w:p>
        </w:tc>
        <w:tc>
          <w:tcPr>
            <w:tcW w:w="6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Calibri" w:cs="Calibri" w:eastAsia="Calibri" w:hAnsi="Calibri"/>
                <w:sz w:val="11"/>
                <w:szCs w:val="11"/>
                <w:b w:val="1"/>
                <w:bCs w:val="1"/>
                <w:color w:val="auto"/>
              </w:rPr>
              <w:t>(in millions)</w:t>
            </w:r>
          </w:p>
        </w:tc>
      </w:tr>
      <w:tr>
        <w:trPr>
          <w:trHeight w:val="46"/>
        </w:trPr>
        <w:tc>
          <w:tcPr>
            <w:tcW w:w="36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151"/>
        </w:trPr>
        <w:tc>
          <w:tcPr>
            <w:tcW w:w="3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Outstanding at October 31, 2021</w:t>
            </w:r>
          </w:p>
        </w:tc>
        <w:tc>
          <w:tcPr>
            <w:tcW w:w="23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1,700</w:t>
            </w:r>
          </w:p>
        </w:tc>
        <w:tc>
          <w:tcPr>
            <w:tcW w:w="520" w:type="dxa"/>
            <w:vAlign w:val="bottom"/>
            <w:tcBorders>
              <w:bottom w:val="single" w:sz="8" w:color="DBDBDB"/>
            </w:tcBorders>
            <w:shd w:val="clear" w:color="auto" w:fill="DBDBDB"/>
          </w:tcPr>
          <w:p>
            <w:pPr>
              <w:jc w:val="right"/>
              <w:ind w:right="243"/>
              <w:spacing w:after="0" w:line="126" w:lineRule="exact"/>
              <w:rPr>
                <w:sz w:val="20"/>
                <w:szCs w:val="20"/>
                <w:color w:val="auto"/>
              </w:rPr>
            </w:pPr>
            <w:r>
              <w:rPr>
                <w:rFonts w:ascii="Calibri" w:cs="Calibri" w:eastAsia="Calibri" w:hAnsi="Calibri"/>
                <w:sz w:val="11"/>
                <w:szCs w:val="11"/>
                <w:color w:val="auto"/>
              </w:rPr>
              <w:t>$</w:t>
            </w:r>
          </w:p>
        </w:tc>
        <w:tc>
          <w:tcPr>
            <w:tcW w:w="1620" w:type="dxa"/>
            <w:vAlign w:val="bottom"/>
            <w:tcBorders>
              <w:bottom w:val="single" w:sz="8" w:color="DBDBDB"/>
            </w:tcBorders>
            <w:shd w:val="clear" w:color="auto" w:fill="DBDBDB"/>
          </w:tcPr>
          <w:p>
            <w:pPr>
              <w:jc w:val="right"/>
              <w:ind w:right="463"/>
              <w:spacing w:after="0" w:line="126" w:lineRule="exact"/>
              <w:rPr>
                <w:sz w:val="20"/>
                <w:szCs w:val="20"/>
                <w:color w:val="auto"/>
              </w:rPr>
            </w:pPr>
            <w:r>
              <w:rPr>
                <w:rFonts w:ascii="Calibri" w:cs="Calibri" w:eastAsia="Calibri" w:hAnsi="Calibri"/>
                <w:sz w:val="11"/>
                <w:szCs w:val="11"/>
                <w:color w:val="auto"/>
              </w:rPr>
              <w:t>13.74</w:t>
            </w:r>
          </w:p>
        </w:tc>
        <w:tc>
          <w:tcPr>
            <w:tcW w:w="1500" w:type="dxa"/>
            <w:vAlign w:val="bottom"/>
            <w:tcBorders>
              <w:bottom w:val="single" w:sz="8" w:color="DBDBDB"/>
            </w:tcBorders>
            <w:shd w:val="clear" w:color="auto" w:fill="DBDBDB"/>
          </w:tcPr>
          <w:p>
            <w:pPr>
              <w:spacing w:after="0"/>
              <w:rPr>
                <w:sz w:val="13"/>
                <w:szCs w:val="13"/>
                <w:color w:val="auto"/>
              </w:rPr>
            </w:pPr>
          </w:p>
        </w:tc>
        <w:tc>
          <w:tcPr>
            <w:tcW w:w="60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r>
      <w:tr>
        <w:trPr>
          <w:trHeight w:val="135"/>
        </w:trPr>
        <w:tc>
          <w:tcPr>
            <w:tcW w:w="3600" w:type="dxa"/>
            <w:vAlign w:val="bottom"/>
          </w:tcPr>
          <w:p>
            <w:pPr>
              <w:ind w:left="360"/>
              <w:spacing w:after="0"/>
              <w:rPr>
                <w:sz w:val="20"/>
                <w:szCs w:val="20"/>
                <w:color w:val="auto"/>
              </w:rPr>
            </w:pPr>
            <w:r>
              <w:rPr>
                <w:rFonts w:ascii="Calibri" w:cs="Calibri" w:eastAsia="Calibri" w:hAnsi="Calibri"/>
                <w:sz w:val="11"/>
                <w:szCs w:val="11"/>
                <w:color w:val="auto"/>
              </w:rPr>
              <w:t>Granted</w:t>
            </w:r>
          </w:p>
        </w:tc>
        <w:tc>
          <w:tcPr>
            <w:tcW w:w="238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46"/>
        </w:trPr>
        <w:tc>
          <w:tcPr>
            <w:tcW w:w="36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60"/>
        </w:trPr>
        <w:tc>
          <w:tcPr>
            <w:tcW w:w="360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1"/>
                <w:szCs w:val="11"/>
                <w:color w:val="auto"/>
              </w:rPr>
              <w:t>Exercised</w:t>
            </w:r>
          </w:p>
        </w:tc>
        <w:tc>
          <w:tcPr>
            <w:tcW w:w="238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520" w:type="dxa"/>
            <w:vAlign w:val="bottom"/>
            <w:tcBorders>
              <w:bottom w:val="single" w:sz="8" w:color="DBDBDB"/>
            </w:tcBorders>
            <w:shd w:val="clear" w:color="auto" w:fill="DBDBDB"/>
          </w:tcPr>
          <w:p>
            <w:pPr>
              <w:spacing w:after="0"/>
              <w:rPr>
                <w:sz w:val="13"/>
                <w:szCs w:val="13"/>
                <w:color w:val="auto"/>
              </w:rPr>
            </w:pPr>
          </w:p>
        </w:tc>
        <w:tc>
          <w:tcPr>
            <w:tcW w:w="1620" w:type="dxa"/>
            <w:vAlign w:val="bottom"/>
            <w:tcBorders>
              <w:bottom w:val="single" w:sz="8" w:color="DBDBDB"/>
            </w:tcBorders>
            <w:shd w:val="clear" w:color="auto" w:fill="DBDBDB"/>
          </w:tcPr>
          <w:p>
            <w:pPr>
              <w:jc w:val="right"/>
              <w:ind w:right="463"/>
              <w:spacing w:after="0"/>
              <w:rPr>
                <w:sz w:val="20"/>
                <w:szCs w:val="20"/>
                <w:color w:val="auto"/>
              </w:rPr>
            </w:pPr>
            <w:r>
              <w:rPr>
                <w:rFonts w:ascii="Calibri" w:cs="Calibri" w:eastAsia="Calibri" w:hAnsi="Calibri"/>
                <w:sz w:val="11"/>
                <w:szCs w:val="11"/>
                <w:color w:val="auto"/>
              </w:rPr>
              <w:t>13.74</w:t>
            </w:r>
          </w:p>
        </w:tc>
        <w:tc>
          <w:tcPr>
            <w:tcW w:w="1500" w:type="dxa"/>
            <w:vAlign w:val="bottom"/>
            <w:tcBorders>
              <w:bottom w:val="single" w:sz="8" w:color="DBDBDB"/>
            </w:tcBorders>
            <w:shd w:val="clear" w:color="auto" w:fill="DBDBDB"/>
          </w:tcPr>
          <w:p>
            <w:pPr>
              <w:spacing w:after="0"/>
              <w:rPr>
                <w:sz w:val="13"/>
                <w:szCs w:val="13"/>
                <w:color w:val="auto"/>
              </w:rPr>
            </w:pPr>
          </w:p>
        </w:tc>
        <w:tc>
          <w:tcPr>
            <w:tcW w:w="60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r>
      <w:tr>
        <w:trPr>
          <w:trHeight w:val="135"/>
        </w:trPr>
        <w:tc>
          <w:tcPr>
            <w:tcW w:w="3600" w:type="dxa"/>
            <w:vAlign w:val="bottom"/>
          </w:tcPr>
          <w:p>
            <w:pPr>
              <w:ind w:left="360"/>
              <w:spacing w:after="0"/>
              <w:rPr>
                <w:sz w:val="20"/>
                <w:szCs w:val="20"/>
                <w:color w:val="auto"/>
              </w:rPr>
            </w:pPr>
            <w:r>
              <w:rPr>
                <w:rFonts w:ascii="Calibri" w:cs="Calibri" w:eastAsia="Calibri" w:hAnsi="Calibri"/>
                <w:sz w:val="11"/>
                <w:szCs w:val="11"/>
                <w:color w:val="auto"/>
              </w:rPr>
              <w:t>Forfeited</w:t>
            </w:r>
          </w:p>
        </w:tc>
        <w:tc>
          <w:tcPr>
            <w:tcW w:w="238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46"/>
        </w:trPr>
        <w:tc>
          <w:tcPr>
            <w:tcW w:w="36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51"/>
        </w:trPr>
        <w:tc>
          <w:tcPr>
            <w:tcW w:w="3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Outstanding at October 31, 2022</w:t>
            </w:r>
          </w:p>
        </w:tc>
        <w:tc>
          <w:tcPr>
            <w:tcW w:w="23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1,700</w:t>
            </w:r>
          </w:p>
        </w:tc>
        <w:tc>
          <w:tcPr>
            <w:tcW w:w="520" w:type="dxa"/>
            <w:vAlign w:val="bottom"/>
            <w:tcBorders>
              <w:bottom w:val="single" w:sz="8" w:color="DBDBDB"/>
            </w:tcBorders>
            <w:shd w:val="clear" w:color="auto" w:fill="DBDBDB"/>
          </w:tcPr>
          <w:p>
            <w:pPr>
              <w:jc w:val="right"/>
              <w:ind w:right="243"/>
              <w:spacing w:after="0" w:line="126" w:lineRule="exact"/>
              <w:rPr>
                <w:sz w:val="20"/>
                <w:szCs w:val="20"/>
                <w:color w:val="auto"/>
              </w:rPr>
            </w:pPr>
            <w:r>
              <w:rPr>
                <w:rFonts w:ascii="Calibri" w:cs="Calibri" w:eastAsia="Calibri" w:hAnsi="Calibri"/>
                <w:sz w:val="11"/>
                <w:szCs w:val="11"/>
                <w:color w:val="auto"/>
              </w:rPr>
              <w:t>$</w:t>
            </w:r>
          </w:p>
        </w:tc>
        <w:tc>
          <w:tcPr>
            <w:tcW w:w="1620" w:type="dxa"/>
            <w:vAlign w:val="bottom"/>
            <w:tcBorders>
              <w:bottom w:val="single" w:sz="8" w:color="DBDBDB"/>
            </w:tcBorders>
            <w:shd w:val="clear" w:color="auto" w:fill="DBDBDB"/>
          </w:tcPr>
          <w:p>
            <w:pPr>
              <w:jc w:val="right"/>
              <w:ind w:right="463"/>
              <w:spacing w:after="0" w:line="126" w:lineRule="exact"/>
              <w:rPr>
                <w:sz w:val="20"/>
                <w:szCs w:val="20"/>
                <w:color w:val="auto"/>
              </w:rPr>
            </w:pPr>
            <w:r>
              <w:rPr>
                <w:rFonts w:ascii="Calibri" w:cs="Calibri" w:eastAsia="Calibri" w:hAnsi="Calibri"/>
                <w:sz w:val="11"/>
                <w:szCs w:val="11"/>
                <w:color w:val="auto"/>
              </w:rPr>
              <w:t>13.74</w:t>
            </w:r>
          </w:p>
        </w:tc>
        <w:tc>
          <w:tcPr>
            <w:tcW w:w="15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6.7</w:t>
            </w:r>
          </w:p>
        </w:tc>
        <w:tc>
          <w:tcPr>
            <w:tcW w:w="600" w:type="dxa"/>
            <w:vAlign w:val="bottom"/>
            <w:tcBorders>
              <w:bottom w:val="single" w:sz="8" w:color="DBDBDB"/>
            </w:tcBorders>
            <w:shd w:val="clear" w:color="auto" w:fill="DBDBDB"/>
          </w:tcPr>
          <w:p>
            <w:pPr>
              <w:jc w:val="right"/>
              <w:ind w:right="343"/>
              <w:spacing w:after="0" w:line="126" w:lineRule="exact"/>
              <w:rPr>
                <w:sz w:val="20"/>
                <w:szCs w:val="20"/>
                <w:color w:val="auto"/>
              </w:rPr>
            </w:pPr>
            <w:r>
              <w:rPr>
                <w:rFonts w:ascii="Calibri" w:cs="Calibri" w:eastAsia="Calibri" w:hAnsi="Calibri"/>
                <w:sz w:val="11"/>
                <w:szCs w:val="11"/>
                <w:color w:val="auto"/>
              </w:rPr>
              <w:t>$</w:t>
            </w:r>
          </w:p>
        </w:tc>
        <w:tc>
          <w:tcPr>
            <w:tcW w:w="10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4.9</w:t>
            </w:r>
          </w:p>
        </w:tc>
      </w:tr>
      <w:tr>
        <w:trPr>
          <w:trHeight w:val="135"/>
        </w:trPr>
        <w:tc>
          <w:tcPr>
            <w:tcW w:w="3600" w:type="dxa"/>
            <w:vAlign w:val="bottom"/>
          </w:tcPr>
          <w:p>
            <w:pPr>
              <w:ind w:left="20"/>
              <w:spacing w:after="0"/>
              <w:rPr>
                <w:sz w:val="20"/>
                <w:szCs w:val="20"/>
                <w:color w:val="auto"/>
              </w:rPr>
            </w:pPr>
            <w:r>
              <w:rPr>
                <w:rFonts w:ascii="Calibri" w:cs="Calibri" w:eastAsia="Calibri" w:hAnsi="Calibri"/>
                <w:sz w:val="11"/>
                <w:szCs w:val="11"/>
                <w:color w:val="auto"/>
              </w:rPr>
              <w:t>Vested and expected to vest at October 31, 2022</w:t>
            </w:r>
          </w:p>
        </w:tc>
        <w:tc>
          <w:tcPr>
            <w:tcW w:w="2380" w:type="dxa"/>
            <w:vAlign w:val="bottom"/>
          </w:tcPr>
          <w:p>
            <w:pPr>
              <w:jc w:val="right"/>
              <w:ind w:right="123"/>
              <w:spacing w:after="0"/>
              <w:rPr>
                <w:sz w:val="20"/>
                <w:szCs w:val="20"/>
                <w:color w:val="auto"/>
              </w:rPr>
            </w:pPr>
            <w:r>
              <w:rPr>
                <w:rFonts w:ascii="Calibri" w:cs="Calibri" w:eastAsia="Calibri" w:hAnsi="Calibri"/>
                <w:sz w:val="11"/>
                <w:szCs w:val="11"/>
                <w:color w:val="auto"/>
              </w:rPr>
              <w:t>1,700</w:t>
            </w:r>
          </w:p>
        </w:tc>
        <w:tc>
          <w:tcPr>
            <w:tcW w:w="520" w:type="dxa"/>
            <w:vAlign w:val="bottom"/>
          </w:tcPr>
          <w:p>
            <w:pPr>
              <w:jc w:val="right"/>
              <w:ind w:right="243"/>
              <w:spacing w:after="0"/>
              <w:rPr>
                <w:sz w:val="20"/>
                <w:szCs w:val="20"/>
                <w:color w:val="auto"/>
              </w:rPr>
            </w:pPr>
            <w:r>
              <w:rPr>
                <w:rFonts w:ascii="Calibri" w:cs="Calibri" w:eastAsia="Calibri" w:hAnsi="Calibri"/>
                <w:sz w:val="11"/>
                <w:szCs w:val="11"/>
                <w:color w:val="auto"/>
              </w:rPr>
              <w:t>$</w:t>
            </w:r>
          </w:p>
        </w:tc>
        <w:tc>
          <w:tcPr>
            <w:tcW w:w="1620" w:type="dxa"/>
            <w:vAlign w:val="bottom"/>
          </w:tcPr>
          <w:p>
            <w:pPr>
              <w:jc w:val="right"/>
              <w:ind w:right="463"/>
              <w:spacing w:after="0"/>
              <w:rPr>
                <w:sz w:val="20"/>
                <w:szCs w:val="20"/>
                <w:color w:val="auto"/>
              </w:rPr>
            </w:pPr>
            <w:r>
              <w:rPr>
                <w:rFonts w:ascii="Calibri" w:cs="Calibri" w:eastAsia="Calibri" w:hAnsi="Calibri"/>
                <w:sz w:val="11"/>
                <w:szCs w:val="11"/>
                <w:color w:val="auto"/>
              </w:rPr>
              <w:t>13.74</w:t>
            </w:r>
          </w:p>
        </w:tc>
        <w:tc>
          <w:tcPr>
            <w:tcW w:w="1500" w:type="dxa"/>
            <w:vAlign w:val="bottom"/>
          </w:tcPr>
          <w:p>
            <w:pPr>
              <w:jc w:val="right"/>
              <w:ind w:right="103"/>
              <w:spacing w:after="0"/>
              <w:rPr>
                <w:sz w:val="20"/>
                <w:szCs w:val="20"/>
                <w:color w:val="auto"/>
              </w:rPr>
            </w:pPr>
            <w:r>
              <w:rPr>
                <w:rFonts w:ascii="Calibri" w:cs="Calibri" w:eastAsia="Calibri" w:hAnsi="Calibri"/>
                <w:sz w:val="11"/>
                <w:szCs w:val="11"/>
                <w:color w:val="auto"/>
              </w:rPr>
              <w:t>6.7</w:t>
            </w:r>
          </w:p>
        </w:tc>
        <w:tc>
          <w:tcPr>
            <w:tcW w:w="600" w:type="dxa"/>
            <w:vAlign w:val="bottom"/>
          </w:tcPr>
          <w:p>
            <w:pPr>
              <w:jc w:val="right"/>
              <w:ind w:right="343"/>
              <w:spacing w:after="0"/>
              <w:rPr>
                <w:sz w:val="20"/>
                <w:szCs w:val="20"/>
                <w:color w:val="auto"/>
              </w:rPr>
            </w:pPr>
            <w:r>
              <w:rPr>
                <w:rFonts w:ascii="Calibri" w:cs="Calibri" w:eastAsia="Calibri" w:hAnsi="Calibri"/>
                <w:sz w:val="11"/>
                <w:szCs w:val="11"/>
                <w:color w:val="auto"/>
              </w:rPr>
              <w:t>$</w:t>
            </w:r>
          </w:p>
        </w:tc>
        <w:tc>
          <w:tcPr>
            <w:tcW w:w="1060" w:type="dxa"/>
            <w:vAlign w:val="bottom"/>
          </w:tcPr>
          <w:p>
            <w:pPr>
              <w:jc w:val="right"/>
              <w:spacing w:after="0"/>
              <w:rPr>
                <w:sz w:val="20"/>
                <w:szCs w:val="20"/>
                <w:color w:val="auto"/>
              </w:rPr>
            </w:pPr>
            <w:r>
              <w:rPr>
                <w:rFonts w:ascii="Calibri" w:cs="Calibri" w:eastAsia="Calibri" w:hAnsi="Calibri"/>
                <w:sz w:val="11"/>
                <w:szCs w:val="11"/>
                <w:color w:val="auto"/>
              </w:rPr>
              <w:t>4.9</w:t>
            </w:r>
          </w:p>
        </w:tc>
      </w:tr>
      <w:tr>
        <w:trPr>
          <w:trHeight w:val="46"/>
        </w:trPr>
        <w:tc>
          <w:tcPr>
            <w:tcW w:w="36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51"/>
        </w:trPr>
        <w:tc>
          <w:tcPr>
            <w:tcW w:w="3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Exercisable at October 31, 2022</w:t>
            </w:r>
          </w:p>
        </w:tc>
        <w:tc>
          <w:tcPr>
            <w:tcW w:w="23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1,360</w:t>
            </w:r>
          </w:p>
        </w:tc>
        <w:tc>
          <w:tcPr>
            <w:tcW w:w="520" w:type="dxa"/>
            <w:vAlign w:val="bottom"/>
            <w:tcBorders>
              <w:bottom w:val="single" w:sz="8" w:color="DBDBDB"/>
            </w:tcBorders>
            <w:shd w:val="clear" w:color="auto" w:fill="DBDBDB"/>
          </w:tcPr>
          <w:p>
            <w:pPr>
              <w:jc w:val="right"/>
              <w:ind w:right="243"/>
              <w:spacing w:after="0" w:line="126" w:lineRule="exact"/>
              <w:rPr>
                <w:sz w:val="20"/>
                <w:szCs w:val="20"/>
                <w:color w:val="auto"/>
              </w:rPr>
            </w:pPr>
            <w:r>
              <w:rPr>
                <w:rFonts w:ascii="Calibri" w:cs="Calibri" w:eastAsia="Calibri" w:hAnsi="Calibri"/>
                <w:sz w:val="11"/>
                <w:szCs w:val="11"/>
                <w:color w:val="auto"/>
              </w:rPr>
              <w:t>$</w:t>
            </w:r>
          </w:p>
        </w:tc>
        <w:tc>
          <w:tcPr>
            <w:tcW w:w="1620" w:type="dxa"/>
            <w:vAlign w:val="bottom"/>
            <w:tcBorders>
              <w:bottom w:val="single" w:sz="8" w:color="DBDBDB"/>
            </w:tcBorders>
            <w:shd w:val="clear" w:color="auto" w:fill="DBDBDB"/>
          </w:tcPr>
          <w:p>
            <w:pPr>
              <w:jc w:val="right"/>
              <w:ind w:right="463"/>
              <w:spacing w:after="0" w:line="126" w:lineRule="exact"/>
              <w:rPr>
                <w:sz w:val="20"/>
                <w:szCs w:val="20"/>
                <w:color w:val="auto"/>
              </w:rPr>
            </w:pPr>
            <w:r>
              <w:rPr>
                <w:rFonts w:ascii="Calibri" w:cs="Calibri" w:eastAsia="Calibri" w:hAnsi="Calibri"/>
                <w:sz w:val="11"/>
                <w:szCs w:val="11"/>
                <w:color w:val="auto"/>
              </w:rPr>
              <w:t>13.74</w:t>
            </w:r>
          </w:p>
        </w:tc>
        <w:tc>
          <w:tcPr>
            <w:tcW w:w="15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6.7</w:t>
            </w:r>
          </w:p>
        </w:tc>
        <w:tc>
          <w:tcPr>
            <w:tcW w:w="600" w:type="dxa"/>
            <w:vAlign w:val="bottom"/>
            <w:tcBorders>
              <w:bottom w:val="single" w:sz="8" w:color="DBDBDB"/>
            </w:tcBorders>
            <w:shd w:val="clear" w:color="auto" w:fill="DBDBDB"/>
          </w:tcPr>
          <w:p>
            <w:pPr>
              <w:jc w:val="right"/>
              <w:ind w:right="343"/>
              <w:spacing w:after="0" w:line="126" w:lineRule="exact"/>
              <w:rPr>
                <w:sz w:val="20"/>
                <w:szCs w:val="20"/>
                <w:color w:val="auto"/>
              </w:rPr>
            </w:pPr>
            <w:r>
              <w:rPr>
                <w:rFonts w:ascii="Calibri" w:cs="Calibri" w:eastAsia="Calibri" w:hAnsi="Calibri"/>
                <w:sz w:val="11"/>
                <w:szCs w:val="11"/>
                <w:color w:val="auto"/>
              </w:rPr>
              <w:t>$</w:t>
            </w:r>
          </w:p>
        </w:tc>
        <w:tc>
          <w:tcPr>
            <w:tcW w:w="10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3.9</w:t>
            </w:r>
          </w:p>
        </w:tc>
      </w:tr>
      <w:tr>
        <w:trPr>
          <w:trHeight w:val="20"/>
        </w:trPr>
        <w:tc>
          <w:tcPr>
            <w:tcW w:w="360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40" w:type="dxa"/>
            <w:vAlign w:val="bottom"/>
          </w:tcPr>
          <w:p>
            <w:pPr>
              <w:spacing w:after="0"/>
              <w:rPr>
                <w:sz w:val="11"/>
                <w:szCs w:val="11"/>
                <w:color w:val="auto"/>
              </w:rPr>
            </w:pPr>
          </w:p>
        </w:tc>
        <w:tc>
          <w:tcPr>
            <w:tcW w:w="450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Number of optons</w:t>
            </w:r>
          </w:p>
        </w:tc>
        <w:tc>
          <w:tcPr>
            <w:tcW w:w="30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alibri" w:cs="Calibri" w:eastAsia="Calibri" w:hAnsi="Calibri"/>
                <w:sz w:val="11"/>
                <w:szCs w:val="11"/>
                <w:b w:val="1"/>
                <w:bCs w:val="1"/>
                <w:color w:val="auto"/>
              </w:rPr>
              <w:t>Weighted average grant-date fair</w:t>
            </w:r>
          </w:p>
        </w:tc>
      </w:tr>
      <w:tr>
        <w:trPr>
          <w:trHeight w:val="138"/>
        </w:trPr>
        <w:tc>
          <w:tcPr>
            <w:tcW w:w="4840" w:type="dxa"/>
            <w:vAlign w:val="bottom"/>
          </w:tcPr>
          <w:p>
            <w:pPr>
              <w:spacing w:after="0"/>
              <w:rPr>
                <w:sz w:val="11"/>
                <w:szCs w:val="11"/>
                <w:color w:val="auto"/>
              </w:rPr>
            </w:pPr>
          </w:p>
        </w:tc>
        <w:tc>
          <w:tcPr>
            <w:tcW w:w="450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(in thousands)</w:t>
            </w:r>
          </w:p>
        </w:tc>
        <w:tc>
          <w:tcPr>
            <w:tcW w:w="30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alibri" w:cs="Calibri" w:eastAsia="Calibri" w:hAnsi="Calibri"/>
                <w:sz w:val="11"/>
                <w:szCs w:val="11"/>
                <w:b w:val="1"/>
                <w:bCs w:val="1"/>
                <w:color w:val="auto"/>
              </w:rPr>
              <w:t>value</w:t>
            </w:r>
          </w:p>
        </w:tc>
      </w:tr>
      <w:tr>
        <w:trPr>
          <w:trHeight w:val="46"/>
        </w:trPr>
        <w:tc>
          <w:tcPr>
            <w:tcW w:w="484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151"/>
        </w:trPr>
        <w:tc>
          <w:tcPr>
            <w:tcW w:w="48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Unvested at October 31, 2021</w:t>
            </w:r>
          </w:p>
        </w:tc>
        <w:tc>
          <w:tcPr>
            <w:tcW w:w="45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510</w:t>
            </w:r>
          </w:p>
        </w:tc>
        <w:tc>
          <w:tcPr>
            <w:tcW w:w="300" w:type="dxa"/>
            <w:vAlign w:val="bottom"/>
            <w:tcBorders>
              <w:bottom w:val="single" w:sz="8" w:color="DBDBDB"/>
            </w:tcBorders>
            <w:shd w:val="clear" w:color="auto" w:fill="DBDBDB"/>
          </w:tcPr>
          <w:p>
            <w:pPr>
              <w:jc w:val="right"/>
              <w:ind w:right="23"/>
              <w:spacing w:after="0" w:line="126" w:lineRule="exact"/>
              <w:rPr>
                <w:sz w:val="20"/>
                <w:szCs w:val="20"/>
                <w:color w:val="auto"/>
              </w:rPr>
            </w:pPr>
            <w:r>
              <w:rPr>
                <w:rFonts w:ascii="Calibri" w:cs="Calibri" w:eastAsia="Calibri" w:hAnsi="Calibri"/>
                <w:sz w:val="11"/>
                <w:szCs w:val="11"/>
                <w:color w:val="auto"/>
              </w:rPr>
              <w:t>$</w:t>
            </w:r>
          </w:p>
        </w:tc>
        <w:tc>
          <w:tcPr>
            <w:tcW w:w="16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5.35</w:t>
            </w:r>
          </w:p>
        </w:tc>
      </w:tr>
      <w:tr>
        <w:trPr>
          <w:trHeight w:val="135"/>
        </w:trPr>
        <w:tc>
          <w:tcPr>
            <w:tcW w:w="4840" w:type="dxa"/>
            <w:vAlign w:val="bottom"/>
          </w:tcPr>
          <w:p>
            <w:pPr>
              <w:ind w:left="20"/>
              <w:spacing w:after="0"/>
              <w:rPr>
                <w:sz w:val="20"/>
                <w:szCs w:val="20"/>
                <w:color w:val="auto"/>
              </w:rPr>
            </w:pPr>
            <w:r>
              <w:rPr>
                <w:rFonts w:ascii="Calibri" w:cs="Calibri" w:eastAsia="Calibri" w:hAnsi="Calibri"/>
                <w:sz w:val="11"/>
                <w:szCs w:val="11"/>
                <w:color w:val="auto"/>
              </w:rPr>
              <w:t>Granted</w:t>
            </w:r>
          </w:p>
        </w:tc>
        <w:tc>
          <w:tcPr>
            <w:tcW w:w="45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48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160"/>
        </w:trPr>
        <w:tc>
          <w:tcPr>
            <w:tcW w:w="48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Vested</w:t>
            </w:r>
          </w:p>
        </w:tc>
        <w:tc>
          <w:tcPr>
            <w:tcW w:w="45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(170)</w:t>
            </w:r>
          </w:p>
        </w:tc>
        <w:tc>
          <w:tcPr>
            <w:tcW w:w="300" w:type="dxa"/>
            <w:vAlign w:val="bottom"/>
            <w:tcBorders>
              <w:bottom w:val="single" w:sz="8" w:color="DBDBDB"/>
            </w:tcBorders>
            <w:shd w:val="clear" w:color="auto" w:fill="DBDBDB"/>
          </w:tcPr>
          <w:p>
            <w:pPr>
              <w:spacing w:after="0"/>
              <w:rPr>
                <w:sz w:val="13"/>
                <w:szCs w:val="13"/>
                <w:color w:val="auto"/>
              </w:rPr>
            </w:pPr>
          </w:p>
        </w:tc>
        <w:tc>
          <w:tcPr>
            <w:tcW w:w="16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5.35</w:t>
            </w:r>
          </w:p>
        </w:tc>
      </w:tr>
      <w:tr>
        <w:trPr>
          <w:trHeight w:val="135"/>
        </w:trPr>
        <w:tc>
          <w:tcPr>
            <w:tcW w:w="4840" w:type="dxa"/>
            <w:vAlign w:val="bottom"/>
          </w:tcPr>
          <w:p>
            <w:pPr>
              <w:ind w:left="20"/>
              <w:spacing w:after="0"/>
              <w:rPr>
                <w:sz w:val="20"/>
                <w:szCs w:val="20"/>
                <w:color w:val="auto"/>
              </w:rPr>
            </w:pPr>
            <w:r>
              <w:rPr>
                <w:rFonts w:ascii="Calibri" w:cs="Calibri" w:eastAsia="Calibri" w:hAnsi="Calibri"/>
                <w:sz w:val="11"/>
                <w:szCs w:val="11"/>
                <w:color w:val="auto"/>
              </w:rPr>
              <w:t>Forfeited</w:t>
            </w:r>
          </w:p>
        </w:tc>
        <w:tc>
          <w:tcPr>
            <w:tcW w:w="45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30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484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51"/>
        </w:trPr>
        <w:tc>
          <w:tcPr>
            <w:tcW w:w="48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Unvested at October 31, 2022</w:t>
            </w:r>
          </w:p>
        </w:tc>
        <w:tc>
          <w:tcPr>
            <w:tcW w:w="45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340</w:t>
            </w:r>
          </w:p>
        </w:tc>
        <w:tc>
          <w:tcPr>
            <w:tcW w:w="300" w:type="dxa"/>
            <w:vAlign w:val="bottom"/>
            <w:tcBorders>
              <w:bottom w:val="single" w:sz="8" w:color="DBDBDB"/>
            </w:tcBorders>
            <w:shd w:val="clear" w:color="auto" w:fill="DBDBDB"/>
          </w:tcPr>
          <w:p>
            <w:pPr>
              <w:jc w:val="right"/>
              <w:ind w:right="23"/>
              <w:spacing w:after="0" w:line="126" w:lineRule="exact"/>
              <w:rPr>
                <w:sz w:val="20"/>
                <w:szCs w:val="20"/>
                <w:color w:val="auto"/>
              </w:rPr>
            </w:pPr>
            <w:r>
              <w:rPr>
                <w:rFonts w:ascii="Calibri" w:cs="Calibri" w:eastAsia="Calibri" w:hAnsi="Calibri"/>
                <w:sz w:val="11"/>
                <w:szCs w:val="11"/>
                <w:color w:val="auto"/>
              </w:rPr>
              <w:t>$</w:t>
            </w:r>
          </w:p>
        </w:tc>
        <w:tc>
          <w:tcPr>
            <w:tcW w:w="164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5.35</w:t>
            </w:r>
          </w:p>
        </w:tc>
      </w:tr>
      <w:tr>
        <w:trPr>
          <w:trHeight w:val="20"/>
        </w:trPr>
        <w:tc>
          <w:tcPr>
            <w:tcW w:w="484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8" w:name="page69"/>
    <w:bookmarkEnd w:id="68"/>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Calibri" w:cs="Calibri" w:eastAsia="Calibri" w:hAnsi="Calibri"/>
          <w:sz w:val="13"/>
          <w:szCs w:val="13"/>
          <w:i w:val="1"/>
          <w:iCs w:val="1"/>
          <w:color w:val="auto"/>
        </w:rPr>
        <w:t>Employees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Stock optons granted to employees generally vest ratably over four years. Stock opton actvity for other employees during the year ended October 31, 2022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00" w:type="dxa"/>
            <w:vAlign w:val="bottom"/>
          </w:tcPr>
          <w:p>
            <w:pPr>
              <w:spacing w:after="0"/>
              <w:rPr>
                <w:sz w:val="11"/>
                <w:szCs w:val="11"/>
                <w:color w:val="auto"/>
              </w:rPr>
            </w:pPr>
          </w:p>
        </w:tc>
        <w:tc>
          <w:tcPr>
            <w:tcW w:w="2380" w:type="dxa"/>
            <w:vAlign w:val="bottom"/>
            <w:vMerge w:val="restart"/>
          </w:tcPr>
          <w:p>
            <w:pPr>
              <w:jc w:val="right"/>
              <w:ind w:right="103"/>
              <w:spacing w:after="0"/>
              <w:rPr>
                <w:sz w:val="20"/>
                <w:szCs w:val="20"/>
                <w:color w:val="auto"/>
              </w:rPr>
            </w:pPr>
            <w:r>
              <w:rPr>
                <w:rFonts w:ascii="Calibri" w:cs="Calibri" w:eastAsia="Calibri" w:hAnsi="Calibri"/>
                <w:sz w:val="11"/>
                <w:szCs w:val="11"/>
                <w:b w:val="1"/>
                <w:bCs w:val="1"/>
                <w:color w:val="auto"/>
              </w:rPr>
              <w:t>Number of optons</w:t>
            </w:r>
          </w:p>
        </w:tc>
        <w:tc>
          <w:tcPr>
            <w:tcW w:w="520" w:type="dxa"/>
            <w:vAlign w:val="bottom"/>
          </w:tcPr>
          <w:p>
            <w:pPr>
              <w:spacing w:after="0"/>
              <w:rPr>
                <w:sz w:val="11"/>
                <w:szCs w:val="11"/>
                <w:color w:val="auto"/>
              </w:rPr>
            </w:pPr>
          </w:p>
        </w:tc>
        <w:tc>
          <w:tcPr>
            <w:tcW w:w="1620" w:type="dxa"/>
            <w:vAlign w:val="bottom"/>
            <w:vMerge w:val="restart"/>
          </w:tcPr>
          <w:p>
            <w:pPr>
              <w:jc w:val="right"/>
              <w:ind w:right="423"/>
              <w:spacing w:after="0"/>
              <w:rPr>
                <w:sz w:val="20"/>
                <w:szCs w:val="20"/>
                <w:color w:val="auto"/>
              </w:rPr>
            </w:pPr>
            <w:r>
              <w:rPr>
                <w:rFonts w:ascii="Calibri" w:cs="Calibri" w:eastAsia="Calibri" w:hAnsi="Calibri"/>
                <w:sz w:val="11"/>
                <w:szCs w:val="11"/>
                <w:b w:val="1"/>
                <w:bCs w:val="1"/>
                <w:color w:val="auto"/>
              </w:rPr>
              <w:t>Weighted-average</w:t>
            </w:r>
          </w:p>
        </w:tc>
        <w:tc>
          <w:tcPr>
            <w:tcW w:w="150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Weighted-average</w:t>
            </w:r>
          </w:p>
        </w:tc>
        <w:tc>
          <w:tcPr>
            <w:tcW w:w="6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1"/>
                <w:szCs w:val="11"/>
                <w:b w:val="1"/>
                <w:bCs w:val="1"/>
                <w:color w:val="auto"/>
              </w:rPr>
              <w:t>Aggregate</w:t>
            </w:r>
          </w:p>
        </w:tc>
        <w:tc>
          <w:tcPr>
            <w:tcW w:w="0" w:type="dxa"/>
            <w:vAlign w:val="bottom"/>
          </w:tcPr>
          <w:p>
            <w:pPr>
              <w:spacing w:after="0"/>
              <w:rPr>
                <w:sz w:val="1"/>
                <w:szCs w:val="1"/>
                <w:color w:val="auto"/>
              </w:rPr>
            </w:pPr>
          </w:p>
        </w:tc>
      </w:tr>
      <w:tr>
        <w:trPr>
          <w:trHeight w:val="130"/>
        </w:trPr>
        <w:tc>
          <w:tcPr>
            <w:tcW w:w="360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500" w:type="dxa"/>
            <w:vAlign w:val="bottom"/>
          </w:tcPr>
          <w:p>
            <w:pPr>
              <w:jc w:val="right"/>
              <w:ind w:right="103"/>
              <w:spacing w:after="0" w:line="131" w:lineRule="exact"/>
              <w:rPr>
                <w:sz w:val="20"/>
                <w:szCs w:val="20"/>
                <w:color w:val="auto"/>
              </w:rPr>
            </w:pPr>
            <w:r>
              <w:rPr>
                <w:rFonts w:ascii="Calibri" w:cs="Calibri" w:eastAsia="Calibri" w:hAnsi="Calibri"/>
                <w:sz w:val="11"/>
                <w:szCs w:val="11"/>
                <w:b w:val="1"/>
                <w:bCs w:val="1"/>
                <w:color w:val="auto"/>
              </w:rPr>
              <w:t>remaining life</w:t>
            </w:r>
          </w:p>
        </w:tc>
        <w:tc>
          <w:tcPr>
            <w:tcW w:w="60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Calibri" w:cs="Calibri" w:eastAsia="Calibri" w:hAnsi="Calibri"/>
                <w:sz w:val="11"/>
                <w:szCs w:val="11"/>
                <w:b w:val="1"/>
                <w:bCs w:val="1"/>
                <w:color w:val="auto"/>
              </w:rPr>
              <w:t>intrinsic value</w:t>
            </w: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238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(in thousands)</w:t>
            </w:r>
          </w:p>
        </w:tc>
        <w:tc>
          <w:tcPr>
            <w:tcW w:w="520" w:type="dxa"/>
            <w:vAlign w:val="bottom"/>
          </w:tcPr>
          <w:p>
            <w:pPr>
              <w:spacing w:after="0"/>
              <w:rPr>
                <w:sz w:val="12"/>
                <w:szCs w:val="12"/>
                <w:color w:val="auto"/>
              </w:rPr>
            </w:pPr>
          </w:p>
        </w:tc>
        <w:tc>
          <w:tcPr>
            <w:tcW w:w="1620" w:type="dxa"/>
            <w:vAlign w:val="bottom"/>
          </w:tcPr>
          <w:p>
            <w:pPr>
              <w:jc w:val="right"/>
              <w:ind w:right="423"/>
              <w:spacing w:after="0"/>
              <w:rPr>
                <w:sz w:val="20"/>
                <w:szCs w:val="20"/>
                <w:color w:val="auto"/>
              </w:rPr>
            </w:pPr>
            <w:r>
              <w:rPr>
                <w:rFonts w:ascii="Calibri" w:cs="Calibri" w:eastAsia="Calibri" w:hAnsi="Calibri"/>
                <w:sz w:val="11"/>
                <w:szCs w:val="11"/>
                <w:b w:val="1"/>
                <w:bCs w:val="1"/>
                <w:color w:val="auto"/>
              </w:rPr>
              <w:t>exercise price</w:t>
            </w:r>
          </w:p>
        </w:tc>
        <w:tc>
          <w:tcPr>
            <w:tcW w:w="150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(in years)</w:t>
            </w:r>
          </w:p>
        </w:tc>
        <w:tc>
          <w:tcPr>
            <w:tcW w:w="6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Calibri" w:cs="Calibri" w:eastAsia="Calibri" w:hAnsi="Calibri"/>
                <w:sz w:val="11"/>
                <w:szCs w:val="11"/>
                <w:b w:val="1"/>
                <w:bCs w:val="1"/>
                <w:color w:val="auto"/>
              </w:rPr>
              <w:t>(in millions)</w:t>
            </w:r>
          </w:p>
        </w:tc>
        <w:tc>
          <w:tcPr>
            <w:tcW w:w="0" w:type="dxa"/>
            <w:vAlign w:val="bottom"/>
          </w:tcPr>
          <w:p>
            <w:pPr>
              <w:spacing w:after="0"/>
              <w:rPr>
                <w:sz w:val="1"/>
                <w:szCs w:val="1"/>
                <w:color w:val="auto"/>
              </w:rPr>
            </w:pPr>
          </w:p>
        </w:tc>
      </w:tr>
      <w:tr>
        <w:trPr>
          <w:trHeight w:val="36"/>
        </w:trPr>
        <w:tc>
          <w:tcPr>
            <w:tcW w:w="36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3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Outstanding at October 31, 2021</w:t>
            </w:r>
          </w:p>
        </w:tc>
        <w:tc>
          <w:tcPr>
            <w:tcW w:w="23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486</w:t>
            </w:r>
          </w:p>
        </w:tc>
        <w:tc>
          <w:tcPr>
            <w:tcW w:w="520" w:type="dxa"/>
            <w:vAlign w:val="bottom"/>
            <w:tcBorders>
              <w:bottom w:val="single" w:sz="8" w:color="DBDBDB"/>
            </w:tcBorders>
            <w:shd w:val="clear" w:color="auto" w:fill="DBDBDB"/>
          </w:tcPr>
          <w:p>
            <w:pPr>
              <w:jc w:val="right"/>
              <w:ind w:right="243"/>
              <w:spacing w:after="0" w:line="126" w:lineRule="exact"/>
              <w:rPr>
                <w:sz w:val="20"/>
                <w:szCs w:val="20"/>
                <w:color w:val="auto"/>
              </w:rPr>
            </w:pPr>
            <w:r>
              <w:rPr>
                <w:rFonts w:ascii="Calibri" w:cs="Calibri" w:eastAsia="Calibri" w:hAnsi="Calibri"/>
                <w:sz w:val="11"/>
                <w:szCs w:val="11"/>
                <w:color w:val="auto"/>
              </w:rPr>
              <w:t>$</w:t>
            </w:r>
          </w:p>
        </w:tc>
        <w:tc>
          <w:tcPr>
            <w:tcW w:w="1620" w:type="dxa"/>
            <w:vAlign w:val="bottom"/>
            <w:tcBorders>
              <w:bottom w:val="single" w:sz="8" w:color="DBDBDB"/>
            </w:tcBorders>
            <w:shd w:val="clear" w:color="auto" w:fill="DBDBDB"/>
          </w:tcPr>
          <w:p>
            <w:pPr>
              <w:jc w:val="right"/>
              <w:ind w:right="463"/>
              <w:spacing w:after="0" w:line="126" w:lineRule="exact"/>
              <w:rPr>
                <w:sz w:val="20"/>
                <w:szCs w:val="20"/>
                <w:color w:val="auto"/>
              </w:rPr>
            </w:pPr>
            <w:r>
              <w:rPr>
                <w:rFonts w:ascii="Calibri" w:cs="Calibri" w:eastAsia="Calibri" w:hAnsi="Calibri"/>
                <w:sz w:val="11"/>
                <w:szCs w:val="11"/>
                <w:color w:val="auto"/>
              </w:rPr>
              <w:t>11.55</w:t>
            </w:r>
          </w:p>
        </w:tc>
        <w:tc>
          <w:tcPr>
            <w:tcW w:w="1500" w:type="dxa"/>
            <w:vAlign w:val="bottom"/>
            <w:tcBorders>
              <w:bottom w:val="single" w:sz="8" w:color="DBDBDB"/>
            </w:tcBorders>
            <w:shd w:val="clear" w:color="auto" w:fill="DBDBDB"/>
          </w:tcPr>
          <w:p>
            <w:pPr>
              <w:spacing w:after="0"/>
              <w:rPr>
                <w:sz w:val="13"/>
                <w:szCs w:val="13"/>
                <w:color w:val="auto"/>
              </w:rPr>
            </w:pPr>
          </w:p>
        </w:tc>
        <w:tc>
          <w:tcPr>
            <w:tcW w:w="60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0" w:type="dxa"/>
            <w:vAlign w:val="bottom"/>
          </w:tcPr>
          <w:p>
            <w:pPr>
              <w:ind w:left="360"/>
              <w:spacing w:after="0"/>
              <w:rPr>
                <w:sz w:val="20"/>
                <w:szCs w:val="20"/>
                <w:color w:val="auto"/>
              </w:rPr>
            </w:pPr>
            <w:r>
              <w:rPr>
                <w:rFonts w:ascii="Calibri" w:cs="Calibri" w:eastAsia="Calibri" w:hAnsi="Calibri"/>
                <w:sz w:val="11"/>
                <w:szCs w:val="11"/>
                <w:color w:val="auto"/>
              </w:rPr>
              <w:t>Granted</w:t>
            </w:r>
          </w:p>
        </w:tc>
        <w:tc>
          <w:tcPr>
            <w:tcW w:w="238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520" w:type="dxa"/>
            <w:vAlign w:val="bottom"/>
          </w:tcPr>
          <w:p>
            <w:pPr>
              <w:spacing w:after="0"/>
              <w:rPr>
                <w:sz w:val="11"/>
                <w:szCs w:val="11"/>
                <w:color w:val="auto"/>
              </w:rPr>
            </w:pPr>
          </w:p>
        </w:tc>
        <w:tc>
          <w:tcPr>
            <w:tcW w:w="1620" w:type="dxa"/>
            <w:vAlign w:val="bottom"/>
          </w:tcPr>
          <w:p>
            <w:pPr>
              <w:jc w:val="right"/>
              <w:ind w:right="463"/>
              <w:spacing w:after="0"/>
              <w:rPr>
                <w:sz w:val="20"/>
                <w:szCs w:val="20"/>
                <w:color w:val="auto"/>
              </w:rPr>
            </w:pPr>
            <w:r>
              <w:rPr>
                <w:rFonts w:ascii="Calibri" w:cs="Calibri" w:eastAsia="Calibri" w:hAnsi="Calibri"/>
                <w:sz w:val="11"/>
                <w:szCs w:val="11"/>
                <w:color w:val="auto"/>
              </w:rPr>
              <w:t>—</w:t>
            </w: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36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60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1"/>
                <w:szCs w:val="11"/>
                <w:color w:val="auto"/>
              </w:rPr>
              <w:t>Exercised</w:t>
            </w:r>
          </w:p>
        </w:tc>
        <w:tc>
          <w:tcPr>
            <w:tcW w:w="238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(15)</w:t>
            </w:r>
          </w:p>
        </w:tc>
        <w:tc>
          <w:tcPr>
            <w:tcW w:w="520" w:type="dxa"/>
            <w:vAlign w:val="bottom"/>
            <w:tcBorders>
              <w:bottom w:val="single" w:sz="8" w:color="DBDBDB"/>
            </w:tcBorders>
            <w:shd w:val="clear" w:color="auto" w:fill="DBDBDB"/>
          </w:tcPr>
          <w:p>
            <w:pPr>
              <w:spacing w:after="0"/>
              <w:rPr>
                <w:sz w:val="13"/>
                <w:szCs w:val="13"/>
                <w:color w:val="auto"/>
              </w:rPr>
            </w:pPr>
          </w:p>
        </w:tc>
        <w:tc>
          <w:tcPr>
            <w:tcW w:w="1620" w:type="dxa"/>
            <w:vAlign w:val="bottom"/>
            <w:tcBorders>
              <w:bottom w:val="single" w:sz="8" w:color="DBDBDB"/>
            </w:tcBorders>
            <w:shd w:val="clear" w:color="auto" w:fill="DBDBDB"/>
          </w:tcPr>
          <w:p>
            <w:pPr>
              <w:jc w:val="right"/>
              <w:ind w:right="463"/>
              <w:spacing w:after="0"/>
              <w:rPr>
                <w:sz w:val="20"/>
                <w:szCs w:val="20"/>
                <w:color w:val="auto"/>
              </w:rPr>
            </w:pPr>
            <w:r>
              <w:rPr>
                <w:rFonts w:ascii="Calibri" w:cs="Calibri" w:eastAsia="Calibri" w:hAnsi="Calibri"/>
                <w:sz w:val="11"/>
                <w:szCs w:val="11"/>
                <w:color w:val="auto"/>
              </w:rPr>
              <w:t>6.66</w:t>
            </w:r>
          </w:p>
        </w:tc>
        <w:tc>
          <w:tcPr>
            <w:tcW w:w="1500" w:type="dxa"/>
            <w:vAlign w:val="bottom"/>
            <w:tcBorders>
              <w:bottom w:val="single" w:sz="8" w:color="DBDBDB"/>
            </w:tcBorders>
            <w:shd w:val="clear" w:color="auto" w:fill="DBDBDB"/>
          </w:tcPr>
          <w:p>
            <w:pPr>
              <w:spacing w:after="0"/>
              <w:rPr>
                <w:sz w:val="13"/>
                <w:szCs w:val="13"/>
                <w:color w:val="auto"/>
              </w:rPr>
            </w:pPr>
          </w:p>
        </w:tc>
        <w:tc>
          <w:tcPr>
            <w:tcW w:w="60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0" w:type="dxa"/>
            <w:vAlign w:val="bottom"/>
          </w:tcPr>
          <w:p>
            <w:pPr>
              <w:ind w:left="360"/>
              <w:spacing w:after="0"/>
              <w:rPr>
                <w:sz w:val="20"/>
                <w:szCs w:val="20"/>
                <w:color w:val="auto"/>
              </w:rPr>
            </w:pPr>
            <w:r>
              <w:rPr>
                <w:rFonts w:ascii="Calibri" w:cs="Calibri" w:eastAsia="Calibri" w:hAnsi="Calibri"/>
                <w:sz w:val="11"/>
                <w:szCs w:val="11"/>
                <w:color w:val="auto"/>
              </w:rPr>
              <w:t>Forfeited</w:t>
            </w:r>
          </w:p>
        </w:tc>
        <w:tc>
          <w:tcPr>
            <w:tcW w:w="2380" w:type="dxa"/>
            <w:vAlign w:val="bottom"/>
          </w:tcPr>
          <w:p>
            <w:pPr>
              <w:jc w:val="right"/>
              <w:ind w:right="103"/>
              <w:spacing w:after="0"/>
              <w:rPr>
                <w:sz w:val="20"/>
                <w:szCs w:val="20"/>
                <w:color w:val="auto"/>
              </w:rPr>
            </w:pPr>
            <w:r>
              <w:rPr>
                <w:rFonts w:ascii="Calibri" w:cs="Calibri" w:eastAsia="Calibri" w:hAnsi="Calibri"/>
                <w:sz w:val="11"/>
                <w:szCs w:val="11"/>
                <w:color w:val="auto"/>
              </w:rPr>
              <w:t>(23)</w:t>
            </w:r>
          </w:p>
        </w:tc>
        <w:tc>
          <w:tcPr>
            <w:tcW w:w="520" w:type="dxa"/>
            <w:vAlign w:val="bottom"/>
          </w:tcPr>
          <w:p>
            <w:pPr>
              <w:spacing w:after="0"/>
              <w:rPr>
                <w:sz w:val="11"/>
                <w:szCs w:val="11"/>
                <w:color w:val="auto"/>
              </w:rPr>
            </w:pPr>
          </w:p>
        </w:tc>
        <w:tc>
          <w:tcPr>
            <w:tcW w:w="1620" w:type="dxa"/>
            <w:vAlign w:val="bottom"/>
          </w:tcPr>
          <w:p>
            <w:pPr>
              <w:jc w:val="right"/>
              <w:ind w:right="463"/>
              <w:spacing w:after="0"/>
              <w:rPr>
                <w:sz w:val="20"/>
                <w:szCs w:val="20"/>
                <w:color w:val="auto"/>
              </w:rPr>
            </w:pPr>
            <w:r>
              <w:rPr>
                <w:rFonts w:ascii="Calibri" w:cs="Calibri" w:eastAsia="Calibri" w:hAnsi="Calibri"/>
                <w:sz w:val="11"/>
                <w:szCs w:val="11"/>
                <w:color w:val="auto"/>
              </w:rPr>
              <w:t>12.00</w:t>
            </w: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36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3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Outstanding at October 31, 2022</w:t>
            </w:r>
          </w:p>
        </w:tc>
        <w:tc>
          <w:tcPr>
            <w:tcW w:w="23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448</w:t>
            </w:r>
          </w:p>
        </w:tc>
        <w:tc>
          <w:tcPr>
            <w:tcW w:w="520" w:type="dxa"/>
            <w:vAlign w:val="bottom"/>
            <w:tcBorders>
              <w:bottom w:val="single" w:sz="8" w:color="DBDBDB"/>
            </w:tcBorders>
            <w:shd w:val="clear" w:color="auto" w:fill="DBDBDB"/>
          </w:tcPr>
          <w:p>
            <w:pPr>
              <w:jc w:val="right"/>
              <w:ind w:right="243"/>
              <w:spacing w:after="0" w:line="126" w:lineRule="exact"/>
              <w:rPr>
                <w:sz w:val="20"/>
                <w:szCs w:val="20"/>
                <w:color w:val="auto"/>
              </w:rPr>
            </w:pPr>
            <w:r>
              <w:rPr>
                <w:rFonts w:ascii="Calibri" w:cs="Calibri" w:eastAsia="Calibri" w:hAnsi="Calibri"/>
                <w:sz w:val="11"/>
                <w:szCs w:val="11"/>
                <w:color w:val="auto"/>
              </w:rPr>
              <w:t>$</w:t>
            </w:r>
          </w:p>
        </w:tc>
        <w:tc>
          <w:tcPr>
            <w:tcW w:w="1620" w:type="dxa"/>
            <w:vAlign w:val="bottom"/>
            <w:tcBorders>
              <w:bottom w:val="single" w:sz="8" w:color="DBDBDB"/>
            </w:tcBorders>
            <w:shd w:val="clear" w:color="auto" w:fill="DBDBDB"/>
          </w:tcPr>
          <w:p>
            <w:pPr>
              <w:jc w:val="right"/>
              <w:ind w:right="463"/>
              <w:spacing w:after="0" w:line="126" w:lineRule="exact"/>
              <w:rPr>
                <w:sz w:val="20"/>
                <w:szCs w:val="20"/>
                <w:color w:val="auto"/>
              </w:rPr>
            </w:pPr>
            <w:r>
              <w:rPr>
                <w:rFonts w:ascii="Calibri" w:cs="Calibri" w:eastAsia="Calibri" w:hAnsi="Calibri"/>
                <w:sz w:val="11"/>
                <w:szCs w:val="11"/>
                <w:color w:val="auto"/>
              </w:rPr>
              <w:t>11.69</w:t>
            </w:r>
          </w:p>
        </w:tc>
        <w:tc>
          <w:tcPr>
            <w:tcW w:w="15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7.2</w:t>
            </w:r>
          </w:p>
        </w:tc>
        <w:tc>
          <w:tcPr>
            <w:tcW w:w="600" w:type="dxa"/>
            <w:vAlign w:val="bottom"/>
            <w:tcBorders>
              <w:bottom w:val="single" w:sz="8" w:color="DBDBDB"/>
            </w:tcBorders>
            <w:shd w:val="clear" w:color="auto" w:fill="DBDBDB"/>
          </w:tcPr>
          <w:p>
            <w:pPr>
              <w:jc w:val="right"/>
              <w:ind w:right="343"/>
              <w:spacing w:after="0" w:line="126" w:lineRule="exact"/>
              <w:rPr>
                <w:sz w:val="20"/>
                <w:szCs w:val="20"/>
                <w:color w:val="auto"/>
              </w:rPr>
            </w:pPr>
            <w:r>
              <w:rPr>
                <w:rFonts w:ascii="Calibri" w:cs="Calibri" w:eastAsia="Calibri" w:hAnsi="Calibri"/>
                <w:sz w:val="11"/>
                <w:szCs w:val="11"/>
                <w:color w:val="auto"/>
              </w:rPr>
              <w:t>$</w:t>
            </w:r>
          </w:p>
        </w:tc>
        <w:tc>
          <w:tcPr>
            <w:tcW w:w="10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2.2</w:t>
            </w:r>
          </w:p>
        </w:tc>
        <w:tc>
          <w:tcPr>
            <w:tcW w:w="0" w:type="dxa"/>
            <w:vAlign w:val="bottom"/>
          </w:tcPr>
          <w:p>
            <w:pPr>
              <w:spacing w:after="0"/>
              <w:rPr>
                <w:sz w:val="1"/>
                <w:szCs w:val="1"/>
                <w:color w:val="auto"/>
              </w:rPr>
            </w:pPr>
          </w:p>
        </w:tc>
      </w:tr>
      <w:tr>
        <w:trPr>
          <w:trHeight w:val="135"/>
        </w:trPr>
        <w:tc>
          <w:tcPr>
            <w:tcW w:w="3600" w:type="dxa"/>
            <w:vAlign w:val="bottom"/>
          </w:tcPr>
          <w:p>
            <w:pPr>
              <w:ind w:left="20"/>
              <w:spacing w:after="0"/>
              <w:rPr>
                <w:sz w:val="20"/>
                <w:szCs w:val="20"/>
                <w:color w:val="auto"/>
              </w:rPr>
            </w:pPr>
            <w:r>
              <w:rPr>
                <w:rFonts w:ascii="Calibri" w:cs="Calibri" w:eastAsia="Calibri" w:hAnsi="Calibri"/>
                <w:sz w:val="11"/>
                <w:szCs w:val="11"/>
                <w:color w:val="auto"/>
              </w:rPr>
              <w:t>Vested and expected to vest at October 31, 2022</w:t>
            </w:r>
          </w:p>
        </w:tc>
        <w:tc>
          <w:tcPr>
            <w:tcW w:w="2380" w:type="dxa"/>
            <w:vAlign w:val="bottom"/>
          </w:tcPr>
          <w:p>
            <w:pPr>
              <w:jc w:val="right"/>
              <w:ind w:right="123"/>
              <w:spacing w:after="0"/>
              <w:rPr>
                <w:sz w:val="20"/>
                <w:szCs w:val="20"/>
                <w:color w:val="auto"/>
              </w:rPr>
            </w:pPr>
            <w:r>
              <w:rPr>
                <w:rFonts w:ascii="Calibri" w:cs="Calibri" w:eastAsia="Calibri" w:hAnsi="Calibri"/>
                <w:sz w:val="11"/>
                <w:szCs w:val="11"/>
                <w:color w:val="auto"/>
              </w:rPr>
              <w:t>448</w:t>
            </w:r>
          </w:p>
        </w:tc>
        <w:tc>
          <w:tcPr>
            <w:tcW w:w="520" w:type="dxa"/>
            <w:vAlign w:val="bottom"/>
          </w:tcPr>
          <w:p>
            <w:pPr>
              <w:spacing w:after="0"/>
              <w:rPr>
                <w:sz w:val="11"/>
                <w:szCs w:val="11"/>
                <w:color w:val="auto"/>
              </w:rPr>
            </w:pPr>
          </w:p>
        </w:tc>
        <w:tc>
          <w:tcPr>
            <w:tcW w:w="1620" w:type="dxa"/>
            <w:vAlign w:val="bottom"/>
          </w:tcPr>
          <w:p>
            <w:pPr>
              <w:jc w:val="right"/>
              <w:ind w:right="463"/>
              <w:spacing w:after="0"/>
              <w:rPr>
                <w:sz w:val="20"/>
                <w:szCs w:val="20"/>
                <w:color w:val="auto"/>
              </w:rPr>
            </w:pPr>
            <w:r>
              <w:rPr>
                <w:rFonts w:ascii="Calibri" w:cs="Calibri" w:eastAsia="Calibri" w:hAnsi="Calibri"/>
                <w:sz w:val="11"/>
                <w:szCs w:val="11"/>
                <w:color w:val="auto"/>
              </w:rPr>
              <w:t>11.69</w:t>
            </w:r>
          </w:p>
        </w:tc>
        <w:tc>
          <w:tcPr>
            <w:tcW w:w="1500" w:type="dxa"/>
            <w:vAlign w:val="bottom"/>
          </w:tcPr>
          <w:p>
            <w:pPr>
              <w:jc w:val="right"/>
              <w:ind w:right="103"/>
              <w:spacing w:after="0"/>
              <w:rPr>
                <w:sz w:val="20"/>
                <w:szCs w:val="20"/>
                <w:color w:val="auto"/>
              </w:rPr>
            </w:pPr>
            <w:r>
              <w:rPr>
                <w:rFonts w:ascii="Calibri" w:cs="Calibri" w:eastAsia="Calibri" w:hAnsi="Calibri"/>
                <w:sz w:val="11"/>
                <w:szCs w:val="11"/>
                <w:color w:val="auto"/>
              </w:rPr>
              <w:t>7.2</w:t>
            </w:r>
          </w:p>
        </w:tc>
        <w:tc>
          <w:tcPr>
            <w:tcW w:w="6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Calibri" w:cs="Calibri" w:eastAsia="Calibri" w:hAnsi="Calibri"/>
                <w:sz w:val="11"/>
                <w:szCs w:val="11"/>
                <w:color w:val="auto"/>
              </w:rPr>
              <w:t>2.2</w:t>
            </w:r>
          </w:p>
        </w:tc>
        <w:tc>
          <w:tcPr>
            <w:tcW w:w="0" w:type="dxa"/>
            <w:vAlign w:val="bottom"/>
          </w:tcPr>
          <w:p>
            <w:pPr>
              <w:spacing w:after="0"/>
              <w:rPr>
                <w:sz w:val="1"/>
                <w:szCs w:val="1"/>
                <w:color w:val="auto"/>
              </w:rPr>
            </w:pPr>
          </w:p>
        </w:tc>
      </w:tr>
      <w:tr>
        <w:trPr>
          <w:trHeight w:val="46"/>
        </w:trPr>
        <w:tc>
          <w:tcPr>
            <w:tcW w:w="36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36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Exercisable at October 31, 2022</w:t>
            </w:r>
          </w:p>
        </w:tc>
        <w:tc>
          <w:tcPr>
            <w:tcW w:w="238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240</w:t>
            </w:r>
          </w:p>
        </w:tc>
        <w:tc>
          <w:tcPr>
            <w:tcW w:w="520" w:type="dxa"/>
            <w:vAlign w:val="bottom"/>
            <w:tcBorders>
              <w:bottom w:val="single" w:sz="8" w:color="DBDBDB"/>
            </w:tcBorders>
            <w:shd w:val="clear" w:color="auto" w:fill="DBDBDB"/>
          </w:tcPr>
          <w:p>
            <w:pPr>
              <w:jc w:val="right"/>
              <w:ind w:right="243"/>
              <w:spacing w:after="0" w:line="126" w:lineRule="exact"/>
              <w:rPr>
                <w:sz w:val="20"/>
                <w:szCs w:val="20"/>
                <w:color w:val="auto"/>
              </w:rPr>
            </w:pPr>
            <w:r>
              <w:rPr>
                <w:rFonts w:ascii="Calibri" w:cs="Calibri" w:eastAsia="Calibri" w:hAnsi="Calibri"/>
                <w:sz w:val="11"/>
                <w:szCs w:val="11"/>
                <w:color w:val="auto"/>
              </w:rPr>
              <w:t>$</w:t>
            </w:r>
          </w:p>
        </w:tc>
        <w:tc>
          <w:tcPr>
            <w:tcW w:w="1620" w:type="dxa"/>
            <w:vAlign w:val="bottom"/>
            <w:tcBorders>
              <w:bottom w:val="single" w:sz="8" w:color="DBDBDB"/>
            </w:tcBorders>
            <w:shd w:val="clear" w:color="auto" w:fill="DBDBDB"/>
          </w:tcPr>
          <w:p>
            <w:pPr>
              <w:jc w:val="right"/>
              <w:ind w:right="463"/>
              <w:spacing w:after="0" w:line="126" w:lineRule="exact"/>
              <w:rPr>
                <w:sz w:val="20"/>
                <w:szCs w:val="20"/>
                <w:color w:val="auto"/>
              </w:rPr>
            </w:pPr>
            <w:r>
              <w:rPr>
                <w:rFonts w:ascii="Calibri" w:cs="Calibri" w:eastAsia="Calibri" w:hAnsi="Calibri"/>
                <w:sz w:val="11"/>
                <w:szCs w:val="11"/>
                <w:color w:val="auto"/>
              </w:rPr>
              <w:t>11.43</w:t>
            </w:r>
          </w:p>
        </w:tc>
        <w:tc>
          <w:tcPr>
            <w:tcW w:w="15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6.7</w:t>
            </w:r>
          </w:p>
        </w:tc>
        <w:tc>
          <w:tcPr>
            <w:tcW w:w="600" w:type="dxa"/>
            <w:vAlign w:val="bottom"/>
            <w:tcBorders>
              <w:bottom w:val="single" w:sz="8" w:color="DBDBDB"/>
            </w:tcBorders>
            <w:shd w:val="clear" w:color="auto" w:fill="DBDBDB"/>
          </w:tcPr>
          <w:p>
            <w:pPr>
              <w:jc w:val="right"/>
              <w:ind w:right="343"/>
              <w:spacing w:after="0" w:line="126" w:lineRule="exact"/>
              <w:rPr>
                <w:sz w:val="20"/>
                <w:szCs w:val="20"/>
                <w:color w:val="auto"/>
              </w:rPr>
            </w:pPr>
            <w:r>
              <w:rPr>
                <w:rFonts w:ascii="Calibri" w:cs="Calibri" w:eastAsia="Calibri" w:hAnsi="Calibri"/>
                <w:sz w:val="11"/>
                <w:szCs w:val="11"/>
                <w:color w:val="auto"/>
              </w:rPr>
              <w:t>$</w:t>
            </w:r>
          </w:p>
        </w:tc>
        <w:tc>
          <w:tcPr>
            <w:tcW w:w="10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1.3</w:t>
            </w:r>
          </w:p>
        </w:tc>
        <w:tc>
          <w:tcPr>
            <w:tcW w:w="0" w:type="dxa"/>
            <w:vAlign w:val="bottom"/>
          </w:tcPr>
          <w:p>
            <w:pPr>
              <w:spacing w:after="0"/>
              <w:rPr>
                <w:sz w:val="1"/>
                <w:szCs w:val="1"/>
                <w:color w:val="auto"/>
              </w:rPr>
            </w:pPr>
          </w:p>
        </w:tc>
      </w:tr>
      <w:tr>
        <w:trPr>
          <w:trHeight w:val="20"/>
        </w:trPr>
        <w:tc>
          <w:tcPr>
            <w:tcW w:w="360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740" w:type="dxa"/>
            <w:vAlign w:val="bottom"/>
          </w:tcPr>
          <w:p>
            <w:pPr>
              <w:spacing w:after="0"/>
              <w:rPr>
                <w:sz w:val="11"/>
                <w:szCs w:val="11"/>
                <w:color w:val="auto"/>
              </w:rPr>
            </w:pPr>
          </w:p>
        </w:tc>
        <w:tc>
          <w:tcPr>
            <w:tcW w:w="440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Number of optons</w:t>
            </w:r>
          </w:p>
        </w:tc>
        <w:tc>
          <w:tcPr>
            <w:tcW w:w="260" w:type="dxa"/>
            <w:vAlign w:val="bottom"/>
          </w:tcPr>
          <w:p>
            <w:pPr>
              <w:spacing w:after="0"/>
              <w:rPr>
                <w:sz w:val="11"/>
                <w:szCs w:val="11"/>
                <w:color w:val="auto"/>
              </w:rPr>
            </w:pPr>
          </w:p>
        </w:tc>
        <w:tc>
          <w:tcPr>
            <w:tcW w:w="1880" w:type="dxa"/>
            <w:vAlign w:val="bottom"/>
          </w:tcPr>
          <w:p>
            <w:pPr>
              <w:spacing w:after="0"/>
              <w:rPr>
                <w:sz w:val="11"/>
                <w:szCs w:val="11"/>
                <w:color w:val="auto"/>
              </w:rPr>
            </w:pPr>
          </w:p>
        </w:tc>
      </w:tr>
      <w:tr>
        <w:trPr>
          <w:trHeight w:val="138"/>
        </w:trPr>
        <w:tc>
          <w:tcPr>
            <w:tcW w:w="4740" w:type="dxa"/>
            <w:vAlign w:val="bottom"/>
          </w:tcPr>
          <w:p>
            <w:pPr>
              <w:spacing w:after="0"/>
              <w:rPr>
                <w:sz w:val="11"/>
                <w:szCs w:val="11"/>
                <w:color w:val="auto"/>
              </w:rPr>
            </w:pPr>
          </w:p>
        </w:tc>
        <w:tc>
          <w:tcPr>
            <w:tcW w:w="4400" w:type="dxa"/>
            <w:vAlign w:val="bottom"/>
          </w:tcPr>
          <w:p>
            <w:pPr>
              <w:jc w:val="right"/>
              <w:ind w:right="103"/>
              <w:spacing w:after="0"/>
              <w:rPr>
                <w:sz w:val="20"/>
                <w:szCs w:val="20"/>
                <w:color w:val="auto"/>
              </w:rPr>
            </w:pPr>
            <w:r>
              <w:rPr>
                <w:rFonts w:ascii="Calibri" w:cs="Calibri" w:eastAsia="Calibri" w:hAnsi="Calibri"/>
                <w:sz w:val="11"/>
                <w:szCs w:val="11"/>
                <w:b w:val="1"/>
                <w:bCs w:val="1"/>
                <w:color w:val="auto"/>
              </w:rPr>
              <w:t>(in thousands)</w:t>
            </w:r>
          </w:p>
        </w:tc>
        <w:tc>
          <w:tcPr>
            <w:tcW w:w="26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Calibri" w:cs="Calibri" w:eastAsia="Calibri" w:hAnsi="Calibri"/>
                <w:sz w:val="11"/>
                <w:szCs w:val="11"/>
                <w:b w:val="1"/>
                <w:bCs w:val="1"/>
                <w:color w:val="auto"/>
              </w:rPr>
              <w:t>Weighted average grant-date fair value</w:t>
            </w:r>
          </w:p>
        </w:tc>
      </w:tr>
      <w:tr>
        <w:trPr>
          <w:trHeight w:val="46"/>
        </w:trPr>
        <w:tc>
          <w:tcPr>
            <w:tcW w:w="474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151"/>
        </w:trPr>
        <w:tc>
          <w:tcPr>
            <w:tcW w:w="47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Unvested at October 31, 2021</w:t>
            </w:r>
          </w:p>
        </w:tc>
        <w:tc>
          <w:tcPr>
            <w:tcW w:w="4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362</w:t>
            </w:r>
          </w:p>
        </w:tc>
        <w:tc>
          <w:tcPr>
            <w:tcW w:w="2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8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3.99</w:t>
            </w:r>
          </w:p>
        </w:tc>
      </w:tr>
      <w:tr>
        <w:trPr>
          <w:trHeight w:val="135"/>
        </w:trPr>
        <w:tc>
          <w:tcPr>
            <w:tcW w:w="4740" w:type="dxa"/>
            <w:vAlign w:val="bottom"/>
          </w:tcPr>
          <w:p>
            <w:pPr>
              <w:ind w:left="20"/>
              <w:spacing w:after="0"/>
              <w:rPr>
                <w:sz w:val="20"/>
                <w:szCs w:val="20"/>
                <w:color w:val="auto"/>
              </w:rPr>
            </w:pPr>
            <w:r>
              <w:rPr>
                <w:rFonts w:ascii="Calibri" w:cs="Calibri" w:eastAsia="Calibri" w:hAnsi="Calibri"/>
                <w:sz w:val="11"/>
                <w:szCs w:val="11"/>
                <w:color w:val="auto"/>
              </w:rPr>
              <w:t>Granted</w:t>
            </w:r>
          </w:p>
        </w:tc>
        <w:tc>
          <w:tcPr>
            <w:tcW w:w="44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26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474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160"/>
        </w:trPr>
        <w:tc>
          <w:tcPr>
            <w:tcW w:w="474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Vested</w:t>
            </w:r>
          </w:p>
        </w:tc>
        <w:tc>
          <w:tcPr>
            <w:tcW w:w="44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(131)</w:t>
            </w:r>
          </w:p>
        </w:tc>
        <w:tc>
          <w:tcPr>
            <w:tcW w:w="260" w:type="dxa"/>
            <w:vAlign w:val="bottom"/>
            <w:tcBorders>
              <w:bottom w:val="single" w:sz="8" w:color="DBDBDB"/>
            </w:tcBorders>
            <w:shd w:val="clear" w:color="auto" w:fill="DBDBDB"/>
          </w:tcPr>
          <w:p>
            <w:pPr>
              <w:spacing w:after="0"/>
              <w:rPr>
                <w:sz w:val="13"/>
                <w:szCs w:val="13"/>
                <w:color w:val="auto"/>
              </w:rPr>
            </w:pPr>
          </w:p>
        </w:tc>
        <w:tc>
          <w:tcPr>
            <w:tcW w:w="1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4.66</w:t>
            </w:r>
          </w:p>
        </w:tc>
      </w:tr>
      <w:tr>
        <w:trPr>
          <w:trHeight w:val="135"/>
        </w:trPr>
        <w:tc>
          <w:tcPr>
            <w:tcW w:w="4740" w:type="dxa"/>
            <w:vAlign w:val="bottom"/>
          </w:tcPr>
          <w:p>
            <w:pPr>
              <w:ind w:left="20"/>
              <w:spacing w:after="0"/>
              <w:rPr>
                <w:sz w:val="20"/>
                <w:szCs w:val="20"/>
                <w:color w:val="auto"/>
              </w:rPr>
            </w:pPr>
            <w:r>
              <w:rPr>
                <w:rFonts w:ascii="Calibri" w:cs="Calibri" w:eastAsia="Calibri" w:hAnsi="Calibri"/>
                <w:sz w:val="11"/>
                <w:szCs w:val="11"/>
                <w:color w:val="auto"/>
              </w:rPr>
              <w:t>Forfeited</w:t>
            </w:r>
          </w:p>
        </w:tc>
        <w:tc>
          <w:tcPr>
            <w:tcW w:w="4400" w:type="dxa"/>
            <w:vAlign w:val="bottom"/>
          </w:tcPr>
          <w:p>
            <w:pPr>
              <w:jc w:val="right"/>
              <w:ind w:right="103"/>
              <w:spacing w:after="0"/>
              <w:rPr>
                <w:sz w:val="20"/>
                <w:szCs w:val="20"/>
                <w:color w:val="auto"/>
              </w:rPr>
            </w:pPr>
            <w:r>
              <w:rPr>
                <w:rFonts w:ascii="Calibri" w:cs="Calibri" w:eastAsia="Calibri" w:hAnsi="Calibri"/>
                <w:sz w:val="11"/>
                <w:szCs w:val="11"/>
                <w:color w:val="auto"/>
              </w:rPr>
              <w:t>(23)</w:t>
            </w:r>
          </w:p>
        </w:tc>
        <w:tc>
          <w:tcPr>
            <w:tcW w:w="26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Calibri" w:cs="Calibri" w:eastAsia="Calibri" w:hAnsi="Calibri"/>
                <w:sz w:val="11"/>
                <w:szCs w:val="11"/>
                <w:color w:val="auto"/>
              </w:rPr>
              <w:t>3.61</w:t>
            </w:r>
          </w:p>
        </w:tc>
      </w:tr>
      <w:tr>
        <w:trPr>
          <w:trHeight w:val="46"/>
        </w:trPr>
        <w:tc>
          <w:tcPr>
            <w:tcW w:w="474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151"/>
        </w:trPr>
        <w:tc>
          <w:tcPr>
            <w:tcW w:w="474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Unvested at October 31, 2022</w:t>
            </w:r>
          </w:p>
        </w:tc>
        <w:tc>
          <w:tcPr>
            <w:tcW w:w="4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208</w:t>
            </w:r>
          </w:p>
        </w:tc>
        <w:tc>
          <w:tcPr>
            <w:tcW w:w="2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8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3.61</w:t>
            </w:r>
          </w:p>
        </w:tc>
      </w:tr>
      <w:tr>
        <w:trPr>
          <w:trHeight w:val="20"/>
        </w:trPr>
        <w:tc>
          <w:tcPr>
            <w:tcW w:w="474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3"/>
          <w:szCs w:val="13"/>
          <w:b w:val="1"/>
          <w:bCs w:val="1"/>
          <w:i w:val="1"/>
          <w:iCs w:val="1"/>
          <w:color w:val="auto"/>
        </w:rPr>
        <w:t>Dividends</w:t>
      </w:r>
    </w:p>
    <w:p>
      <w:pPr>
        <w:spacing w:after="0" w:line="149"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If we do not comply with certain covenants under our credit facility, our ability to pay dividends in the future could be limited.</w:t>
      </w:r>
    </w:p>
    <w:p>
      <w:pPr>
        <w:spacing w:after="0" w:line="343" w:lineRule="exact"/>
        <w:rPr>
          <w:sz w:val="20"/>
          <w:szCs w:val="20"/>
          <w:color w:val="auto"/>
        </w:rPr>
      </w:pPr>
    </w:p>
    <w:p>
      <w:pPr>
        <w:ind w:left="380" w:hanging="375"/>
        <w:spacing w:after="0"/>
        <w:tabs>
          <w:tab w:leader="none" w:pos="380" w:val="left"/>
        </w:tabs>
        <w:numPr>
          <w:ilvl w:val="0"/>
          <w:numId w:val="27"/>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Fair Value Measurements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Financial assets and liabilites measured and recorded at fair value on a recurring basis included in the consolidated balance sheets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Calibri" w:cs="Calibri" w:eastAsia="Calibri" w:hAnsi="Calibri"/>
                <w:sz w:val="11"/>
                <w:szCs w:val="11"/>
                <w:b w:val="1"/>
                <w:bCs w:val="1"/>
                <w:color w:val="auto"/>
              </w:rPr>
              <w:t>October 31, 2022</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gridSpan w:val="2"/>
          </w:tcPr>
          <w:p>
            <w:pPr>
              <w:jc w:val="right"/>
              <w:spacing w:after="0"/>
              <w:rPr>
                <w:sz w:val="20"/>
                <w:szCs w:val="20"/>
                <w:color w:val="auto"/>
              </w:rPr>
            </w:pPr>
            <w:r>
              <w:rPr>
                <w:rFonts w:ascii="Calibri" w:cs="Calibri" w:eastAsia="Calibri" w:hAnsi="Calibri"/>
                <w:sz w:val="11"/>
                <w:szCs w:val="11"/>
                <w:b w:val="1"/>
                <w:bCs w:val="1"/>
                <w:color w:val="auto"/>
              </w:rPr>
              <w:t>October 31, 2021</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46"/>
        </w:trPr>
        <w:tc>
          <w:tcPr>
            <w:tcW w:w="20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25"/>
        </w:trPr>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jc w:val="right"/>
              <w:ind w:right="23"/>
              <w:spacing w:after="0" w:line="126" w:lineRule="exact"/>
              <w:rPr>
                <w:sz w:val="20"/>
                <w:szCs w:val="20"/>
                <w:color w:val="auto"/>
              </w:rPr>
            </w:pPr>
            <w:r>
              <w:rPr>
                <w:rFonts w:ascii="Calibri" w:cs="Calibri" w:eastAsia="Calibri" w:hAnsi="Calibri"/>
                <w:sz w:val="11"/>
                <w:szCs w:val="11"/>
                <w:b w:val="1"/>
                <w:bCs w:val="1"/>
                <w:color w:val="auto"/>
              </w:rPr>
              <w:t>Signifcant</w:t>
            </w: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jc w:val="right"/>
              <w:ind w:right="23"/>
              <w:spacing w:after="0" w:line="126" w:lineRule="exact"/>
              <w:rPr>
                <w:sz w:val="20"/>
                <w:szCs w:val="20"/>
                <w:color w:val="auto"/>
              </w:rPr>
            </w:pPr>
            <w:r>
              <w:rPr>
                <w:rFonts w:ascii="Calibri" w:cs="Calibri" w:eastAsia="Calibri" w:hAnsi="Calibri"/>
                <w:sz w:val="11"/>
                <w:szCs w:val="11"/>
                <w:b w:val="1"/>
                <w:bCs w:val="1"/>
                <w:color w:val="auto"/>
              </w:rPr>
              <w:t>Signifcant</w:t>
            </w: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7"/>
        </w:trPr>
        <w:tc>
          <w:tcPr>
            <w:tcW w:w="2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Quoted Prices</w:t>
            </w:r>
          </w:p>
        </w:tc>
        <w:tc>
          <w:tcPr>
            <w:tcW w:w="620" w:type="dxa"/>
            <w:vAlign w:val="bottom"/>
          </w:tcPr>
          <w:p>
            <w:pPr>
              <w:spacing w:after="0"/>
              <w:rPr>
                <w:sz w:val="11"/>
                <w:szCs w:val="11"/>
                <w:color w:val="auto"/>
              </w:rPr>
            </w:pPr>
          </w:p>
        </w:tc>
        <w:tc>
          <w:tcPr>
            <w:tcW w:w="6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Other</w:t>
            </w:r>
          </w:p>
        </w:tc>
        <w:tc>
          <w:tcPr>
            <w:tcW w:w="34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Calibri" w:cs="Calibri" w:eastAsia="Calibri" w:hAnsi="Calibri"/>
                <w:sz w:val="11"/>
                <w:szCs w:val="11"/>
                <w:b w:val="1"/>
                <w:bCs w:val="1"/>
                <w:color w:val="auto"/>
              </w:rPr>
              <w:t>Signifcant</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Quoted Prices</w:t>
            </w:r>
          </w:p>
        </w:tc>
        <w:tc>
          <w:tcPr>
            <w:tcW w:w="620" w:type="dxa"/>
            <w:vAlign w:val="bottom"/>
          </w:tcPr>
          <w:p>
            <w:pPr>
              <w:spacing w:after="0"/>
              <w:rPr>
                <w:sz w:val="11"/>
                <w:szCs w:val="11"/>
                <w:color w:val="auto"/>
              </w:rPr>
            </w:pPr>
          </w:p>
        </w:tc>
        <w:tc>
          <w:tcPr>
            <w:tcW w:w="6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Other</w:t>
            </w:r>
          </w:p>
        </w:tc>
        <w:tc>
          <w:tcPr>
            <w:tcW w:w="3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alibri" w:cs="Calibri" w:eastAsia="Calibri" w:hAnsi="Calibri"/>
                <w:sz w:val="11"/>
                <w:szCs w:val="11"/>
                <w:b w:val="1"/>
                <w:bCs w:val="1"/>
                <w:color w:val="auto"/>
              </w:rPr>
              <w:t>Signifcant</w:t>
            </w:r>
          </w:p>
        </w:tc>
      </w:tr>
      <w:tr>
        <w:trPr>
          <w:trHeight w:val="138"/>
        </w:trPr>
        <w:tc>
          <w:tcPr>
            <w:tcW w:w="2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in Actve</w:t>
            </w:r>
          </w:p>
        </w:tc>
        <w:tc>
          <w:tcPr>
            <w:tcW w:w="620" w:type="dxa"/>
            <w:vAlign w:val="bottom"/>
          </w:tcPr>
          <w:p>
            <w:pPr>
              <w:spacing w:after="0"/>
              <w:rPr>
                <w:sz w:val="11"/>
                <w:szCs w:val="11"/>
                <w:color w:val="auto"/>
              </w:rPr>
            </w:pPr>
          </w:p>
        </w:tc>
        <w:tc>
          <w:tcPr>
            <w:tcW w:w="620" w:type="dxa"/>
            <w:vAlign w:val="bottom"/>
          </w:tcPr>
          <w:p>
            <w:pPr>
              <w:jc w:val="right"/>
              <w:ind w:right="23"/>
              <w:spacing w:after="0"/>
              <w:rPr>
                <w:sz w:val="20"/>
                <w:szCs w:val="20"/>
                <w:color w:val="auto"/>
              </w:rPr>
            </w:pPr>
            <w:r>
              <w:rPr>
                <w:rFonts w:ascii="Calibri" w:cs="Calibri" w:eastAsia="Calibri" w:hAnsi="Calibri"/>
                <w:sz w:val="11"/>
                <w:szCs w:val="11"/>
                <w:b w:val="1"/>
                <w:bCs w:val="1"/>
                <w:color w:val="auto"/>
                <w:w w:val="99"/>
              </w:rPr>
              <w:t>Observable</w:t>
            </w:r>
          </w:p>
        </w:tc>
        <w:tc>
          <w:tcPr>
            <w:tcW w:w="34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Calibri" w:cs="Calibri" w:eastAsia="Calibri" w:hAnsi="Calibri"/>
                <w:sz w:val="11"/>
                <w:szCs w:val="11"/>
                <w:b w:val="1"/>
                <w:bCs w:val="1"/>
                <w:color w:val="auto"/>
              </w:rPr>
              <w:t>Unobservable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in Actve</w:t>
            </w:r>
          </w:p>
        </w:tc>
        <w:tc>
          <w:tcPr>
            <w:tcW w:w="620" w:type="dxa"/>
            <w:vAlign w:val="bottom"/>
          </w:tcPr>
          <w:p>
            <w:pPr>
              <w:spacing w:after="0"/>
              <w:rPr>
                <w:sz w:val="11"/>
                <w:szCs w:val="11"/>
                <w:color w:val="auto"/>
              </w:rPr>
            </w:pPr>
          </w:p>
        </w:tc>
        <w:tc>
          <w:tcPr>
            <w:tcW w:w="620" w:type="dxa"/>
            <w:vAlign w:val="bottom"/>
          </w:tcPr>
          <w:p>
            <w:pPr>
              <w:jc w:val="right"/>
              <w:ind w:right="23"/>
              <w:spacing w:after="0"/>
              <w:rPr>
                <w:sz w:val="20"/>
                <w:szCs w:val="20"/>
                <w:color w:val="auto"/>
              </w:rPr>
            </w:pPr>
            <w:r>
              <w:rPr>
                <w:rFonts w:ascii="Calibri" w:cs="Calibri" w:eastAsia="Calibri" w:hAnsi="Calibri"/>
                <w:sz w:val="11"/>
                <w:szCs w:val="11"/>
                <w:b w:val="1"/>
                <w:bCs w:val="1"/>
                <w:color w:val="auto"/>
                <w:w w:val="99"/>
              </w:rPr>
              <w:t>Observable</w:t>
            </w:r>
          </w:p>
        </w:tc>
        <w:tc>
          <w:tcPr>
            <w:tcW w:w="3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Calibri" w:cs="Calibri" w:eastAsia="Calibri" w:hAnsi="Calibri"/>
                <w:sz w:val="11"/>
                <w:szCs w:val="11"/>
                <w:b w:val="1"/>
                <w:bCs w:val="1"/>
                <w:color w:val="auto"/>
              </w:rPr>
              <w:t>Unobservable</w:t>
            </w:r>
          </w:p>
        </w:tc>
      </w:tr>
      <w:tr>
        <w:trPr>
          <w:trHeight w:val="130"/>
        </w:trPr>
        <w:tc>
          <w:tcPr>
            <w:tcW w:w="2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jc w:val="right"/>
              <w:ind w:right="23"/>
              <w:spacing w:after="0" w:line="131" w:lineRule="exact"/>
              <w:rPr>
                <w:sz w:val="20"/>
                <w:szCs w:val="20"/>
                <w:color w:val="auto"/>
              </w:rPr>
            </w:pPr>
            <w:r>
              <w:rPr>
                <w:rFonts w:ascii="Calibri" w:cs="Calibri" w:eastAsia="Calibri" w:hAnsi="Calibri"/>
                <w:sz w:val="11"/>
                <w:szCs w:val="11"/>
                <w:b w:val="1"/>
                <w:bCs w:val="1"/>
                <w:color w:val="auto"/>
              </w:rPr>
              <w:t>Markets</w:t>
            </w:r>
          </w:p>
        </w:tc>
        <w:tc>
          <w:tcPr>
            <w:tcW w:w="620" w:type="dxa"/>
            <w:vAlign w:val="bottom"/>
          </w:tcPr>
          <w:p>
            <w:pPr>
              <w:spacing w:after="0"/>
              <w:rPr>
                <w:sz w:val="11"/>
                <w:szCs w:val="11"/>
                <w:color w:val="auto"/>
              </w:rPr>
            </w:pPr>
          </w:p>
        </w:tc>
        <w:tc>
          <w:tcPr>
            <w:tcW w:w="620" w:type="dxa"/>
            <w:vAlign w:val="bottom"/>
          </w:tcPr>
          <w:p>
            <w:pPr>
              <w:jc w:val="right"/>
              <w:ind w:right="23"/>
              <w:spacing w:after="0" w:line="131" w:lineRule="exact"/>
              <w:rPr>
                <w:sz w:val="20"/>
                <w:szCs w:val="20"/>
                <w:color w:val="auto"/>
              </w:rPr>
            </w:pPr>
            <w:r>
              <w:rPr>
                <w:rFonts w:ascii="Calibri" w:cs="Calibri" w:eastAsia="Calibri" w:hAnsi="Calibri"/>
                <w:sz w:val="11"/>
                <w:szCs w:val="11"/>
                <w:b w:val="1"/>
                <w:bCs w:val="1"/>
                <w:color w:val="auto"/>
              </w:rPr>
              <w:t>Inputs</w:t>
            </w:r>
          </w:p>
        </w:tc>
        <w:tc>
          <w:tcPr>
            <w:tcW w:w="340" w:type="dxa"/>
            <w:vAlign w:val="bottom"/>
          </w:tcPr>
          <w:p>
            <w:pPr>
              <w:spacing w:after="0"/>
              <w:rPr>
                <w:sz w:val="11"/>
                <w:szCs w:val="11"/>
                <w:color w:val="auto"/>
              </w:rPr>
            </w:pPr>
          </w:p>
        </w:tc>
        <w:tc>
          <w:tcPr>
            <w:tcW w:w="1120" w:type="dxa"/>
            <w:vAlign w:val="bottom"/>
            <w:gridSpan w:val="2"/>
          </w:tcPr>
          <w:p>
            <w:pPr>
              <w:jc w:val="right"/>
              <w:ind w:right="260"/>
              <w:spacing w:after="0" w:line="131" w:lineRule="exact"/>
              <w:rPr>
                <w:sz w:val="20"/>
                <w:szCs w:val="20"/>
                <w:color w:val="auto"/>
              </w:rPr>
            </w:pPr>
            <w:r>
              <w:rPr>
                <w:rFonts w:ascii="Calibri" w:cs="Calibri" w:eastAsia="Calibri" w:hAnsi="Calibri"/>
                <w:sz w:val="11"/>
                <w:szCs w:val="11"/>
                <w:b w:val="1"/>
                <w:bCs w:val="1"/>
                <w:color w:val="auto"/>
              </w:rPr>
              <w:t>Inputs</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63"/>
              <w:spacing w:after="0" w:line="131" w:lineRule="exact"/>
              <w:rPr>
                <w:sz w:val="20"/>
                <w:szCs w:val="20"/>
                <w:color w:val="auto"/>
              </w:rPr>
            </w:pPr>
            <w:r>
              <w:rPr>
                <w:rFonts w:ascii="Calibri" w:cs="Calibri" w:eastAsia="Calibri" w:hAnsi="Calibri"/>
                <w:sz w:val="11"/>
                <w:szCs w:val="11"/>
                <w:b w:val="1"/>
                <w:bCs w:val="1"/>
                <w:color w:val="auto"/>
              </w:rPr>
              <w:t>Markets</w:t>
            </w:r>
          </w:p>
        </w:tc>
        <w:tc>
          <w:tcPr>
            <w:tcW w:w="620" w:type="dxa"/>
            <w:vAlign w:val="bottom"/>
          </w:tcPr>
          <w:p>
            <w:pPr>
              <w:spacing w:after="0"/>
              <w:rPr>
                <w:sz w:val="11"/>
                <w:szCs w:val="11"/>
                <w:color w:val="auto"/>
              </w:rPr>
            </w:pPr>
          </w:p>
        </w:tc>
        <w:tc>
          <w:tcPr>
            <w:tcW w:w="620" w:type="dxa"/>
            <w:vAlign w:val="bottom"/>
          </w:tcPr>
          <w:p>
            <w:pPr>
              <w:jc w:val="right"/>
              <w:ind w:right="23"/>
              <w:spacing w:after="0" w:line="131" w:lineRule="exact"/>
              <w:rPr>
                <w:sz w:val="20"/>
                <w:szCs w:val="20"/>
                <w:color w:val="auto"/>
              </w:rPr>
            </w:pPr>
            <w:r>
              <w:rPr>
                <w:rFonts w:ascii="Calibri" w:cs="Calibri" w:eastAsia="Calibri" w:hAnsi="Calibri"/>
                <w:sz w:val="11"/>
                <w:szCs w:val="11"/>
                <w:b w:val="1"/>
                <w:bCs w:val="1"/>
                <w:color w:val="auto"/>
              </w:rPr>
              <w:t>Inputs</w:t>
            </w:r>
          </w:p>
        </w:tc>
        <w:tc>
          <w:tcPr>
            <w:tcW w:w="34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Calibri" w:cs="Calibri" w:eastAsia="Calibri" w:hAnsi="Calibri"/>
                <w:sz w:val="11"/>
                <w:szCs w:val="11"/>
                <w:b w:val="1"/>
                <w:bCs w:val="1"/>
                <w:color w:val="auto"/>
              </w:rPr>
              <w:t>Inputs</w:t>
            </w:r>
          </w:p>
        </w:tc>
      </w:tr>
      <w:tr>
        <w:trPr>
          <w:trHeight w:val="145"/>
        </w:trPr>
        <w:tc>
          <w:tcPr>
            <w:tcW w:w="2060" w:type="dxa"/>
            <w:vAlign w:val="bottom"/>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280" w:type="dxa"/>
            <w:vAlign w:val="bottom"/>
          </w:tcPr>
          <w:p>
            <w:pPr>
              <w:spacing w:after="0"/>
              <w:rPr>
                <w:sz w:val="12"/>
                <w:szCs w:val="12"/>
                <w:color w:val="auto"/>
              </w:rPr>
            </w:pPr>
          </w:p>
        </w:tc>
        <w:tc>
          <w:tcPr>
            <w:tcW w:w="50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Total</w:t>
            </w:r>
          </w:p>
        </w:tc>
        <w:tc>
          <w:tcPr>
            <w:tcW w:w="320" w:type="dxa"/>
            <w:vAlign w:val="bottom"/>
          </w:tcPr>
          <w:p>
            <w:pPr>
              <w:spacing w:after="0"/>
              <w:rPr>
                <w:sz w:val="12"/>
                <w:szCs w:val="12"/>
                <w:color w:val="auto"/>
              </w:rPr>
            </w:pPr>
          </w:p>
        </w:tc>
        <w:tc>
          <w:tcPr>
            <w:tcW w:w="9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(Level 1)</w:t>
            </w:r>
          </w:p>
        </w:tc>
        <w:tc>
          <w:tcPr>
            <w:tcW w:w="620" w:type="dxa"/>
            <w:vAlign w:val="bottom"/>
          </w:tcPr>
          <w:p>
            <w:pPr>
              <w:spacing w:after="0"/>
              <w:rPr>
                <w:sz w:val="12"/>
                <w:szCs w:val="12"/>
                <w:color w:val="auto"/>
              </w:rPr>
            </w:pPr>
          </w:p>
        </w:tc>
        <w:tc>
          <w:tcPr>
            <w:tcW w:w="6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(Level 2)</w:t>
            </w:r>
          </w:p>
        </w:tc>
        <w:tc>
          <w:tcPr>
            <w:tcW w:w="34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Calibri" w:cs="Calibri" w:eastAsia="Calibri" w:hAnsi="Calibri"/>
                <w:sz w:val="11"/>
                <w:szCs w:val="11"/>
                <w:b w:val="1"/>
                <w:bCs w:val="1"/>
                <w:color w:val="auto"/>
              </w:rPr>
              <w:t>(Level 3)</w:t>
            </w:r>
          </w:p>
        </w:tc>
        <w:tc>
          <w:tcPr>
            <w:tcW w:w="260" w:type="dxa"/>
            <w:vAlign w:val="bottom"/>
          </w:tcPr>
          <w:p>
            <w:pPr>
              <w:spacing w:after="0"/>
              <w:rPr>
                <w:sz w:val="12"/>
                <w:szCs w:val="12"/>
                <w:color w:val="auto"/>
              </w:rPr>
            </w:pPr>
          </w:p>
        </w:tc>
        <w:tc>
          <w:tcPr>
            <w:tcW w:w="5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Total</w:t>
            </w:r>
          </w:p>
        </w:tc>
        <w:tc>
          <w:tcPr>
            <w:tcW w:w="320" w:type="dxa"/>
            <w:vAlign w:val="bottom"/>
          </w:tcPr>
          <w:p>
            <w:pPr>
              <w:spacing w:after="0"/>
              <w:rPr>
                <w:sz w:val="12"/>
                <w:szCs w:val="12"/>
                <w:color w:val="auto"/>
              </w:rPr>
            </w:pPr>
          </w:p>
        </w:tc>
        <w:tc>
          <w:tcPr>
            <w:tcW w:w="94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(Level 1)</w:t>
            </w:r>
          </w:p>
        </w:tc>
        <w:tc>
          <w:tcPr>
            <w:tcW w:w="620" w:type="dxa"/>
            <w:vAlign w:val="bottom"/>
          </w:tcPr>
          <w:p>
            <w:pPr>
              <w:spacing w:after="0"/>
              <w:rPr>
                <w:sz w:val="12"/>
                <w:szCs w:val="12"/>
                <w:color w:val="auto"/>
              </w:rPr>
            </w:pPr>
          </w:p>
        </w:tc>
        <w:tc>
          <w:tcPr>
            <w:tcW w:w="620" w:type="dxa"/>
            <w:vAlign w:val="bottom"/>
          </w:tcPr>
          <w:p>
            <w:pPr>
              <w:jc w:val="right"/>
              <w:ind w:right="23"/>
              <w:spacing w:after="0"/>
              <w:rPr>
                <w:sz w:val="20"/>
                <w:szCs w:val="20"/>
                <w:color w:val="auto"/>
              </w:rPr>
            </w:pPr>
            <w:r>
              <w:rPr>
                <w:rFonts w:ascii="Calibri" w:cs="Calibri" w:eastAsia="Calibri" w:hAnsi="Calibri"/>
                <w:sz w:val="11"/>
                <w:szCs w:val="11"/>
                <w:b w:val="1"/>
                <w:bCs w:val="1"/>
                <w:color w:val="auto"/>
              </w:rPr>
              <w:t>(Level 2)</w:t>
            </w:r>
          </w:p>
        </w:tc>
        <w:tc>
          <w:tcPr>
            <w:tcW w:w="3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Calibri" w:cs="Calibri" w:eastAsia="Calibri" w:hAnsi="Calibri"/>
                <w:sz w:val="11"/>
                <w:szCs w:val="11"/>
                <w:b w:val="1"/>
                <w:bCs w:val="1"/>
                <w:color w:val="auto"/>
              </w:rPr>
              <w:t>(Level 3)</w:t>
            </w:r>
          </w:p>
        </w:tc>
      </w:tr>
      <w:tr>
        <w:trPr>
          <w:trHeight w:val="36"/>
        </w:trPr>
        <w:tc>
          <w:tcPr>
            <w:tcW w:w="2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51"/>
        </w:trPr>
        <w:tc>
          <w:tcPr>
            <w:tcW w:w="20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b w:val="1"/>
                <w:bCs w:val="1"/>
                <w:color w:val="auto"/>
              </w:rPr>
              <w:t>Assets</w:t>
            </w:r>
          </w:p>
        </w:tc>
        <w:tc>
          <w:tcPr>
            <w:tcW w:w="280" w:type="dxa"/>
            <w:vAlign w:val="bottom"/>
            <w:tcBorders>
              <w:bottom w:val="single" w:sz="8" w:color="DBDBDB"/>
            </w:tcBorders>
            <w:shd w:val="clear" w:color="auto" w:fill="DBDBDB"/>
          </w:tcPr>
          <w:p>
            <w:pPr>
              <w:spacing w:after="0"/>
              <w:rPr>
                <w:sz w:val="13"/>
                <w:szCs w:val="13"/>
                <w:color w:val="auto"/>
              </w:rPr>
            </w:pPr>
          </w:p>
        </w:tc>
        <w:tc>
          <w:tcPr>
            <w:tcW w:w="50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spacing w:after="0"/>
              <w:rPr>
                <w:sz w:val="13"/>
                <w:szCs w:val="13"/>
                <w:color w:val="auto"/>
              </w:rPr>
            </w:pPr>
          </w:p>
        </w:tc>
        <w:tc>
          <w:tcPr>
            <w:tcW w:w="34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spacing w:after="0"/>
              <w:rPr>
                <w:sz w:val="13"/>
                <w:szCs w:val="13"/>
                <w:color w:val="auto"/>
              </w:rPr>
            </w:pPr>
          </w:p>
        </w:tc>
        <w:tc>
          <w:tcPr>
            <w:tcW w:w="24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DBDBDB"/>
            </w:tcBorders>
            <w:shd w:val="clear" w:color="auto" w:fill="DBDBDB"/>
          </w:tcPr>
          <w:p>
            <w:pPr>
              <w:spacing w:after="0"/>
              <w:rPr>
                <w:sz w:val="13"/>
                <w:szCs w:val="13"/>
                <w:color w:val="auto"/>
              </w:rPr>
            </w:pPr>
          </w:p>
        </w:tc>
        <w:tc>
          <w:tcPr>
            <w:tcW w:w="52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spacing w:after="0"/>
              <w:rPr>
                <w:sz w:val="13"/>
                <w:szCs w:val="13"/>
                <w:color w:val="auto"/>
              </w:rPr>
            </w:pPr>
          </w:p>
        </w:tc>
        <w:tc>
          <w:tcPr>
            <w:tcW w:w="34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spacing w:after="0"/>
              <w:rPr>
                <w:sz w:val="13"/>
                <w:szCs w:val="13"/>
                <w:color w:val="auto"/>
              </w:rPr>
            </w:pPr>
          </w:p>
        </w:tc>
      </w:tr>
      <w:tr>
        <w:trPr>
          <w:trHeight w:val="135"/>
        </w:trPr>
        <w:tc>
          <w:tcPr>
            <w:tcW w:w="2060" w:type="dxa"/>
            <w:vAlign w:val="bottom"/>
          </w:tcPr>
          <w:p>
            <w:pPr>
              <w:ind w:left="100"/>
              <w:spacing w:after="0"/>
              <w:rPr>
                <w:sz w:val="20"/>
                <w:szCs w:val="20"/>
                <w:color w:val="auto"/>
              </w:rPr>
            </w:pPr>
            <w:r>
              <w:rPr>
                <w:rFonts w:ascii="Calibri" w:cs="Calibri" w:eastAsia="Calibri" w:hAnsi="Calibri"/>
                <w:sz w:val="11"/>
                <w:szCs w:val="11"/>
                <w:color w:val="auto"/>
              </w:rPr>
              <w:t>Mutual funds</w:t>
            </w:r>
          </w:p>
        </w:tc>
        <w:tc>
          <w:tcPr>
            <w:tcW w:w="280" w:type="dxa"/>
            <w:vAlign w:val="bottom"/>
          </w:tcPr>
          <w:p>
            <w:pPr>
              <w:jc w:val="right"/>
              <w:ind w:right="143"/>
              <w:spacing w:after="0"/>
              <w:rPr>
                <w:sz w:val="20"/>
                <w:szCs w:val="20"/>
                <w:color w:val="auto"/>
              </w:rPr>
            </w:pPr>
            <w:r>
              <w:rPr>
                <w:rFonts w:ascii="Calibri" w:cs="Calibri" w:eastAsia="Calibri" w:hAnsi="Calibri"/>
                <w:sz w:val="11"/>
                <w:szCs w:val="11"/>
                <w:color w:val="auto"/>
              </w:rPr>
              <w:t>$</w:t>
            </w:r>
          </w:p>
        </w:tc>
        <w:tc>
          <w:tcPr>
            <w:tcW w:w="500" w:type="dxa"/>
            <w:vAlign w:val="bottom"/>
          </w:tcPr>
          <w:p>
            <w:pPr>
              <w:jc w:val="right"/>
              <w:ind w:right="63"/>
              <w:spacing w:after="0"/>
              <w:rPr>
                <w:sz w:val="20"/>
                <w:szCs w:val="20"/>
                <w:color w:val="auto"/>
              </w:rPr>
            </w:pPr>
            <w:r>
              <w:rPr>
                <w:rFonts w:ascii="Calibri" w:cs="Calibri" w:eastAsia="Calibri" w:hAnsi="Calibri"/>
                <w:sz w:val="11"/>
                <w:szCs w:val="11"/>
                <w:color w:val="auto"/>
              </w:rPr>
              <w:t>1.2</w:t>
            </w:r>
          </w:p>
        </w:tc>
        <w:tc>
          <w:tcPr>
            <w:tcW w:w="32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920" w:type="dxa"/>
            <w:vAlign w:val="bottom"/>
          </w:tcPr>
          <w:p>
            <w:pPr>
              <w:jc w:val="right"/>
              <w:ind w:right="63"/>
              <w:spacing w:after="0"/>
              <w:rPr>
                <w:sz w:val="20"/>
                <w:szCs w:val="20"/>
                <w:color w:val="auto"/>
              </w:rPr>
            </w:pPr>
            <w:r>
              <w:rPr>
                <w:rFonts w:ascii="Calibri" w:cs="Calibri" w:eastAsia="Calibri" w:hAnsi="Calibri"/>
                <w:sz w:val="11"/>
                <w:szCs w:val="11"/>
                <w:color w:val="auto"/>
              </w:rPr>
              <w:t>1.2</w:t>
            </w:r>
          </w:p>
        </w:tc>
        <w:tc>
          <w:tcPr>
            <w:tcW w:w="620" w:type="dxa"/>
            <w:vAlign w:val="bottom"/>
          </w:tcPr>
          <w:p>
            <w:pPr>
              <w:jc w:val="right"/>
              <w:ind w:right="423"/>
              <w:spacing w:after="0"/>
              <w:rPr>
                <w:sz w:val="20"/>
                <w:szCs w:val="20"/>
                <w:color w:val="auto"/>
              </w:rPr>
            </w:pPr>
            <w:r>
              <w:rPr>
                <w:rFonts w:ascii="Calibri" w:cs="Calibri" w:eastAsia="Calibri" w:hAnsi="Calibri"/>
                <w:sz w:val="11"/>
                <w:szCs w:val="11"/>
                <w:color w:val="auto"/>
              </w:rPr>
              <w:t>$</w:t>
            </w:r>
          </w:p>
        </w:tc>
        <w:tc>
          <w:tcPr>
            <w:tcW w:w="62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340" w:type="dxa"/>
            <w:vAlign w:val="bottom"/>
          </w:tcPr>
          <w:p>
            <w:pPr>
              <w:jc w:val="right"/>
              <w:ind w:right="143"/>
              <w:spacing w:after="0"/>
              <w:rPr>
                <w:sz w:val="20"/>
                <w:szCs w:val="20"/>
                <w:color w:val="auto"/>
              </w:rPr>
            </w:pPr>
            <w:r>
              <w:rPr>
                <w:rFonts w:ascii="Calibri" w:cs="Calibri" w:eastAsia="Calibri" w:hAnsi="Calibri"/>
                <w:sz w:val="11"/>
                <w:szCs w:val="11"/>
                <w:color w:val="auto"/>
              </w:rPr>
              <w:t>$</w:t>
            </w:r>
          </w:p>
        </w:tc>
        <w:tc>
          <w:tcPr>
            <w:tcW w:w="1120" w:type="dxa"/>
            <w:vAlign w:val="bottom"/>
            <w:gridSpan w:val="2"/>
          </w:tcPr>
          <w:p>
            <w:pPr>
              <w:ind w:left="740"/>
              <w:spacing w:after="0"/>
              <w:rPr>
                <w:sz w:val="20"/>
                <w:szCs w:val="20"/>
                <w:color w:val="auto"/>
              </w:rPr>
            </w:pPr>
            <w:r>
              <w:rPr>
                <w:rFonts w:ascii="Calibri" w:cs="Calibri" w:eastAsia="Calibri" w:hAnsi="Calibri"/>
                <w:sz w:val="11"/>
                <w:szCs w:val="11"/>
                <w:color w:val="auto"/>
              </w:rPr>
              <w:t>—</w:t>
            </w:r>
          </w:p>
        </w:tc>
        <w:tc>
          <w:tcPr>
            <w:tcW w:w="260" w:type="dxa"/>
            <w:vAlign w:val="bottom"/>
          </w:tcPr>
          <w:p>
            <w:pPr>
              <w:jc w:val="right"/>
              <w:ind w:right="143"/>
              <w:spacing w:after="0"/>
              <w:rPr>
                <w:sz w:val="20"/>
                <w:szCs w:val="20"/>
                <w:color w:val="auto"/>
              </w:rPr>
            </w:pPr>
            <w:r>
              <w:rPr>
                <w:rFonts w:ascii="Calibri" w:cs="Calibri" w:eastAsia="Calibri" w:hAnsi="Calibri"/>
                <w:sz w:val="11"/>
                <w:szCs w:val="11"/>
                <w:color w:val="auto"/>
                <w:w w:val="70"/>
              </w:rPr>
              <w:t>$</w:t>
            </w:r>
          </w:p>
        </w:tc>
        <w:tc>
          <w:tcPr>
            <w:tcW w:w="520" w:type="dxa"/>
            <w:vAlign w:val="bottom"/>
          </w:tcPr>
          <w:p>
            <w:pPr>
              <w:jc w:val="right"/>
              <w:ind w:right="63"/>
              <w:spacing w:after="0"/>
              <w:rPr>
                <w:sz w:val="20"/>
                <w:szCs w:val="20"/>
                <w:color w:val="auto"/>
              </w:rPr>
            </w:pPr>
            <w:r>
              <w:rPr>
                <w:rFonts w:ascii="Calibri" w:cs="Calibri" w:eastAsia="Calibri" w:hAnsi="Calibri"/>
                <w:sz w:val="11"/>
                <w:szCs w:val="11"/>
                <w:color w:val="auto"/>
              </w:rPr>
              <w:t>1.2</w:t>
            </w:r>
          </w:p>
        </w:tc>
        <w:tc>
          <w:tcPr>
            <w:tcW w:w="32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940" w:type="dxa"/>
            <w:vAlign w:val="bottom"/>
          </w:tcPr>
          <w:p>
            <w:pPr>
              <w:jc w:val="right"/>
              <w:ind w:right="63"/>
              <w:spacing w:after="0"/>
              <w:rPr>
                <w:sz w:val="20"/>
                <w:szCs w:val="20"/>
                <w:color w:val="auto"/>
              </w:rPr>
            </w:pPr>
            <w:r>
              <w:rPr>
                <w:rFonts w:ascii="Calibri" w:cs="Calibri" w:eastAsia="Calibri" w:hAnsi="Calibri"/>
                <w:sz w:val="11"/>
                <w:szCs w:val="11"/>
                <w:color w:val="auto"/>
              </w:rPr>
              <w:t>1.2</w:t>
            </w:r>
          </w:p>
        </w:tc>
        <w:tc>
          <w:tcPr>
            <w:tcW w:w="620" w:type="dxa"/>
            <w:vAlign w:val="bottom"/>
          </w:tcPr>
          <w:p>
            <w:pPr>
              <w:jc w:val="right"/>
              <w:ind w:right="443"/>
              <w:spacing w:after="0"/>
              <w:rPr>
                <w:sz w:val="20"/>
                <w:szCs w:val="20"/>
                <w:color w:val="auto"/>
              </w:rPr>
            </w:pPr>
            <w:r>
              <w:rPr>
                <w:rFonts w:ascii="Calibri" w:cs="Calibri" w:eastAsia="Calibri" w:hAnsi="Calibri"/>
                <w:sz w:val="11"/>
                <w:szCs w:val="11"/>
                <w:color w:val="auto"/>
              </w:rPr>
              <w:t>$</w:t>
            </w:r>
          </w:p>
        </w:tc>
        <w:tc>
          <w:tcPr>
            <w:tcW w:w="620" w:type="dxa"/>
            <w:vAlign w:val="bottom"/>
          </w:tcPr>
          <w:p>
            <w:pPr>
              <w:jc w:val="right"/>
              <w:ind w:right="43"/>
              <w:spacing w:after="0"/>
              <w:rPr>
                <w:sz w:val="20"/>
                <w:szCs w:val="20"/>
                <w:color w:val="auto"/>
              </w:rPr>
            </w:pPr>
            <w:r>
              <w:rPr>
                <w:rFonts w:ascii="Calibri" w:cs="Calibri" w:eastAsia="Calibri" w:hAnsi="Calibri"/>
                <w:sz w:val="11"/>
                <w:szCs w:val="11"/>
                <w:color w:val="auto"/>
              </w:rPr>
              <w:t>—</w:t>
            </w:r>
          </w:p>
        </w:tc>
        <w:tc>
          <w:tcPr>
            <w:tcW w:w="340" w:type="dxa"/>
            <w:vAlign w:val="bottom"/>
          </w:tcPr>
          <w:p>
            <w:pPr>
              <w:jc w:val="right"/>
              <w:ind w:right="143"/>
              <w:spacing w:after="0"/>
              <w:rPr>
                <w:sz w:val="20"/>
                <w:szCs w:val="20"/>
                <w:color w:val="auto"/>
              </w:rPr>
            </w:pPr>
            <w:r>
              <w:rPr>
                <w:rFonts w:ascii="Calibri" w:cs="Calibri" w:eastAsia="Calibri" w:hAnsi="Calibri"/>
                <w:sz w:val="11"/>
                <w:szCs w:val="11"/>
                <w:color w:val="auto"/>
              </w:rPr>
              <w:t>$</w:t>
            </w:r>
          </w:p>
        </w:tc>
        <w:tc>
          <w:tcPr>
            <w:tcW w:w="88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2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60"/>
        </w:trPr>
        <w:tc>
          <w:tcPr>
            <w:tcW w:w="2060" w:type="dxa"/>
            <w:vAlign w:val="bottom"/>
            <w:tcBorders>
              <w:bottom w:val="single" w:sz="8" w:color="DBDBDB"/>
            </w:tcBorders>
            <w:shd w:val="clear" w:color="auto" w:fill="DBDBDB"/>
          </w:tcPr>
          <w:p>
            <w:pPr>
              <w:ind w:left="100"/>
              <w:spacing w:after="0"/>
              <w:rPr>
                <w:sz w:val="20"/>
                <w:szCs w:val="20"/>
                <w:color w:val="auto"/>
              </w:rPr>
            </w:pPr>
            <w:r>
              <w:rPr>
                <w:rFonts w:ascii="Calibri" w:cs="Calibri" w:eastAsia="Calibri" w:hAnsi="Calibri"/>
                <w:sz w:val="11"/>
                <w:szCs w:val="11"/>
                <w:color w:val="auto"/>
              </w:rPr>
              <w:t>Interest rate swap</w:t>
            </w:r>
          </w:p>
        </w:tc>
        <w:tc>
          <w:tcPr>
            <w:tcW w:w="280" w:type="dxa"/>
            <w:vAlign w:val="bottom"/>
            <w:tcBorders>
              <w:bottom w:val="single" w:sz="8" w:color="DBDBDB"/>
            </w:tcBorders>
            <w:shd w:val="clear" w:color="auto" w:fill="DBDBDB"/>
          </w:tcPr>
          <w:p>
            <w:pPr>
              <w:spacing w:after="0"/>
              <w:rPr>
                <w:sz w:val="13"/>
                <w:szCs w:val="13"/>
                <w:color w:val="auto"/>
              </w:rPr>
            </w:pPr>
          </w:p>
        </w:tc>
        <w:tc>
          <w:tcPr>
            <w:tcW w:w="50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2.6</w:t>
            </w:r>
          </w:p>
        </w:tc>
        <w:tc>
          <w:tcPr>
            <w:tcW w:w="32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43"/>
              <w:spacing w:after="0"/>
              <w:rPr>
                <w:sz w:val="20"/>
                <w:szCs w:val="20"/>
                <w:color w:val="auto"/>
              </w:rPr>
            </w:pPr>
            <w:r>
              <w:rPr>
                <w:rFonts w:ascii="Calibri" w:cs="Calibri" w:eastAsia="Calibri" w:hAnsi="Calibri"/>
                <w:sz w:val="11"/>
                <w:szCs w:val="11"/>
                <w:color w:val="auto"/>
              </w:rPr>
              <w:t>2.6</w:t>
            </w:r>
          </w:p>
        </w:tc>
        <w:tc>
          <w:tcPr>
            <w:tcW w:w="340" w:type="dxa"/>
            <w:vAlign w:val="bottom"/>
            <w:tcBorders>
              <w:bottom w:val="single" w:sz="8" w:color="DBDBDB"/>
            </w:tcBorders>
            <w:shd w:val="clear" w:color="auto" w:fill="DBDBDB"/>
          </w:tcPr>
          <w:p>
            <w:pPr>
              <w:spacing w:after="0"/>
              <w:rPr>
                <w:sz w:val="13"/>
                <w:szCs w:val="13"/>
                <w:color w:val="auto"/>
              </w:rPr>
            </w:pPr>
          </w:p>
        </w:tc>
        <w:tc>
          <w:tcPr>
            <w:tcW w:w="1120" w:type="dxa"/>
            <w:vAlign w:val="bottom"/>
            <w:tcBorders>
              <w:bottom w:val="single" w:sz="8" w:color="DBDBDB"/>
            </w:tcBorders>
            <w:gridSpan w:val="2"/>
            <w:shd w:val="clear" w:color="auto" w:fill="DBDBDB"/>
          </w:tcPr>
          <w:p>
            <w:pPr>
              <w:ind w:left="740"/>
              <w:spacing w:after="0"/>
              <w:rPr>
                <w:sz w:val="20"/>
                <w:szCs w:val="20"/>
                <w:color w:val="auto"/>
              </w:rPr>
            </w:pPr>
            <w:r>
              <w:rPr>
                <w:rFonts w:ascii="Calibri" w:cs="Calibri" w:eastAsia="Calibri" w:hAnsi="Calibri"/>
                <w:sz w:val="11"/>
                <w:szCs w:val="11"/>
                <w:color w:val="auto"/>
              </w:rPr>
              <w:t>—</w:t>
            </w:r>
          </w:p>
        </w:tc>
        <w:tc>
          <w:tcPr>
            <w:tcW w:w="260" w:type="dxa"/>
            <w:vAlign w:val="bottom"/>
            <w:tcBorders>
              <w:bottom w:val="single" w:sz="8" w:color="DBDBDB"/>
            </w:tcBorders>
            <w:shd w:val="clear" w:color="auto" w:fill="DBDBDB"/>
          </w:tcPr>
          <w:p>
            <w:pPr>
              <w:spacing w:after="0"/>
              <w:rPr>
                <w:sz w:val="13"/>
                <w:szCs w:val="13"/>
                <w:color w:val="auto"/>
              </w:rPr>
            </w:pPr>
          </w:p>
        </w:tc>
        <w:tc>
          <w:tcPr>
            <w:tcW w:w="52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3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43"/>
              <w:spacing w:after="0"/>
              <w:rPr>
                <w:sz w:val="20"/>
                <w:szCs w:val="20"/>
                <w:color w:val="auto"/>
              </w:rPr>
            </w:pPr>
            <w:r>
              <w:rPr>
                <w:rFonts w:ascii="Calibri" w:cs="Calibri" w:eastAsia="Calibri" w:hAnsi="Calibri"/>
                <w:sz w:val="11"/>
                <w:szCs w:val="11"/>
                <w:color w:val="auto"/>
              </w:rPr>
              <w:t>—</w:t>
            </w:r>
          </w:p>
        </w:tc>
        <w:tc>
          <w:tcPr>
            <w:tcW w:w="34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135"/>
        </w:trPr>
        <w:tc>
          <w:tcPr>
            <w:tcW w:w="2060" w:type="dxa"/>
            <w:vAlign w:val="bottom"/>
          </w:tcPr>
          <w:p>
            <w:pPr>
              <w:ind w:left="20"/>
              <w:spacing w:after="0"/>
              <w:rPr>
                <w:sz w:val="20"/>
                <w:szCs w:val="20"/>
                <w:color w:val="auto"/>
              </w:rPr>
            </w:pPr>
            <w:r>
              <w:rPr>
                <w:rFonts w:ascii="Calibri" w:cs="Calibri" w:eastAsia="Calibri" w:hAnsi="Calibri"/>
                <w:sz w:val="11"/>
                <w:szCs w:val="11"/>
                <w:b w:val="1"/>
                <w:bCs w:val="1"/>
                <w:color w:val="auto"/>
              </w:rPr>
              <w:t>Liabilites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46"/>
        </w:trPr>
        <w:tc>
          <w:tcPr>
            <w:tcW w:w="2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60"/>
        </w:trPr>
        <w:tc>
          <w:tcPr>
            <w:tcW w:w="2060" w:type="dxa"/>
            <w:vAlign w:val="bottom"/>
            <w:tcBorders>
              <w:bottom w:val="single" w:sz="8" w:color="DBDBDB"/>
            </w:tcBorders>
            <w:shd w:val="clear" w:color="auto" w:fill="DBDBDB"/>
          </w:tcPr>
          <w:p>
            <w:pPr>
              <w:ind w:left="100"/>
              <w:spacing w:after="0"/>
              <w:rPr>
                <w:sz w:val="20"/>
                <w:szCs w:val="20"/>
                <w:color w:val="auto"/>
              </w:rPr>
            </w:pPr>
            <w:r>
              <w:rPr>
                <w:rFonts w:ascii="Calibri" w:cs="Calibri" w:eastAsia="Calibri" w:hAnsi="Calibri"/>
                <w:sz w:val="11"/>
                <w:szCs w:val="11"/>
                <w:color w:val="auto"/>
              </w:rPr>
              <w:t>Interest rate swap</w:t>
            </w:r>
          </w:p>
        </w:tc>
        <w:tc>
          <w:tcPr>
            <w:tcW w:w="280" w:type="dxa"/>
            <w:vAlign w:val="bottom"/>
            <w:tcBorders>
              <w:bottom w:val="single" w:sz="8" w:color="DBDBDB"/>
            </w:tcBorders>
            <w:shd w:val="clear" w:color="auto" w:fill="DBDBDB"/>
          </w:tcPr>
          <w:p>
            <w:pPr>
              <w:spacing w:after="0"/>
              <w:rPr>
                <w:sz w:val="13"/>
                <w:szCs w:val="13"/>
                <w:color w:val="auto"/>
              </w:rPr>
            </w:pPr>
          </w:p>
        </w:tc>
        <w:tc>
          <w:tcPr>
            <w:tcW w:w="50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32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43"/>
              <w:spacing w:after="0"/>
              <w:rPr>
                <w:sz w:val="20"/>
                <w:szCs w:val="20"/>
                <w:color w:val="auto"/>
              </w:rPr>
            </w:pPr>
            <w:r>
              <w:rPr>
                <w:rFonts w:ascii="Calibri" w:cs="Calibri" w:eastAsia="Calibri" w:hAnsi="Calibri"/>
                <w:sz w:val="11"/>
                <w:szCs w:val="11"/>
                <w:color w:val="auto"/>
              </w:rPr>
              <w:t>—</w:t>
            </w:r>
          </w:p>
        </w:tc>
        <w:tc>
          <w:tcPr>
            <w:tcW w:w="340" w:type="dxa"/>
            <w:vAlign w:val="bottom"/>
            <w:tcBorders>
              <w:bottom w:val="single" w:sz="8" w:color="DBDBDB"/>
            </w:tcBorders>
            <w:shd w:val="clear" w:color="auto" w:fill="DBDBDB"/>
          </w:tcPr>
          <w:p>
            <w:pPr>
              <w:spacing w:after="0"/>
              <w:rPr>
                <w:sz w:val="13"/>
                <w:szCs w:val="13"/>
                <w:color w:val="auto"/>
              </w:rPr>
            </w:pPr>
          </w:p>
        </w:tc>
        <w:tc>
          <w:tcPr>
            <w:tcW w:w="1120" w:type="dxa"/>
            <w:vAlign w:val="bottom"/>
            <w:tcBorders>
              <w:bottom w:val="single" w:sz="8" w:color="DBDBDB"/>
            </w:tcBorders>
            <w:gridSpan w:val="2"/>
            <w:shd w:val="clear" w:color="auto" w:fill="DBDBDB"/>
          </w:tcPr>
          <w:p>
            <w:pPr>
              <w:ind w:left="740"/>
              <w:spacing w:after="0"/>
              <w:rPr>
                <w:sz w:val="20"/>
                <w:szCs w:val="20"/>
                <w:color w:val="auto"/>
              </w:rPr>
            </w:pPr>
            <w:r>
              <w:rPr>
                <w:rFonts w:ascii="Calibri" w:cs="Calibri" w:eastAsia="Calibri" w:hAnsi="Calibri"/>
                <w:sz w:val="11"/>
                <w:szCs w:val="11"/>
                <w:color w:val="auto"/>
              </w:rPr>
              <w:t>—</w:t>
            </w:r>
          </w:p>
        </w:tc>
        <w:tc>
          <w:tcPr>
            <w:tcW w:w="260" w:type="dxa"/>
            <w:vAlign w:val="bottom"/>
            <w:tcBorders>
              <w:bottom w:val="single" w:sz="8" w:color="DBDBDB"/>
            </w:tcBorders>
            <w:shd w:val="clear" w:color="auto" w:fill="DBDBDB"/>
          </w:tcPr>
          <w:p>
            <w:pPr>
              <w:spacing w:after="0"/>
              <w:rPr>
                <w:sz w:val="13"/>
                <w:szCs w:val="13"/>
                <w:color w:val="auto"/>
              </w:rPr>
            </w:pPr>
          </w:p>
        </w:tc>
        <w:tc>
          <w:tcPr>
            <w:tcW w:w="52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3.5</w:t>
            </w:r>
          </w:p>
        </w:tc>
        <w:tc>
          <w:tcPr>
            <w:tcW w:w="3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63"/>
              <w:spacing w:after="0"/>
              <w:rPr>
                <w:sz w:val="20"/>
                <w:szCs w:val="20"/>
                <w:color w:val="auto"/>
              </w:rPr>
            </w:pPr>
            <w:r>
              <w:rPr>
                <w:rFonts w:ascii="Calibri" w:cs="Calibri" w:eastAsia="Calibri" w:hAnsi="Calibri"/>
                <w:sz w:val="11"/>
                <w:szCs w:val="11"/>
                <w:color w:val="auto"/>
              </w:rPr>
              <w:t>—</w:t>
            </w:r>
          </w:p>
        </w:tc>
        <w:tc>
          <w:tcPr>
            <w:tcW w:w="62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43"/>
              <w:spacing w:after="0"/>
              <w:rPr>
                <w:sz w:val="20"/>
                <w:szCs w:val="20"/>
                <w:color w:val="auto"/>
              </w:rPr>
            </w:pPr>
            <w:r>
              <w:rPr>
                <w:rFonts w:ascii="Calibri" w:cs="Calibri" w:eastAsia="Calibri" w:hAnsi="Calibri"/>
                <w:sz w:val="11"/>
                <w:szCs w:val="11"/>
                <w:color w:val="auto"/>
              </w:rPr>
              <w:t>3.5</w:t>
            </w:r>
          </w:p>
        </w:tc>
        <w:tc>
          <w:tcPr>
            <w:tcW w:w="34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r>
      <w:tr>
        <w:trPr>
          <w:trHeight w:val="20"/>
        </w:trPr>
        <w:tc>
          <w:tcPr>
            <w:tcW w:w="2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9" w:lineRule="exact"/>
        <w:rPr>
          <w:sz w:val="20"/>
          <w:szCs w:val="20"/>
          <w:color w:val="auto"/>
        </w:rPr>
      </w:pPr>
    </w:p>
    <w:p>
      <w:pPr>
        <w:ind w:right="100" w:firstLine="509"/>
        <w:spacing w:after="0" w:line="233" w:lineRule="auto"/>
        <w:rPr>
          <w:sz w:val="20"/>
          <w:szCs w:val="20"/>
          <w:color w:val="auto"/>
        </w:rPr>
      </w:pPr>
      <w:r>
        <w:rPr>
          <w:rFonts w:ascii="Calibri" w:cs="Calibri" w:eastAsia="Calibri" w:hAnsi="Calibri"/>
          <w:sz w:val="13"/>
          <w:szCs w:val="13"/>
          <w:color w:val="auto"/>
        </w:rPr>
        <w:t>Our mutual fund investments relate to our deferred compensaton plan, which are held in a Rabbi trust which is included in other assets in our consolidated balance sheets. The funds are measured at quoted prices in actve markets, which is equivalent to their fair value.</w:t>
      </w:r>
    </w:p>
    <w:p>
      <w:pPr>
        <w:spacing w:after="0" w:line="159" w:lineRule="exact"/>
        <w:rPr>
          <w:sz w:val="20"/>
          <w:szCs w:val="20"/>
          <w:color w:val="auto"/>
        </w:rPr>
      </w:pPr>
    </w:p>
    <w:p>
      <w:pPr>
        <w:ind w:right="100" w:firstLine="509"/>
        <w:spacing w:after="0" w:line="229" w:lineRule="auto"/>
        <w:rPr>
          <w:sz w:val="20"/>
          <w:szCs w:val="20"/>
          <w:color w:val="auto"/>
        </w:rPr>
      </w:pPr>
      <w:r>
        <w:rPr>
          <w:rFonts w:ascii="Calibri" w:cs="Calibri" w:eastAsia="Calibri" w:hAnsi="Calibri"/>
          <w:sz w:val="13"/>
          <w:szCs w:val="13"/>
          <w:color w:val="auto"/>
        </w:rPr>
        <w:t>The fair value of interest rate swaps is determined using widely accepted valuaton techniques, including the DCF method. The analysis refects the contractual terms of the swaps, including the period to maturity, and uses observable market-based inputs, including interest rate curves (“signifcant other observable inputs”). The fair value calculaton also includes an amount for risk of non-performance using “signifcant unobservable inputs” such as estmates of current credit spreads to evaluate the likelihood of default. The Company has concluded, as of October 31, 2022 and 2021, that the fair value associated with the “signifcant unobservable inputs” relatng to the Company’s risk of non-performance was insignifcant to the overall fair value of the interest rate swap agreements and, as a result,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69" w:name="page70"/>
    <w:bookmarkEnd w:id="69"/>
    <w:p>
      <w:pPr>
        <w:jc w:val="center"/>
        <w:ind w:right="-59"/>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160"/>
        <w:spacing w:after="0" w:line="225" w:lineRule="auto"/>
        <w:rPr>
          <w:sz w:val="20"/>
          <w:szCs w:val="20"/>
          <w:color w:val="auto"/>
        </w:rPr>
      </w:pPr>
      <w:r>
        <w:rPr>
          <w:rFonts w:ascii="Calibri" w:cs="Calibri" w:eastAsia="Calibri" w:hAnsi="Calibri"/>
          <w:sz w:val="13"/>
          <w:szCs w:val="13"/>
          <w:color w:val="auto"/>
        </w:rPr>
        <w:t>Company has determined that the relevant inputs for purposes of calculatng the fair value of the interest rate swap agreements, in their entrety, were based upon “signifcant other observable inputs”. The assets or liabilites associated with the interest rate swaps have been included in prepaid and other current assets and other assets or accrued expenses and other long-term liabilites, respectvely, in the consolidated balance sheets and gains and losses for the interest rate swaps have been included in other income (expense), net in the consolidated statements of (loss) income.</w:t>
      </w:r>
    </w:p>
    <w:p>
      <w:pPr>
        <w:spacing w:after="0" w:line="354" w:lineRule="exact"/>
        <w:rPr>
          <w:sz w:val="20"/>
          <w:szCs w:val="20"/>
          <w:color w:val="auto"/>
        </w:rPr>
      </w:pPr>
    </w:p>
    <w:p>
      <w:pPr>
        <w:spacing w:after="0"/>
        <w:tabs>
          <w:tab w:leader="none" w:pos="340" w:val="left"/>
        </w:tabs>
        <w:rPr>
          <w:sz w:val="20"/>
          <w:szCs w:val="20"/>
          <w:color w:val="auto"/>
        </w:rPr>
      </w:pPr>
      <w:r>
        <w:rPr>
          <w:rFonts w:ascii="Calibri" w:cs="Calibri" w:eastAsia="Calibri" w:hAnsi="Calibri"/>
          <w:sz w:val="16"/>
          <w:szCs w:val="16"/>
          <w:b w:val="1"/>
          <w:bCs w:val="1"/>
          <w:color w:val="auto"/>
        </w:rPr>
        <w:t>13.</w:t>
      </w:r>
      <w:r>
        <w:rPr>
          <w:sz w:val="20"/>
          <w:szCs w:val="20"/>
          <w:color w:val="auto"/>
        </w:rPr>
        <w:tab/>
      </w:r>
      <w:r>
        <w:rPr>
          <w:rFonts w:ascii="Calibri" w:cs="Calibri" w:eastAsia="Calibri" w:hAnsi="Calibri"/>
          <w:sz w:val="14"/>
          <w:szCs w:val="14"/>
          <w:b w:val="1"/>
          <w:bCs w:val="1"/>
          <w:color w:val="auto"/>
        </w:rPr>
        <w:t>Earnings Per Share</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6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Years ended October 31,</w:t>
            </w: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46"/>
        </w:trPr>
        <w:tc>
          <w:tcPr>
            <w:tcW w:w="65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25"/>
        </w:trPr>
        <w:tc>
          <w:tcPr>
            <w:tcW w:w="6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400" w:type="dxa"/>
            <w:vAlign w:val="bottom"/>
          </w:tcPr>
          <w:p>
            <w:pPr>
              <w:jc w:val="right"/>
              <w:ind w:right="103"/>
              <w:spacing w:after="0" w:line="126" w:lineRule="exact"/>
              <w:rPr>
                <w:sz w:val="20"/>
                <w:szCs w:val="20"/>
                <w:color w:val="auto"/>
              </w:rPr>
            </w:pPr>
            <w:r>
              <w:rPr>
                <w:rFonts w:ascii="Calibri" w:cs="Calibri" w:eastAsia="Calibri" w:hAnsi="Calibri"/>
                <w:sz w:val="11"/>
                <w:szCs w:val="11"/>
                <w:b w:val="1"/>
                <w:bCs w:val="1"/>
                <w:color w:val="auto"/>
              </w:rPr>
              <w:t>2021</w:t>
            </w:r>
          </w:p>
        </w:tc>
        <w:tc>
          <w:tcPr>
            <w:tcW w:w="56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2020</w:t>
            </w:r>
          </w:p>
        </w:tc>
      </w:tr>
      <w:tr>
        <w:trPr>
          <w:trHeight w:val="46"/>
        </w:trPr>
        <w:tc>
          <w:tcPr>
            <w:tcW w:w="65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51"/>
        </w:trPr>
        <w:tc>
          <w:tcPr>
            <w:tcW w:w="6560" w:type="dxa"/>
            <w:vAlign w:val="bottom"/>
            <w:tcBorders>
              <w:bottom w:val="single" w:sz="8" w:color="DBDBDB"/>
            </w:tcBorders>
            <w:shd w:val="clear" w:color="auto" w:fill="DBDBDB"/>
          </w:tcPr>
          <w:p>
            <w:pPr>
              <w:spacing w:after="0" w:line="126" w:lineRule="exact"/>
              <w:rPr>
                <w:sz w:val="20"/>
                <w:szCs w:val="20"/>
                <w:color w:val="auto"/>
              </w:rPr>
            </w:pPr>
            <w:r>
              <w:rPr>
                <w:rFonts w:ascii="Calibri" w:cs="Calibri" w:eastAsia="Calibri" w:hAnsi="Calibri"/>
                <w:sz w:val="11"/>
                <w:szCs w:val="11"/>
                <w:b w:val="1"/>
                <w:bCs w:val="1"/>
                <w:color w:val="auto"/>
              </w:rPr>
              <w:t>Numerator:</w:t>
            </w:r>
          </w:p>
        </w:tc>
        <w:tc>
          <w:tcPr>
            <w:tcW w:w="42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spacing w:after="0"/>
              <w:rPr>
                <w:sz w:val="13"/>
                <w:szCs w:val="13"/>
                <w:color w:val="auto"/>
              </w:rPr>
            </w:pPr>
          </w:p>
        </w:tc>
      </w:tr>
      <w:tr>
        <w:trPr>
          <w:trHeight w:val="135"/>
        </w:trPr>
        <w:tc>
          <w:tcPr>
            <w:tcW w:w="6560" w:type="dxa"/>
            <w:vAlign w:val="bottom"/>
          </w:tcPr>
          <w:p>
            <w:pPr>
              <w:ind w:left="140"/>
              <w:spacing w:after="0"/>
              <w:rPr>
                <w:sz w:val="20"/>
                <w:szCs w:val="20"/>
                <w:color w:val="auto"/>
              </w:rPr>
            </w:pPr>
            <w:r>
              <w:rPr>
                <w:rFonts w:ascii="Calibri" w:cs="Calibri" w:eastAsia="Calibri" w:hAnsi="Calibri"/>
                <w:sz w:val="11"/>
                <w:szCs w:val="11"/>
                <w:color w:val="auto"/>
              </w:rPr>
              <w:t>Net (loss) income atributable to Mission Produce (in millions)</w:t>
            </w:r>
          </w:p>
        </w:tc>
        <w:tc>
          <w:tcPr>
            <w:tcW w:w="420" w:type="dxa"/>
            <w:vAlign w:val="bottom"/>
          </w:tcPr>
          <w:p>
            <w:pPr>
              <w:jc w:val="right"/>
              <w:ind w:right="303"/>
              <w:spacing w:after="0"/>
              <w:rPr>
                <w:sz w:val="20"/>
                <w:szCs w:val="20"/>
                <w:color w:val="auto"/>
              </w:rPr>
            </w:pPr>
            <w:r>
              <w:rPr>
                <w:rFonts w:ascii="Calibri" w:cs="Calibri" w:eastAsia="Calibri" w:hAnsi="Calibri"/>
                <w:sz w:val="11"/>
                <w:szCs w:val="11"/>
                <w:color w:val="auto"/>
                <w:w w:val="70"/>
              </w:rPr>
              <w:t>$</w:t>
            </w:r>
          </w:p>
        </w:tc>
        <w:tc>
          <w:tcPr>
            <w:tcW w:w="1060" w:type="dxa"/>
            <w:vAlign w:val="bottom"/>
          </w:tcPr>
          <w:p>
            <w:pPr>
              <w:jc w:val="right"/>
              <w:ind w:right="123"/>
              <w:spacing w:after="0"/>
              <w:rPr>
                <w:sz w:val="20"/>
                <w:szCs w:val="20"/>
                <w:color w:val="auto"/>
              </w:rPr>
            </w:pPr>
            <w:r>
              <w:rPr>
                <w:rFonts w:ascii="Calibri" w:cs="Calibri" w:eastAsia="Calibri" w:hAnsi="Calibri"/>
                <w:sz w:val="11"/>
                <w:szCs w:val="11"/>
                <w:color w:val="auto"/>
              </w:rPr>
              <w:t>(34.6)</w:t>
            </w:r>
          </w:p>
        </w:tc>
        <w:tc>
          <w:tcPr>
            <w:tcW w:w="2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400" w:type="dxa"/>
            <w:vAlign w:val="bottom"/>
          </w:tcPr>
          <w:p>
            <w:pPr>
              <w:jc w:val="right"/>
              <w:ind w:right="143"/>
              <w:spacing w:after="0"/>
              <w:rPr>
                <w:sz w:val="20"/>
                <w:szCs w:val="20"/>
                <w:color w:val="auto"/>
              </w:rPr>
            </w:pPr>
            <w:r>
              <w:rPr>
                <w:rFonts w:ascii="Calibri" w:cs="Calibri" w:eastAsia="Calibri" w:hAnsi="Calibri"/>
                <w:sz w:val="11"/>
                <w:szCs w:val="11"/>
                <w:color w:val="auto"/>
              </w:rPr>
              <w:t>44.9</w:t>
            </w:r>
          </w:p>
        </w:tc>
        <w:tc>
          <w:tcPr>
            <w:tcW w:w="560" w:type="dxa"/>
            <w:vAlign w:val="bottom"/>
          </w:tcPr>
          <w:p>
            <w:pPr>
              <w:jc w:val="right"/>
              <w:ind w:right="303"/>
              <w:spacing w:after="0"/>
              <w:rPr>
                <w:sz w:val="20"/>
                <w:szCs w:val="20"/>
                <w:color w:val="auto"/>
              </w:rPr>
            </w:pPr>
            <w:r>
              <w:rPr>
                <w:rFonts w:ascii="Calibri" w:cs="Calibri" w:eastAsia="Calibri" w:hAnsi="Calibri"/>
                <w:sz w:val="11"/>
                <w:szCs w:val="11"/>
                <w:color w:val="auto"/>
              </w:rPr>
              <w:t>$</w:t>
            </w:r>
          </w:p>
        </w:tc>
        <w:tc>
          <w:tcPr>
            <w:tcW w:w="920" w:type="dxa"/>
            <w:vAlign w:val="bottom"/>
          </w:tcPr>
          <w:p>
            <w:pPr>
              <w:jc w:val="right"/>
              <w:ind w:right="3"/>
              <w:spacing w:after="0"/>
              <w:rPr>
                <w:sz w:val="20"/>
                <w:szCs w:val="20"/>
                <w:color w:val="auto"/>
              </w:rPr>
            </w:pPr>
            <w:r>
              <w:rPr>
                <w:rFonts w:ascii="Calibri" w:cs="Calibri" w:eastAsia="Calibri" w:hAnsi="Calibri"/>
                <w:sz w:val="11"/>
                <w:szCs w:val="11"/>
                <w:color w:val="auto"/>
              </w:rPr>
              <w:t>28.8</w:t>
            </w:r>
          </w:p>
        </w:tc>
      </w:tr>
      <w:tr>
        <w:trPr>
          <w:trHeight w:val="46"/>
        </w:trPr>
        <w:tc>
          <w:tcPr>
            <w:tcW w:w="65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51"/>
        </w:trPr>
        <w:tc>
          <w:tcPr>
            <w:tcW w:w="6560" w:type="dxa"/>
            <w:vAlign w:val="bottom"/>
            <w:tcBorders>
              <w:bottom w:val="single" w:sz="8" w:color="DBDBDB"/>
            </w:tcBorders>
            <w:shd w:val="clear" w:color="auto" w:fill="DBDBDB"/>
          </w:tcPr>
          <w:p>
            <w:pPr>
              <w:spacing w:after="0" w:line="126" w:lineRule="exact"/>
              <w:rPr>
                <w:sz w:val="20"/>
                <w:szCs w:val="20"/>
                <w:color w:val="auto"/>
              </w:rPr>
            </w:pPr>
            <w:r>
              <w:rPr>
                <w:rFonts w:ascii="Calibri" w:cs="Calibri" w:eastAsia="Calibri" w:hAnsi="Calibri"/>
                <w:sz w:val="11"/>
                <w:szCs w:val="11"/>
                <w:b w:val="1"/>
                <w:bCs w:val="1"/>
                <w:color w:val="auto"/>
              </w:rPr>
              <w:t>Denominator:</w:t>
            </w:r>
          </w:p>
        </w:tc>
        <w:tc>
          <w:tcPr>
            <w:tcW w:w="42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spacing w:after="0"/>
              <w:rPr>
                <w:sz w:val="13"/>
                <w:szCs w:val="13"/>
                <w:color w:val="auto"/>
              </w:rPr>
            </w:pP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spacing w:after="0"/>
              <w:rPr>
                <w:sz w:val="13"/>
                <w:szCs w:val="13"/>
                <w:color w:val="auto"/>
              </w:rPr>
            </w:pPr>
          </w:p>
        </w:tc>
      </w:tr>
      <w:tr>
        <w:trPr>
          <w:trHeight w:val="135"/>
        </w:trPr>
        <w:tc>
          <w:tcPr>
            <w:tcW w:w="6560" w:type="dxa"/>
            <w:vAlign w:val="bottom"/>
          </w:tcPr>
          <w:p>
            <w:pPr>
              <w:ind w:left="260"/>
              <w:spacing w:after="0"/>
              <w:rPr>
                <w:sz w:val="20"/>
                <w:szCs w:val="20"/>
                <w:color w:val="auto"/>
              </w:rPr>
            </w:pPr>
            <w:r>
              <w:rPr>
                <w:rFonts w:ascii="Calibri" w:cs="Calibri" w:eastAsia="Calibri" w:hAnsi="Calibri"/>
                <w:sz w:val="11"/>
                <w:szCs w:val="11"/>
                <w:color w:val="auto"/>
              </w:rPr>
              <w:t>Weighted average shares of common stock outstanding, used in computng basic earnings per share</w:t>
            </w:r>
          </w:p>
        </w:tc>
        <w:tc>
          <w:tcPr>
            <w:tcW w:w="420" w:type="dxa"/>
            <w:vAlign w:val="bottom"/>
          </w:tcPr>
          <w:p>
            <w:pPr>
              <w:spacing w:after="0"/>
              <w:rPr>
                <w:sz w:val="11"/>
                <w:szCs w:val="11"/>
                <w:color w:val="auto"/>
              </w:rPr>
            </w:pPr>
          </w:p>
        </w:tc>
        <w:tc>
          <w:tcPr>
            <w:tcW w:w="1060" w:type="dxa"/>
            <w:vAlign w:val="bottom"/>
          </w:tcPr>
          <w:p>
            <w:pPr>
              <w:jc w:val="right"/>
              <w:ind w:right="143"/>
              <w:spacing w:after="0"/>
              <w:rPr>
                <w:sz w:val="20"/>
                <w:szCs w:val="20"/>
                <w:color w:val="auto"/>
              </w:rPr>
            </w:pPr>
            <w:r>
              <w:rPr>
                <w:rFonts w:ascii="Calibri" w:cs="Calibri" w:eastAsia="Calibri" w:hAnsi="Calibri"/>
                <w:sz w:val="11"/>
                <w:szCs w:val="11"/>
                <w:color w:val="auto"/>
              </w:rPr>
              <w:t>70,647,469</w:t>
            </w:r>
          </w:p>
        </w:tc>
        <w:tc>
          <w:tcPr>
            <w:tcW w:w="220" w:type="dxa"/>
            <w:vAlign w:val="bottom"/>
          </w:tcPr>
          <w:p>
            <w:pPr>
              <w:spacing w:after="0"/>
              <w:rPr>
                <w:sz w:val="11"/>
                <w:szCs w:val="11"/>
                <w:color w:val="auto"/>
              </w:rPr>
            </w:pPr>
          </w:p>
        </w:tc>
        <w:tc>
          <w:tcPr>
            <w:tcW w:w="1400" w:type="dxa"/>
            <w:vAlign w:val="bottom"/>
          </w:tcPr>
          <w:p>
            <w:pPr>
              <w:jc w:val="right"/>
              <w:ind w:right="143"/>
              <w:spacing w:after="0"/>
              <w:rPr>
                <w:sz w:val="20"/>
                <w:szCs w:val="20"/>
                <w:color w:val="auto"/>
              </w:rPr>
            </w:pPr>
            <w:r>
              <w:rPr>
                <w:rFonts w:ascii="Calibri" w:cs="Calibri" w:eastAsia="Calibri" w:hAnsi="Calibri"/>
                <w:sz w:val="11"/>
                <w:szCs w:val="11"/>
                <w:color w:val="auto"/>
              </w:rPr>
              <w:t>70,583,424</w:t>
            </w:r>
          </w:p>
        </w:tc>
        <w:tc>
          <w:tcPr>
            <w:tcW w:w="560" w:type="dxa"/>
            <w:vAlign w:val="bottom"/>
          </w:tcPr>
          <w:p>
            <w:pPr>
              <w:spacing w:after="0"/>
              <w:rPr>
                <w:sz w:val="11"/>
                <w:szCs w:val="11"/>
                <w:color w:val="auto"/>
              </w:rPr>
            </w:pPr>
          </w:p>
        </w:tc>
        <w:tc>
          <w:tcPr>
            <w:tcW w:w="920" w:type="dxa"/>
            <w:vAlign w:val="bottom"/>
          </w:tcPr>
          <w:p>
            <w:pPr>
              <w:jc w:val="right"/>
              <w:ind w:right="3"/>
              <w:spacing w:after="0"/>
              <w:rPr>
                <w:sz w:val="20"/>
                <w:szCs w:val="20"/>
                <w:color w:val="auto"/>
              </w:rPr>
            </w:pPr>
            <w:r>
              <w:rPr>
                <w:rFonts w:ascii="Calibri" w:cs="Calibri" w:eastAsia="Calibri" w:hAnsi="Calibri"/>
                <w:sz w:val="11"/>
                <w:szCs w:val="11"/>
                <w:color w:val="auto"/>
              </w:rPr>
              <w:t>63,634,863</w:t>
            </w:r>
          </w:p>
        </w:tc>
      </w:tr>
      <w:tr>
        <w:trPr>
          <w:trHeight w:val="46"/>
        </w:trPr>
        <w:tc>
          <w:tcPr>
            <w:tcW w:w="6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60"/>
        </w:trPr>
        <w:tc>
          <w:tcPr>
            <w:tcW w:w="6560" w:type="dxa"/>
            <w:vAlign w:val="bottom"/>
            <w:tcBorders>
              <w:bottom w:val="single" w:sz="8" w:color="DBDBDB"/>
            </w:tcBorders>
            <w:shd w:val="clear" w:color="auto" w:fill="DBDBDB"/>
          </w:tcPr>
          <w:p>
            <w:pPr>
              <w:ind w:left="260"/>
              <w:spacing w:after="0"/>
              <w:rPr>
                <w:sz w:val="20"/>
                <w:szCs w:val="20"/>
                <w:color w:val="auto"/>
              </w:rPr>
            </w:pPr>
            <w:r>
              <w:rPr>
                <w:rFonts w:ascii="Calibri" w:cs="Calibri" w:eastAsia="Calibri" w:hAnsi="Calibri"/>
                <w:sz w:val="11"/>
                <w:szCs w:val="11"/>
                <w:color w:val="auto"/>
              </w:rPr>
              <w:t>Efect of dilutve stock optons</w:t>
            </w:r>
          </w:p>
        </w:tc>
        <w:tc>
          <w:tcPr>
            <w:tcW w:w="420" w:type="dxa"/>
            <w:vAlign w:val="bottom"/>
            <w:tcBorders>
              <w:bottom w:val="single" w:sz="8" w:color="DBDBDB"/>
            </w:tcBorders>
            <w:shd w:val="clear" w:color="auto" w:fill="DBDBDB"/>
          </w:tcPr>
          <w:p>
            <w:pPr>
              <w:spacing w:after="0"/>
              <w:rPr>
                <w:sz w:val="13"/>
                <w:szCs w:val="13"/>
                <w:color w:val="auto"/>
              </w:rPr>
            </w:pPr>
          </w:p>
        </w:tc>
        <w:tc>
          <w:tcPr>
            <w:tcW w:w="106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466,227</w:t>
            </w:r>
          </w:p>
        </w:tc>
        <w:tc>
          <w:tcPr>
            <w:tcW w:w="560" w:type="dxa"/>
            <w:vAlign w:val="bottom"/>
            <w:tcBorders>
              <w:bottom w:val="single" w:sz="8" w:color="DBDBDB"/>
            </w:tcBorders>
            <w:shd w:val="clear" w:color="auto" w:fill="DBDBDB"/>
          </w:tcPr>
          <w:p>
            <w:pPr>
              <w:spacing w:after="0"/>
              <w:rPr>
                <w:sz w:val="13"/>
                <w:szCs w:val="13"/>
                <w:color w:val="auto"/>
              </w:rPr>
            </w:pPr>
          </w:p>
        </w:tc>
        <w:tc>
          <w:tcPr>
            <w:tcW w:w="920" w:type="dxa"/>
            <w:vAlign w:val="bottom"/>
            <w:tcBorders>
              <w:bottom w:val="single" w:sz="8" w:color="DBDBDB"/>
            </w:tcBorders>
            <w:shd w:val="clear" w:color="auto" w:fill="DBDBDB"/>
          </w:tcPr>
          <w:p>
            <w:pPr>
              <w:jc w:val="right"/>
              <w:ind w:right="3"/>
              <w:spacing w:after="0"/>
              <w:rPr>
                <w:sz w:val="20"/>
                <w:szCs w:val="20"/>
                <w:color w:val="auto"/>
              </w:rPr>
            </w:pPr>
            <w:r>
              <w:rPr>
                <w:rFonts w:ascii="Calibri" w:cs="Calibri" w:eastAsia="Calibri" w:hAnsi="Calibri"/>
                <w:sz w:val="11"/>
                <w:szCs w:val="11"/>
                <w:color w:val="auto"/>
              </w:rPr>
              <w:t>22,038</w:t>
            </w:r>
          </w:p>
        </w:tc>
      </w:tr>
      <w:tr>
        <w:trPr>
          <w:trHeight w:val="135"/>
        </w:trPr>
        <w:tc>
          <w:tcPr>
            <w:tcW w:w="6560" w:type="dxa"/>
            <w:vAlign w:val="bottom"/>
          </w:tcPr>
          <w:p>
            <w:pPr>
              <w:ind w:left="260"/>
              <w:spacing w:after="0"/>
              <w:rPr>
                <w:sz w:val="20"/>
                <w:szCs w:val="20"/>
                <w:color w:val="auto"/>
              </w:rPr>
            </w:pPr>
            <w:r>
              <w:rPr>
                <w:rFonts w:ascii="Calibri" w:cs="Calibri" w:eastAsia="Calibri" w:hAnsi="Calibri"/>
                <w:sz w:val="11"/>
                <w:szCs w:val="11"/>
                <w:color w:val="auto"/>
              </w:rPr>
              <w:t>Efect of dilutve RSUs</w:t>
            </w:r>
          </w:p>
        </w:tc>
        <w:tc>
          <w:tcPr>
            <w:tcW w:w="420" w:type="dxa"/>
            <w:vAlign w:val="bottom"/>
          </w:tcPr>
          <w:p>
            <w:pPr>
              <w:spacing w:after="0"/>
              <w:rPr>
                <w:sz w:val="11"/>
                <w:szCs w:val="11"/>
                <w:color w:val="auto"/>
              </w:rPr>
            </w:pPr>
          </w:p>
        </w:tc>
        <w:tc>
          <w:tcPr>
            <w:tcW w:w="1060" w:type="dxa"/>
            <w:vAlign w:val="bottom"/>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400" w:type="dxa"/>
            <w:vAlign w:val="bottom"/>
          </w:tcPr>
          <w:p>
            <w:pPr>
              <w:jc w:val="right"/>
              <w:ind w:right="143"/>
              <w:spacing w:after="0"/>
              <w:rPr>
                <w:sz w:val="20"/>
                <w:szCs w:val="20"/>
                <w:color w:val="auto"/>
              </w:rPr>
            </w:pPr>
            <w:r>
              <w:rPr>
                <w:rFonts w:ascii="Calibri" w:cs="Calibri" w:eastAsia="Calibri" w:hAnsi="Calibri"/>
                <w:sz w:val="11"/>
                <w:szCs w:val="11"/>
                <w:color w:val="auto"/>
              </w:rPr>
              <w:t>18,830</w:t>
            </w:r>
          </w:p>
        </w:tc>
        <w:tc>
          <w:tcPr>
            <w:tcW w:w="560" w:type="dxa"/>
            <w:vAlign w:val="bottom"/>
          </w:tcPr>
          <w:p>
            <w:pPr>
              <w:spacing w:after="0"/>
              <w:rPr>
                <w:sz w:val="11"/>
                <w:szCs w:val="11"/>
                <w:color w:val="auto"/>
              </w:rPr>
            </w:pPr>
          </w:p>
        </w:tc>
        <w:tc>
          <w:tcPr>
            <w:tcW w:w="920" w:type="dxa"/>
            <w:vAlign w:val="bottom"/>
          </w:tcPr>
          <w:p>
            <w:pPr>
              <w:jc w:val="right"/>
              <w:ind w:right="3"/>
              <w:spacing w:after="0"/>
              <w:rPr>
                <w:sz w:val="20"/>
                <w:szCs w:val="20"/>
                <w:color w:val="auto"/>
              </w:rPr>
            </w:pPr>
            <w:r>
              <w:rPr>
                <w:rFonts w:ascii="Calibri" w:cs="Calibri" w:eastAsia="Calibri" w:hAnsi="Calibri"/>
                <w:sz w:val="11"/>
                <w:szCs w:val="11"/>
                <w:color w:val="auto"/>
              </w:rPr>
              <w:t>3,117</w:t>
            </w:r>
          </w:p>
        </w:tc>
      </w:tr>
      <w:tr>
        <w:trPr>
          <w:trHeight w:val="46"/>
        </w:trPr>
        <w:tc>
          <w:tcPr>
            <w:tcW w:w="65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6"/>
        </w:trPr>
        <w:tc>
          <w:tcPr>
            <w:tcW w:w="6560" w:type="dxa"/>
            <w:vAlign w:val="bottom"/>
            <w:tcBorders>
              <w:bottom w:val="single" w:sz="8" w:color="DBDBDB"/>
            </w:tcBorders>
            <w:shd w:val="clear" w:color="auto" w:fill="DBDBDB"/>
          </w:tcPr>
          <w:p>
            <w:pPr>
              <w:ind w:left="100"/>
              <w:spacing w:after="0" w:line="126" w:lineRule="exact"/>
              <w:rPr>
                <w:sz w:val="20"/>
                <w:szCs w:val="20"/>
                <w:color w:val="auto"/>
              </w:rPr>
            </w:pPr>
            <w:r>
              <w:rPr>
                <w:rFonts w:ascii="Calibri" w:cs="Calibri" w:eastAsia="Calibri" w:hAnsi="Calibri"/>
                <w:sz w:val="11"/>
                <w:szCs w:val="11"/>
                <w:color w:val="auto"/>
              </w:rPr>
              <w:t>Weighted average shares of common stock outstanding, used in computng diluted earnings per share</w:t>
            </w:r>
          </w:p>
        </w:tc>
        <w:tc>
          <w:tcPr>
            <w:tcW w:w="42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70,647,469</w:t>
            </w:r>
          </w:p>
        </w:tc>
        <w:tc>
          <w:tcPr>
            <w:tcW w:w="220" w:type="dxa"/>
            <w:vAlign w:val="bottom"/>
            <w:tcBorders>
              <w:bottom w:val="single" w:sz="8" w:color="DBDBDB"/>
            </w:tcBorders>
            <w:shd w:val="clear" w:color="auto" w:fill="DBDBDB"/>
          </w:tcPr>
          <w:p>
            <w:pPr>
              <w:spacing w:after="0"/>
              <w:rPr>
                <w:sz w:val="14"/>
                <w:szCs w:val="14"/>
                <w:color w:val="auto"/>
              </w:rPr>
            </w:pPr>
          </w:p>
        </w:tc>
        <w:tc>
          <w:tcPr>
            <w:tcW w:w="140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71,068,481</w:t>
            </w:r>
          </w:p>
        </w:tc>
        <w:tc>
          <w:tcPr>
            <w:tcW w:w="56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3"/>
              <w:spacing w:after="0" w:line="126" w:lineRule="exact"/>
              <w:rPr>
                <w:sz w:val="20"/>
                <w:szCs w:val="20"/>
                <w:color w:val="auto"/>
              </w:rPr>
            </w:pPr>
            <w:r>
              <w:rPr>
                <w:rFonts w:ascii="Calibri" w:cs="Calibri" w:eastAsia="Calibri" w:hAnsi="Calibri"/>
                <w:sz w:val="11"/>
                <w:szCs w:val="11"/>
                <w:color w:val="auto"/>
              </w:rPr>
              <w:t>63,660,018</w:t>
            </w:r>
          </w:p>
        </w:tc>
      </w:tr>
      <w:tr>
        <w:trPr>
          <w:trHeight w:val="125"/>
        </w:trPr>
        <w:tc>
          <w:tcPr>
            <w:tcW w:w="6560" w:type="dxa"/>
            <w:vAlign w:val="bottom"/>
            <w:tcBorders>
              <w:top w:val="single" w:sz="8" w:color="auto"/>
            </w:tcBorders>
          </w:tcPr>
          <w:p>
            <w:pPr>
              <w:spacing w:after="0" w:line="126" w:lineRule="exact"/>
              <w:rPr>
                <w:sz w:val="20"/>
                <w:szCs w:val="20"/>
                <w:color w:val="auto"/>
              </w:rPr>
            </w:pPr>
            <w:r>
              <w:rPr>
                <w:rFonts w:ascii="Calibri" w:cs="Calibri" w:eastAsia="Calibri" w:hAnsi="Calibri"/>
                <w:sz w:val="11"/>
                <w:szCs w:val="11"/>
                <w:color w:val="auto"/>
              </w:rPr>
              <w:t>Earnings per share</w:t>
            </w:r>
          </w:p>
        </w:tc>
        <w:tc>
          <w:tcPr>
            <w:tcW w:w="4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46"/>
        </w:trPr>
        <w:tc>
          <w:tcPr>
            <w:tcW w:w="6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60"/>
        </w:trPr>
        <w:tc>
          <w:tcPr>
            <w:tcW w:w="6560" w:type="dxa"/>
            <w:vAlign w:val="bottom"/>
            <w:tcBorders>
              <w:bottom w:val="single" w:sz="8" w:color="DBDBDB"/>
            </w:tcBorders>
            <w:shd w:val="clear" w:color="auto" w:fill="DBDBDB"/>
          </w:tcPr>
          <w:p>
            <w:pPr>
              <w:ind w:left="260"/>
              <w:spacing w:after="0"/>
              <w:rPr>
                <w:sz w:val="20"/>
                <w:szCs w:val="20"/>
                <w:color w:val="auto"/>
              </w:rPr>
            </w:pPr>
            <w:r>
              <w:rPr>
                <w:rFonts w:ascii="Calibri" w:cs="Calibri" w:eastAsia="Calibri" w:hAnsi="Calibri"/>
                <w:sz w:val="11"/>
                <w:szCs w:val="11"/>
                <w:color w:val="auto"/>
              </w:rPr>
              <w:t>Basic</w:t>
            </w:r>
          </w:p>
        </w:tc>
        <w:tc>
          <w:tcPr>
            <w:tcW w:w="42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w w:val="70"/>
              </w:rPr>
              <w:t>$</w:t>
            </w:r>
          </w:p>
        </w:tc>
        <w:tc>
          <w:tcPr>
            <w:tcW w:w="106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(0.49)</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0.64</w:t>
            </w:r>
          </w:p>
        </w:tc>
        <w:tc>
          <w:tcPr>
            <w:tcW w:w="560" w:type="dxa"/>
            <w:vAlign w:val="bottom"/>
            <w:tcBorders>
              <w:bottom w:val="single" w:sz="8" w:color="DBDBDB"/>
            </w:tcBorders>
            <w:shd w:val="clear" w:color="auto" w:fill="DBDBDB"/>
          </w:tcPr>
          <w:p>
            <w:pPr>
              <w:jc w:val="right"/>
              <w:ind w:right="303"/>
              <w:spacing w:after="0"/>
              <w:rPr>
                <w:sz w:val="20"/>
                <w:szCs w:val="20"/>
                <w:color w:val="auto"/>
              </w:rPr>
            </w:pPr>
            <w:r>
              <w:rPr>
                <w:rFonts w:ascii="Calibri" w:cs="Calibri" w:eastAsia="Calibri" w:hAnsi="Calibri"/>
                <w:sz w:val="11"/>
                <w:szCs w:val="11"/>
                <w:color w:val="auto"/>
              </w:rPr>
              <w:t>$</w:t>
            </w:r>
          </w:p>
        </w:tc>
        <w:tc>
          <w:tcPr>
            <w:tcW w:w="920" w:type="dxa"/>
            <w:vAlign w:val="bottom"/>
            <w:tcBorders>
              <w:bottom w:val="single" w:sz="8" w:color="DBDBDB"/>
            </w:tcBorders>
            <w:shd w:val="clear" w:color="auto" w:fill="DBDBDB"/>
          </w:tcPr>
          <w:p>
            <w:pPr>
              <w:jc w:val="right"/>
              <w:ind w:right="3"/>
              <w:spacing w:after="0"/>
              <w:rPr>
                <w:sz w:val="20"/>
                <w:szCs w:val="20"/>
                <w:color w:val="auto"/>
              </w:rPr>
            </w:pPr>
            <w:r>
              <w:rPr>
                <w:rFonts w:ascii="Calibri" w:cs="Calibri" w:eastAsia="Calibri" w:hAnsi="Calibri"/>
                <w:sz w:val="11"/>
                <w:szCs w:val="11"/>
                <w:color w:val="auto"/>
              </w:rPr>
              <w:t>0.45</w:t>
            </w:r>
          </w:p>
        </w:tc>
      </w:tr>
      <w:tr>
        <w:trPr>
          <w:trHeight w:val="135"/>
        </w:trPr>
        <w:tc>
          <w:tcPr>
            <w:tcW w:w="6560" w:type="dxa"/>
            <w:vAlign w:val="bottom"/>
          </w:tcPr>
          <w:p>
            <w:pPr>
              <w:ind w:left="260"/>
              <w:spacing w:after="0"/>
              <w:rPr>
                <w:sz w:val="20"/>
                <w:szCs w:val="20"/>
                <w:color w:val="auto"/>
              </w:rPr>
            </w:pPr>
            <w:r>
              <w:rPr>
                <w:rFonts w:ascii="Calibri" w:cs="Calibri" w:eastAsia="Calibri" w:hAnsi="Calibri"/>
                <w:sz w:val="11"/>
                <w:szCs w:val="11"/>
                <w:color w:val="auto"/>
              </w:rPr>
              <w:t>Diluted</w:t>
            </w:r>
          </w:p>
        </w:tc>
        <w:tc>
          <w:tcPr>
            <w:tcW w:w="420" w:type="dxa"/>
            <w:vAlign w:val="bottom"/>
          </w:tcPr>
          <w:p>
            <w:pPr>
              <w:jc w:val="right"/>
              <w:ind w:right="303"/>
              <w:spacing w:after="0"/>
              <w:rPr>
                <w:sz w:val="20"/>
                <w:szCs w:val="20"/>
                <w:color w:val="auto"/>
              </w:rPr>
            </w:pPr>
            <w:r>
              <w:rPr>
                <w:rFonts w:ascii="Calibri" w:cs="Calibri" w:eastAsia="Calibri" w:hAnsi="Calibri"/>
                <w:sz w:val="11"/>
                <w:szCs w:val="11"/>
                <w:color w:val="auto"/>
                <w:w w:val="70"/>
              </w:rPr>
              <w:t>$</w:t>
            </w:r>
          </w:p>
        </w:tc>
        <w:tc>
          <w:tcPr>
            <w:tcW w:w="1060" w:type="dxa"/>
            <w:vAlign w:val="bottom"/>
          </w:tcPr>
          <w:p>
            <w:pPr>
              <w:jc w:val="right"/>
              <w:ind w:right="123"/>
              <w:spacing w:after="0"/>
              <w:rPr>
                <w:sz w:val="20"/>
                <w:szCs w:val="20"/>
                <w:color w:val="auto"/>
              </w:rPr>
            </w:pPr>
            <w:r>
              <w:rPr>
                <w:rFonts w:ascii="Calibri" w:cs="Calibri" w:eastAsia="Calibri" w:hAnsi="Calibri"/>
                <w:sz w:val="11"/>
                <w:szCs w:val="11"/>
                <w:color w:val="auto"/>
              </w:rPr>
              <w:t>(0.49)</w:t>
            </w:r>
          </w:p>
        </w:tc>
        <w:tc>
          <w:tcPr>
            <w:tcW w:w="22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400" w:type="dxa"/>
            <w:vAlign w:val="bottom"/>
          </w:tcPr>
          <w:p>
            <w:pPr>
              <w:jc w:val="right"/>
              <w:ind w:right="143"/>
              <w:spacing w:after="0"/>
              <w:rPr>
                <w:sz w:val="20"/>
                <w:szCs w:val="20"/>
                <w:color w:val="auto"/>
              </w:rPr>
            </w:pPr>
            <w:r>
              <w:rPr>
                <w:rFonts w:ascii="Calibri" w:cs="Calibri" w:eastAsia="Calibri" w:hAnsi="Calibri"/>
                <w:sz w:val="11"/>
                <w:szCs w:val="11"/>
                <w:color w:val="auto"/>
              </w:rPr>
              <w:t>0.63</w:t>
            </w:r>
          </w:p>
        </w:tc>
        <w:tc>
          <w:tcPr>
            <w:tcW w:w="560" w:type="dxa"/>
            <w:vAlign w:val="bottom"/>
          </w:tcPr>
          <w:p>
            <w:pPr>
              <w:jc w:val="right"/>
              <w:ind w:right="303"/>
              <w:spacing w:after="0"/>
              <w:rPr>
                <w:sz w:val="20"/>
                <w:szCs w:val="20"/>
                <w:color w:val="auto"/>
              </w:rPr>
            </w:pPr>
            <w:r>
              <w:rPr>
                <w:rFonts w:ascii="Calibri" w:cs="Calibri" w:eastAsia="Calibri" w:hAnsi="Calibri"/>
                <w:sz w:val="11"/>
                <w:szCs w:val="11"/>
                <w:color w:val="auto"/>
              </w:rPr>
              <w:t>$</w:t>
            </w:r>
          </w:p>
        </w:tc>
        <w:tc>
          <w:tcPr>
            <w:tcW w:w="920" w:type="dxa"/>
            <w:vAlign w:val="bottom"/>
          </w:tcPr>
          <w:p>
            <w:pPr>
              <w:jc w:val="right"/>
              <w:ind w:right="3"/>
              <w:spacing w:after="0"/>
              <w:rPr>
                <w:sz w:val="20"/>
                <w:szCs w:val="20"/>
                <w:color w:val="auto"/>
              </w:rPr>
            </w:pPr>
            <w:r>
              <w:rPr>
                <w:rFonts w:ascii="Calibri" w:cs="Calibri" w:eastAsia="Calibri" w:hAnsi="Calibri"/>
                <w:sz w:val="11"/>
                <w:szCs w:val="11"/>
                <w:color w:val="auto"/>
              </w:rPr>
              <w:t>0.45</w:t>
            </w:r>
          </w:p>
        </w:tc>
      </w:tr>
      <w:tr>
        <w:trPr>
          <w:trHeight w:val="46"/>
        </w:trPr>
        <w:tc>
          <w:tcPr>
            <w:tcW w:w="65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bl>
    <w:p>
      <w:pPr>
        <w:spacing w:after="0" w:line="220" w:lineRule="exact"/>
        <w:rPr>
          <w:sz w:val="20"/>
          <w:szCs w:val="20"/>
          <w:color w:val="auto"/>
        </w:rPr>
      </w:pPr>
    </w:p>
    <w:p>
      <w:pPr>
        <w:ind w:right="60" w:firstLine="509"/>
        <w:spacing w:after="0" w:line="225" w:lineRule="auto"/>
        <w:rPr>
          <w:sz w:val="20"/>
          <w:szCs w:val="20"/>
          <w:color w:val="auto"/>
        </w:rPr>
      </w:pPr>
      <w:r>
        <w:rPr>
          <w:rFonts w:ascii="Calibri" w:cs="Calibri" w:eastAsia="Calibri" w:hAnsi="Calibri"/>
          <w:sz w:val="13"/>
          <w:szCs w:val="13"/>
          <w:color w:val="auto"/>
        </w:rPr>
        <w:t>Equity awards representng shares of common stock outstanding that were excluded in the computaton of diluted earnings per share because their efect would have been ant-dilutve as a result of applying the treasury stock method, were as follows:</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35"/>
        </w:trPr>
        <w:tc>
          <w:tcPr>
            <w:tcW w:w="6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0" w:type="dxa"/>
            <w:vAlign w:val="bottom"/>
          </w:tcPr>
          <w:p>
            <w:pPr>
              <w:jc w:val="right"/>
              <w:ind w:right="603"/>
              <w:spacing w:after="0"/>
              <w:rPr>
                <w:sz w:val="20"/>
                <w:szCs w:val="20"/>
                <w:color w:val="auto"/>
              </w:rPr>
            </w:pPr>
            <w:r>
              <w:rPr>
                <w:rFonts w:ascii="Calibri" w:cs="Calibri" w:eastAsia="Calibri" w:hAnsi="Calibri"/>
                <w:sz w:val="11"/>
                <w:szCs w:val="11"/>
                <w:b w:val="1"/>
                <w:bCs w:val="1"/>
                <w:color w:val="auto"/>
              </w:rPr>
              <w:t>Years ended October 31,</w:t>
            </w:r>
          </w:p>
        </w:tc>
        <w:tc>
          <w:tcPr>
            <w:tcW w:w="1080" w:type="dxa"/>
            <w:vAlign w:val="bottom"/>
          </w:tcPr>
          <w:p>
            <w:pPr>
              <w:spacing w:after="0"/>
              <w:rPr>
                <w:sz w:val="11"/>
                <w:szCs w:val="11"/>
                <w:color w:val="auto"/>
              </w:rPr>
            </w:pPr>
          </w:p>
        </w:tc>
      </w:tr>
      <w:tr>
        <w:trPr>
          <w:trHeight w:val="46"/>
        </w:trPr>
        <w:tc>
          <w:tcPr>
            <w:tcW w:w="642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25"/>
        </w:trPr>
        <w:tc>
          <w:tcPr>
            <w:tcW w:w="6420" w:type="dxa"/>
            <w:vAlign w:val="bottom"/>
          </w:tcPr>
          <w:p>
            <w:pPr>
              <w:spacing w:after="0"/>
              <w:rPr>
                <w:sz w:val="10"/>
                <w:szCs w:val="10"/>
                <w:color w:val="auto"/>
              </w:rPr>
            </w:pPr>
          </w:p>
        </w:tc>
        <w:tc>
          <w:tcPr>
            <w:tcW w:w="152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2022</w:t>
            </w:r>
          </w:p>
        </w:tc>
        <w:tc>
          <w:tcPr>
            <w:tcW w:w="2000" w:type="dxa"/>
            <w:vAlign w:val="bottom"/>
          </w:tcPr>
          <w:p>
            <w:pPr>
              <w:jc w:val="right"/>
              <w:ind w:right="503"/>
              <w:spacing w:after="0" w:line="126" w:lineRule="exact"/>
              <w:rPr>
                <w:sz w:val="20"/>
                <w:szCs w:val="20"/>
                <w:color w:val="auto"/>
              </w:rPr>
            </w:pPr>
            <w:r>
              <w:rPr>
                <w:rFonts w:ascii="Calibri" w:cs="Calibri" w:eastAsia="Calibri" w:hAnsi="Calibri"/>
                <w:sz w:val="11"/>
                <w:szCs w:val="11"/>
                <w:b w:val="1"/>
                <w:bCs w:val="1"/>
                <w:color w:val="auto"/>
              </w:rPr>
              <w:t>2021</w:t>
            </w:r>
          </w:p>
        </w:tc>
        <w:tc>
          <w:tcPr>
            <w:tcW w:w="108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auto"/>
              </w:rPr>
              <w:t>2020</w:t>
            </w:r>
          </w:p>
        </w:tc>
      </w:tr>
      <w:tr>
        <w:trPr>
          <w:trHeight w:val="46"/>
        </w:trPr>
        <w:tc>
          <w:tcPr>
            <w:tcW w:w="6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51"/>
        </w:trPr>
        <w:tc>
          <w:tcPr>
            <w:tcW w:w="6420" w:type="dxa"/>
            <w:vAlign w:val="bottom"/>
            <w:tcBorders>
              <w:bottom w:val="single" w:sz="8" w:color="DBDBDB"/>
            </w:tcBorders>
            <w:shd w:val="clear" w:color="auto" w:fill="DBDBDB"/>
          </w:tcPr>
          <w:p>
            <w:pPr>
              <w:spacing w:after="0" w:line="126" w:lineRule="exact"/>
              <w:rPr>
                <w:sz w:val="20"/>
                <w:szCs w:val="20"/>
                <w:color w:val="auto"/>
              </w:rPr>
            </w:pPr>
            <w:r>
              <w:rPr>
                <w:rFonts w:ascii="Calibri" w:cs="Calibri" w:eastAsia="Calibri" w:hAnsi="Calibri"/>
                <w:sz w:val="11"/>
                <w:szCs w:val="11"/>
                <w:color w:val="auto"/>
              </w:rPr>
              <w:t>Ant-dilutve stock optons</w:t>
            </w:r>
          </w:p>
        </w:tc>
        <w:tc>
          <w:tcPr>
            <w:tcW w:w="1520" w:type="dxa"/>
            <w:vAlign w:val="bottom"/>
            <w:tcBorders>
              <w:bottom w:val="single" w:sz="8" w:color="DBDBDB"/>
            </w:tcBorders>
            <w:shd w:val="clear" w:color="auto" w:fill="DBDBDB"/>
          </w:tcPr>
          <w:p>
            <w:pPr>
              <w:jc w:val="right"/>
              <w:ind w:right="183"/>
              <w:spacing w:after="0" w:line="126" w:lineRule="exact"/>
              <w:rPr>
                <w:sz w:val="20"/>
                <w:szCs w:val="20"/>
                <w:color w:val="auto"/>
              </w:rPr>
            </w:pPr>
            <w:r>
              <w:rPr>
                <w:rFonts w:ascii="Calibri" w:cs="Calibri" w:eastAsia="Calibri" w:hAnsi="Calibri"/>
                <w:sz w:val="11"/>
                <w:szCs w:val="11"/>
                <w:color w:val="auto"/>
              </w:rPr>
              <w:t>606,453</w:t>
            </w:r>
          </w:p>
        </w:tc>
        <w:tc>
          <w:tcPr>
            <w:tcW w:w="2000" w:type="dxa"/>
            <w:vAlign w:val="bottom"/>
            <w:tcBorders>
              <w:bottom w:val="single" w:sz="8" w:color="DBDBDB"/>
            </w:tcBorders>
            <w:shd w:val="clear" w:color="auto" w:fill="DBDBDB"/>
          </w:tcPr>
          <w:p>
            <w:pPr>
              <w:jc w:val="right"/>
              <w:ind w:right="543"/>
              <w:spacing w:after="0" w:line="126" w:lineRule="exact"/>
              <w:rPr>
                <w:sz w:val="20"/>
                <w:szCs w:val="20"/>
                <w:color w:val="auto"/>
              </w:rPr>
            </w:pPr>
            <w:r>
              <w:rPr>
                <w:rFonts w:ascii="Calibri" w:cs="Calibri" w:eastAsia="Calibri" w:hAnsi="Calibri"/>
                <w:sz w:val="11"/>
                <w:szCs w:val="11"/>
                <w:color w:val="auto"/>
              </w:rPr>
              <w:t>145,735</w:t>
            </w:r>
          </w:p>
        </w:tc>
        <w:tc>
          <w:tcPr>
            <w:tcW w:w="108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1,289,589</w:t>
            </w:r>
          </w:p>
        </w:tc>
      </w:tr>
      <w:tr>
        <w:trPr>
          <w:trHeight w:val="135"/>
        </w:trPr>
        <w:tc>
          <w:tcPr>
            <w:tcW w:w="6420" w:type="dxa"/>
            <w:vAlign w:val="bottom"/>
          </w:tcPr>
          <w:p>
            <w:pPr>
              <w:spacing w:after="0"/>
              <w:rPr>
                <w:sz w:val="20"/>
                <w:szCs w:val="20"/>
                <w:color w:val="auto"/>
              </w:rPr>
            </w:pPr>
            <w:r>
              <w:rPr>
                <w:rFonts w:ascii="Calibri" w:cs="Calibri" w:eastAsia="Calibri" w:hAnsi="Calibri"/>
                <w:sz w:val="11"/>
                <w:szCs w:val="11"/>
                <w:color w:val="auto"/>
              </w:rPr>
              <w:t>Ant-dilutve RSUs</w:t>
            </w:r>
          </w:p>
        </w:tc>
        <w:tc>
          <w:tcPr>
            <w:tcW w:w="1520" w:type="dxa"/>
            <w:vAlign w:val="bottom"/>
          </w:tcPr>
          <w:p>
            <w:pPr>
              <w:jc w:val="right"/>
              <w:ind w:right="183"/>
              <w:spacing w:after="0"/>
              <w:rPr>
                <w:sz w:val="20"/>
                <w:szCs w:val="20"/>
                <w:color w:val="auto"/>
              </w:rPr>
            </w:pPr>
            <w:r>
              <w:rPr>
                <w:rFonts w:ascii="Calibri" w:cs="Calibri" w:eastAsia="Calibri" w:hAnsi="Calibri"/>
                <w:sz w:val="11"/>
                <w:szCs w:val="11"/>
                <w:color w:val="auto"/>
              </w:rPr>
              <w:t>200,681</w:t>
            </w:r>
          </w:p>
        </w:tc>
        <w:tc>
          <w:tcPr>
            <w:tcW w:w="2000" w:type="dxa"/>
            <w:vAlign w:val="bottom"/>
          </w:tcPr>
          <w:p>
            <w:pPr>
              <w:jc w:val="right"/>
              <w:ind w:right="543"/>
              <w:spacing w:after="0"/>
              <w:rPr>
                <w:sz w:val="20"/>
                <w:szCs w:val="20"/>
                <w:color w:val="auto"/>
              </w:rPr>
            </w:pPr>
            <w:r>
              <w:rPr>
                <w:rFonts w:ascii="Calibri" w:cs="Calibri" w:eastAsia="Calibri" w:hAnsi="Calibri"/>
                <w:sz w:val="11"/>
                <w:szCs w:val="11"/>
                <w:color w:val="auto"/>
              </w:rPr>
              <w:t>24,540</w:t>
            </w:r>
          </w:p>
        </w:tc>
        <w:tc>
          <w:tcPr>
            <w:tcW w:w="1080" w:type="dxa"/>
            <w:vAlign w:val="bottom"/>
          </w:tcPr>
          <w:p>
            <w:pPr>
              <w:jc w:val="right"/>
              <w:spacing w:after="0"/>
              <w:rPr>
                <w:sz w:val="20"/>
                <w:szCs w:val="20"/>
                <w:color w:val="auto"/>
              </w:rPr>
            </w:pPr>
            <w:r>
              <w:rPr>
                <w:rFonts w:ascii="Calibri" w:cs="Calibri" w:eastAsia="Calibri" w:hAnsi="Calibri"/>
                <w:sz w:val="11"/>
                <w:szCs w:val="11"/>
                <w:color w:val="auto"/>
              </w:rPr>
              <w:t>—</w:t>
            </w:r>
          </w:p>
        </w:tc>
      </w:tr>
      <w:tr>
        <w:trPr>
          <w:trHeight w:val="46"/>
        </w:trPr>
        <w:tc>
          <w:tcPr>
            <w:tcW w:w="6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Calibri" w:cs="Calibri" w:eastAsia="Calibri" w:hAnsi="Calibri"/>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2" w:right="379" w:bottom="1440" w:gutter="0" w:footer="0" w:header="0"/>
        </w:sectPr>
      </w:pPr>
    </w:p>
    <w:bookmarkStart w:id="70" w:name="page71"/>
    <w:bookmarkEnd w:id="70"/>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hanging="375"/>
        <w:spacing w:after="0"/>
        <w:tabs>
          <w:tab w:leader="none" w:pos="380" w:val="left"/>
        </w:tabs>
        <w:numPr>
          <w:ilvl w:val="0"/>
          <w:numId w:val="28"/>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Related Party Transactons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Transactons with related partes included in the consolidated fnancial statements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Calibri" w:cs="Calibri" w:eastAsia="Calibri" w:hAnsi="Calibri"/>
                <w:sz w:val="10"/>
                <w:szCs w:val="10"/>
                <w:b w:val="1"/>
                <w:bCs w:val="1"/>
                <w:color w:val="auto"/>
              </w:rPr>
              <w:t>Consolidated Balance Sheets</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360" w:type="dxa"/>
            <w:vAlign w:val="bottom"/>
            <w:gridSpan w:val="3"/>
          </w:tcPr>
          <w:p>
            <w:pPr>
              <w:jc w:val="right"/>
              <w:ind w:right="431"/>
              <w:spacing w:after="0"/>
              <w:rPr>
                <w:sz w:val="20"/>
                <w:szCs w:val="20"/>
                <w:color w:val="auto"/>
              </w:rPr>
            </w:pPr>
            <w:r>
              <w:rPr>
                <w:rFonts w:ascii="Calibri" w:cs="Calibri" w:eastAsia="Calibri" w:hAnsi="Calibri"/>
                <w:sz w:val="10"/>
                <w:szCs w:val="10"/>
                <w:b w:val="1"/>
                <w:bCs w:val="1"/>
                <w:color w:val="auto"/>
              </w:rPr>
              <w:t>Consolidated Statements of (Loss) Income</w:t>
            </w: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9"/>
        </w:trPr>
        <w:tc>
          <w:tcPr>
            <w:tcW w:w="2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1"/>
        </w:trPr>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51"/>
              <w:spacing w:after="0" w:line="121" w:lineRule="exact"/>
              <w:rPr>
                <w:sz w:val="20"/>
                <w:szCs w:val="20"/>
                <w:color w:val="auto"/>
              </w:rPr>
            </w:pPr>
            <w:r>
              <w:rPr>
                <w:rFonts w:ascii="Calibri" w:cs="Calibri" w:eastAsia="Calibri" w:hAnsi="Calibri"/>
                <w:sz w:val="10"/>
                <w:szCs w:val="10"/>
                <w:b w:val="1"/>
                <w:bCs w:val="1"/>
                <w:color w:val="auto"/>
              </w:rPr>
              <w:t>Loans to equity method</w:t>
            </w:r>
          </w:p>
        </w:tc>
        <w:tc>
          <w:tcPr>
            <w:tcW w:w="1460" w:type="dxa"/>
            <w:vAlign w:val="bottom"/>
            <w:gridSpan w:val="3"/>
          </w:tcPr>
          <w:p>
            <w:pPr>
              <w:ind w:left="80"/>
              <w:spacing w:after="0" w:line="121" w:lineRule="exact"/>
              <w:rPr>
                <w:sz w:val="20"/>
                <w:szCs w:val="20"/>
                <w:color w:val="auto"/>
              </w:rPr>
            </w:pPr>
            <w:r>
              <w:rPr>
                <w:rFonts w:ascii="Calibri" w:cs="Calibri" w:eastAsia="Calibri" w:hAnsi="Calibri"/>
                <w:sz w:val="10"/>
                <w:szCs w:val="10"/>
                <w:b w:val="1"/>
                <w:bCs w:val="1"/>
                <w:color w:val="auto"/>
              </w:rPr>
              <w:t>Accounts payable &amp; accrued</w:t>
            </w: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31"/>
              <w:spacing w:after="0" w:line="121" w:lineRule="exact"/>
              <w:rPr>
                <w:sz w:val="20"/>
                <w:szCs w:val="20"/>
                <w:color w:val="auto"/>
              </w:rPr>
            </w:pPr>
            <w:r>
              <w:rPr>
                <w:rFonts w:ascii="Calibri" w:cs="Calibri" w:eastAsia="Calibri" w:hAnsi="Calibri"/>
                <w:sz w:val="10"/>
                <w:szCs w:val="10"/>
                <w:b w:val="1"/>
                <w:bCs w:val="1"/>
                <w:color w:val="auto"/>
              </w:rPr>
              <w:t>Selling, general and</w:t>
            </w:r>
          </w:p>
        </w:tc>
        <w:tc>
          <w:tcPr>
            <w:tcW w:w="180" w:type="dxa"/>
            <w:vAlign w:val="bottom"/>
          </w:tcPr>
          <w:p>
            <w:pPr>
              <w:spacing w:after="0"/>
              <w:rPr>
                <w:sz w:val="10"/>
                <w:szCs w:val="10"/>
                <w:color w:val="auto"/>
              </w:rPr>
            </w:pPr>
          </w:p>
        </w:tc>
        <w:tc>
          <w:tcPr>
            <w:tcW w:w="1080" w:type="dxa"/>
            <w:vAlign w:val="bottom"/>
          </w:tcPr>
          <w:p>
            <w:pPr>
              <w:jc w:val="right"/>
              <w:spacing w:after="0" w:line="121" w:lineRule="exact"/>
              <w:rPr>
                <w:sz w:val="20"/>
                <w:szCs w:val="20"/>
                <w:color w:val="auto"/>
              </w:rPr>
            </w:pPr>
            <w:r>
              <w:rPr>
                <w:rFonts w:ascii="Calibri" w:cs="Calibri" w:eastAsia="Calibri" w:hAnsi="Calibri"/>
                <w:sz w:val="10"/>
                <w:szCs w:val="10"/>
                <w:b w:val="1"/>
                <w:bCs w:val="1"/>
                <w:color w:val="auto"/>
              </w:rPr>
              <w:t>Other income (expense),</w:t>
            </w:r>
          </w:p>
        </w:tc>
      </w:tr>
      <w:tr>
        <w:trPr>
          <w:trHeight w:val="137"/>
        </w:trPr>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31"/>
              <w:spacing w:after="0" w:line="117" w:lineRule="exact"/>
              <w:rPr>
                <w:sz w:val="20"/>
                <w:szCs w:val="20"/>
                <w:color w:val="auto"/>
              </w:rPr>
            </w:pPr>
            <w:r>
              <w:rPr>
                <w:rFonts w:ascii="Calibri" w:cs="Calibri" w:eastAsia="Calibri" w:hAnsi="Calibri"/>
                <w:sz w:val="10"/>
                <w:szCs w:val="10"/>
                <w:b w:val="1"/>
                <w:bCs w:val="1"/>
                <w:color w:val="auto"/>
              </w:rPr>
              <w:t>Accounts receivable</w:t>
            </w:r>
          </w:p>
        </w:tc>
        <w:tc>
          <w:tcPr>
            <w:tcW w:w="200" w:type="dxa"/>
            <w:vAlign w:val="bottom"/>
          </w:tcPr>
          <w:p>
            <w:pPr>
              <w:spacing w:after="0"/>
              <w:rPr>
                <w:sz w:val="11"/>
                <w:szCs w:val="11"/>
                <w:color w:val="auto"/>
              </w:rPr>
            </w:pPr>
          </w:p>
        </w:tc>
        <w:tc>
          <w:tcPr>
            <w:tcW w:w="1140" w:type="dxa"/>
            <w:vAlign w:val="bottom"/>
          </w:tcPr>
          <w:p>
            <w:pPr>
              <w:jc w:val="right"/>
              <w:ind w:right="51"/>
              <w:spacing w:after="0"/>
              <w:rPr>
                <w:sz w:val="20"/>
                <w:szCs w:val="20"/>
                <w:color w:val="auto"/>
              </w:rPr>
            </w:pPr>
            <w:r>
              <w:rPr>
                <w:rFonts w:ascii="Calibri" w:cs="Calibri" w:eastAsia="Calibri" w:hAnsi="Calibri"/>
                <w:sz w:val="10"/>
                <w:szCs w:val="10"/>
                <w:b w:val="1"/>
                <w:bCs w:val="1"/>
                <w:color w:val="auto"/>
              </w:rPr>
              <w:t>investees</w:t>
            </w:r>
          </w:p>
        </w:tc>
        <w:tc>
          <w:tcPr>
            <w:tcW w:w="500" w:type="dxa"/>
            <w:vAlign w:val="bottom"/>
          </w:tcPr>
          <w:p>
            <w:pPr>
              <w:spacing w:after="0"/>
              <w:rPr>
                <w:sz w:val="11"/>
                <w:szCs w:val="11"/>
                <w:color w:val="auto"/>
              </w:rPr>
            </w:pPr>
          </w:p>
        </w:tc>
        <w:tc>
          <w:tcPr>
            <w:tcW w:w="960" w:type="dxa"/>
            <w:vAlign w:val="bottom"/>
            <w:gridSpan w:val="2"/>
          </w:tcPr>
          <w:p>
            <w:pPr>
              <w:ind w:left="360"/>
              <w:spacing w:after="0"/>
              <w:rPr>
                <w:sz w:val="20"/>
                <w:szCs w:val="20"/>
                <w:color w:val="auto"/>
              </w:rPr>
            </w:pPr>
            <w:r>
              <w:rPr>
                <w:rFonts w:ascii="Calibri" w:cs="Calibri" w:eastAsia="Calibri" w:hAnsi="Calibri"/>
                <w:sz w:val="10"/>
                <w:szCs w:val="10"/>
                <w:b w:val="1"/>
                <w:bCs w:val="1"/>
                <w:color w:val="auto"/>
              </w:rPr>
              <w:t>expenses</w:t>
            </w:r>
          </w:p>
        </w:tc>
        <w:tc>
          <w:tcPr>
            <w:tcW w:w="420" w:type="dxa"/>
            <w:vAlign w:val="bottom"/>
          </w:tcPr>
          <w:p>
            <w:pPr>
              <w:spacing w:after="0"/>
              <w:rPr>
                <w:sz w:val="11"/>
                <w:szCs w:val="11"/>
                <w:color w:val="auto"/>
              </w:rPr>
            </w:pPr>
          </w:p>
        </w:tc>
        <w:tc>
          <w:tcPr>
            <w:tcW w:w="820" w:type="dxa"/>
            <w:vAlign w:val="bottom"/>
          </w:tcPr>
          <w:p>
            <w:pPr>
              <w:jc w:val="right"/>
              <w:ind w:right="31"/>
              <w:spacing w:after="0" w:line="117" w:lineRule="exact"/>
              <w:rPr>
                <w:sz w:val="20"/>
                <w:szCs w:val="20"/>
                <w:color w:val="auto"/>
              </w:rPr>
            </w:pPr>
            <w:r>
              <w:rPr>
                <w:rFonts w:ascii="Calibri" w:cs="Calibri" w:eastAsia="Calibri" w:hAnsi="Calibri"/>
                <w:sz w:val="10"/>
                <w:szCs w:val="10"/>
                <w:b w:val="1"/>
                <w:bCs w:val="1"/>
                <w:color w:val="auto"/>
              </w:rPr>
              <w:t>Net sales</w:t>
            </w:r>
          </w:p>
        </w:tc>
        <w:tc>
          <w:tcPr>
            <w:tcW w:w="320" w:type="dxa"/>
            <w:vAlign w:val="bottom"/>
          </w:tcPr>
          <w:p>
            <w:pPr>
              <w:spacing w:after="0"/>
              <w:rPr>
                <w:sz w:val="11"/>
                <w:szCs w:val="11"/>
                <w:color w:val="auto"/>
              </w:rPr>
            </w:pPr>
          </w:p>
        </w:tc>
        <w:tc>
          <w:tcPr>
            <w:tcW w:w="1020" w:type="dxa"/>
            <w:vAlign w:val="bottom"/>
          </w:tcPr>
          <w:p>
            <w:pPr>
              <w:jc w:val="right"/>
              <w:ind w:right="31"/>
              <w:spacing w:after="0" w:line="117" w:lineRule="exact"/>
              <w:rPr>
                <w:sz w:val="20"/>
                <w:szCs w:val="20"/>
                <w:color w:val="auto"/>
              </w:rPr>
            </w:pPr>
            <w:r>
              <w:rPr>
                <w:rFonts w:ascii="Calibri" w:cs="Calibri" w:eastAsia="Calibri" w:hAnsi="Calibri"/>
                <w:sz w:val="10"/>
                <w:szCs w:val="10"/>
                <w:b w:val="1"/>
                <w:bCs w:val="1"/>
                <w:color w:val="auto"/>
              </w:rPr>
              <w:t>Cost of sales</w:t>
            </w:r>
          </w:p>
        </w:tc>
        <w:tc>
          <w:tcPr>
            <w:tcW w:w="200" w:type="dxa"/>
            <w:vAlign w:val="bottom"/>
          </w:tcPr>
          <w:p>
            <w:pPr>
              <w:spacing w:after="0"/>
              <w:rPr>
                <w:sz w:val="11"/>
                <w:szCs w:val="11"/>
                <w:color w:val="auto"/>
              </w:rPr>
            </w:pPr>
          </w:p>
        </w:tc>
        <w:tc>
          <w:tcPr>
            <w:tcW w:w="1140" w:type="dxa"/>
            <w:vAlign w:val="bottom"/>
          </w:tcPr>
          <w:p>
            <w:pPr>
              <w:jc w:val="right"/>
              <w:ind w:right="31"/>
              <w:spacing w:after="0"/>
              <w:rPr>
                <w:sz w:val="20"/>
                <w:szCs w:val="20"/>
                <w:color w:val="auto"/>
              </w:rPr>
            </w:pPr>
            <w:r>
              <w:rPr>
                <w:rFonts w:ascii="Calibri" w:cs="Calibri" w:eastAsia="Calibri" w:hAnsi="Calibri"/>
                <w:sz w:val="10"/>
                <w:szCs w:val="10"/>
                <w:b w:val="1"/>
                <w:bCs w:val="1"/>
                <w:color w:val="auto"/>
              </w:rPr>
              <w:t>administratve expenses</w:t>
            </w: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Calibri" w:cs="Calibri" w:eastAsia="Calibri" w:hAnsi="Calibri"/>
                <w:sz w:val="10"/>
                <w:szCs w:val="10"/>
                <w:b w:val="1"/>
                <w:bCs w:val="1"/>
                <w:color w:val="auto"/>
              </w:rPr>
              <w:t>net</w:t>
            </w:r>
          </w:p>
        </w:tc>
      </w:tr>
      <w:tr>
        <w:trPr>
          <w:trHeight w:val="130"/>
        </w:trPr>
        <w:tc>
          <w:tcPr>
            <w:tcW w:w="2060" w:type="dxa"/>
            <w:vAlign w:val="bottom"/>
          </w:tcPr>
          <w:p>
            <w:pPr>
              <w:ind w:left="20"/>
              <w:spacing w:after="0"/>
              <w:rPr>
                <w:sz w:val="20"/>
                <w:szCs w:val="20"/>
                <w:color w:val="auto"/>
              </w:rPr>
            </w:pPr>
            <w:r>
              <w:rPr>
                <w:rFonts w:ascii="Calibri" w:cs="Calibri" w:eastAsia="Calibri" w:hAnsi="Calibri"/>
                <w:sz w:val="10"/>
                <w:szCs w:val="10"/>
                <w:b w:val="1"/>
                <w:bCs w:val="1"/>
                <w:color w:val="auto"/>
              </w:rPr>
              <w:t>(In millions)</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71"/>
              <w:spacing w:after="0"/>
              <w:rPr>
                <w:sz w:val="20"/>
                <w:szCs w:val="20"/>
                <w:color w:val="auto"/>
              </w:rPr>
            </w:pPr>
            <w:r>
              <w:rPr>
                <w:rFonts w:ascii="Calibri" w:cs="Calibri" w:eastAsia="Calibri" w:hAnsi="Calibri"/>
                <w:sz w:val="10"/>
                <w:szCs w:val="10"/>
                <w:b w:val="1"/>
                <w:bCs w:val="1"/>
                <w:color w:val="auto"/>
              </w:rPr>
              <w:t>October 31, 2022</w:t>
            </w: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gridSpan w:val="3"/>
          </w:tcPr>
          <w:p>
            <w:pPr>
              <w:jc w:val="right"/>
              <w:ind w:right="691"/>
              <w:spacing w:after="0"/>
              <w:rPr>
                <w:sz w:val="20"/>
                <w:szCs w:val="20"/>
                <w:color w:val="auto"/>
              </w:rPr>
            </w:pPr>
            <w:r>
              <w:rPr>
                <w:rFonts w:ascii="Calibri" w:cs="Calibri" w:eastAsia="Calibri" w:hAnsi="Calibri"/>
                <w:sz w:val="10"/>
                <w:szCs w:val="10"/>
                <w:b w:val="1"/>
                <w:bCs w:val="1"/>
                <w:color w:val="auto"/>
              </w:rPr>
              <w:t>Year ended October 31, 2022</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r>
      <w:tr>
        <w:trPr>
          <w:trHeight w:val="29"/>
        </w:trPr>
        <w:tc>
          <w:tcPr>
            <w:tcW w:w="2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0"/>
        </w:trPr>
        <w:tc>
          <w:tcPr>
            <w:tcW w:w="2060" w:type="dxa"/>
            <w:vAlign w:val="bottom"/>
            <w:tcBorders>
              <w:bottom w:val="single" w:sz="8" w:color="DBDBDB"/>
            </w:tcBorders>
            <w:shd w:val="clear" w:color="auto" w:fill="DBDBDB"/>
          </w:tcPr>
          <w:p>
            <w:pPr>
              <w:ind w:left="20"/>
              <w:spacing w:after="0" w:line="121" w:lineRule="exact"/>
              <w:rPr>
                <w:sz w:val="20"/>
                <w:szCs w:val="20"/>
                <w:color w:val="auto"/>
              </w:rPr>
            </w:pPr>
            <w:r>
              <w:rPr>
                <w:rFonts w:ascii="Calibri" w:cs="Calibri" w:eastAsia="Calibri" w:hAnsi="Calibri"/>
                <w:sz w:val="10"/>
                <w:szCs w:val="10"/>
                <w:b w:val="1"/>
                <w:bCs w:val="1"/>
                <w:color w:val="auto"/>
              </w:rPr>
              <w:t>Equity method investees:</w:t>
            </w:r>
          </w:p>
        </w:tc>
        <w:tc>
          <w:tcPr>
            <w:tcW w:w="200" w:type="dxa"/>
            <w:vAlign w:val="bottom"/>
            <w:tcBorders>
              <w:bottom w:val="single" w:sz="8" w:color="DBDBDB"/>
            </w:tcBorders>
            <w:shd w:val="clear" w:color="auto" w:fill="DBDBDB"/>
          </w:tcPr>
          <w:p>
            <w:pPr>
              <w:spacing w:after="0"/>
              <w:rPr>
                <w:sz w:val="11"/>
                <w:szCs w:val="11"/>
                <w:color w:val="auto"/>
              </w:rPr>
            </w:pPr>
          </w:p>
        </w:tc>
        <w:tc>
          <w:tcPr>
            <w:tcW w:w="1040" w:type="dxa"/>
            <w:vAlign w:val="bottom"/>
            <w:tcBorders>
              <w:bottom w:val="single" w:sz="8" w:color="DBDBDB"/>
            </w:tcBorders>
            <w:shd w:val="clear" w:color="auto" w:fill="DBDBDB"/>
          </w:tcPr>
          <w:p>
            <w:pPr>
              <w:spacing w:after="0"/>
              <w:rPr>
                <w:sz w:val="11"/>
                <w:szCs w:val="11"/>
                <w:color w:val="auto"/>
              </w:rPr>
            </w:pPr>
          </w:p>
        </w:tc>
        <w:tc>
          <w:tcPr>
            <w:tcW w:w="200" w:type="dxa"/>
            <w:vAlign w:val="bottom"/>
            <w:tcBorders>
              <w:bottom w:val="single" w:sz="8" w:color="DBDBDB"/>
            </w:tcBorders>
            <w:shd w:val="clear" w:color="auto" w:fill="DBDBDB"/>
          </w:tcPr>
          <w:p>
            <w:pPr>
              <w:spacing w:after="0"/>
              <w:rPr>
                <w:sz w:val="11"/>
                <w:szCs w:val="11"/>
                <w:color w:val="auto"/>
              </w:rPr>
            </w:pPr>
          </w:p>
        </w:tc>
        <w:tc>
          <w:tcPr>
            <w:tcW w:w="1140" w:type="dxa"/>
            <w:vAlign w:val="bottom"/>
            <w:tcBorders>
              <w:bottom w:val="single" w:sz="8" w:color="DBDBDB"/>
            </w:tcBorders>
            <w:shd w:val="clear" w:color="auto" w:fill="DBDBDB"/>
          </w:tcPr>
          <w:p>
            <w:pPr>
              <w:spacing w:after="0"/>
              <w:rPr>
                <w:sz w:val="11"/>
                <w:szCs w:val="11"/>
                <w:color w:val="auto"/>
              </w:rPr>
            </w:pPr>
          </w:p>
        </w:tc>
        <w:tc>
          <w:tcPr>
            <w:tcW w:w="500" w:type="dxa"/>
            <w:vAlign w:val="bottom"/>
            <w:tcBorders>
              <w:bottom w:val="single" w:sz="8" w:color="DBDBDB"/>
            </w:tcBorders>
            <w:shd w:val="clear" w:color="auto" w:fill="DBDBDB"/>
          </w:tcPr>
          <w:p>
            <w:pPr>
              <w:spacing w:after="0"/>
              <w:rPr>
                <w:sz w:val="11"/>
                <w:szCs w:val="11"/>
                <w:color w:val="auto"/>
              </w:rPr>
            </w:pPr>
          </w:p>
        </w:tc>
        <w:tc>
          <w:tcPr>
            <w:tcW w:w="760" w:type="dxa"/>
            <w:vAlign w:val="bottom"/>
            <w:tcBorders>
              <w:bottom w:val="single" w:sz="8" w:color="DBDBDB"/>
            </w:tcBorders>
            <w:shd w:val="clear" w:color="auto" w:fill="DBDBDB"/>
          </w:tcPr>
          <w:p>
            <w:pPr>
              <w:spacing w:after="0"/>
              <w:rPr>
                <w:sz w:val="11"/>
                <w:szCs w:val="11"/>
                <w:color w:val="auto"/>
              </w:rPr>
            </w:pPr>
          </w:p>
        </w:tc>
        <w:tc>
          <w:tcPr>
            <w:tcW w:w="200" w:type="dxa"/>
            <w:vAlign w:val="bottom"/>
            <w:tcBorders>
              <w:bottom w:val="single" w:sz="8" w:color="DBDBDB"/>
            </w:tcBorders>
            <w:shd w:val="clear" w:color="auto" w:fill="DBDBDB"/>
          </w:tcPr>
          <w:p>
            <w:pPr>
              <w:spacing w:after="0"/>
              <w:rPr>
                <w:sz w:val="11"/>
                <w:szCs w:val="11"/>
                <w:color w:val="auto"/>
              </w:rPr>
            </w:pPr>
          </w:p>
        </w:tc>
        <w:tc>
          <w:tcPr>
            <w:tcW w:w="420" w:type="dxa"/>
            <w:vAlign w:val="bottom"/>
            <w:tcBorders>
              <w:bottom w:val="single" w:sz="8" w:color="DBDBDB"/>
            </w:tcBorders>
            <w:shd w:val="clear" w:color="auto" w:fill="DBDBDB"/>
          </w:tcPr>
          <w:p>
            <w:pPr>
              <w:spacing w:after="0"/>
              <w:rPr>
                <w:sz w:val="11"/>
                <w:szCs w:val="11"/>
                <w:color w:val="auto"/>
              </w:rPr>
            </w:pPr>
          </w:p>
        </w:tc>
        <w:tc>
          <w:tcPr>
            <w:tcW w:w="820" w:type="dxa"/>
            <w:vAlign w:val="bottom"/>
            <w:tcBorders>
              <w:bottom w:val="single" w:sz="8" w:color="DBDBDB"/>
            </w:tcBorders>
            <w:shd w:val="clear" w:color="auto" w:fill="DBDBDB"/>
          </w:tcPr>
          <w:p>
            <w:pPr>
              <w:spacing w:after="0"/>
              <w:rPr>
                <w:sz w:val="11"/>
                <w:szCs w:val="11"/>
                <w:color w:val="auto"/>
              </w:rPr>
            </w:pPr>
          </w:p>
        </w:tc>
        <w:tc>
          <w:tcPr>
            <w:tcW w:w="320" w:type="dxa"/>
            <w:vAlign w:val="bottom"/>
            <w:tcBorders>
              <w:bottom w:val="single" w:sz="8" w:color="DBDBDB"/>
            </w:tcBorders>
            <w:shd w:val="clear" w:color="auto" w:fill="DBDBDB"/>
          </w:tcPr>
          <w:p>
            <w:pPr>
              <w:spacing w:after="0"/>
              <w:rPr>
                <w:sz w:val="11"/>
                <w:szCs w:val="11"/>
                <w:color w:val="auto"/>
              </w:rPr>
            </w:pPr>
          </w:p>
        </w:tc>
        <w:tc>
          <w:tcPr>
            <w:tcW w:w="1020" w:type="dxa"/>
            <w:vAlign w:val="bottom"/>
            <w:tcBorders>
              <w:bottom w:val="single" w:sz="8" w:color="DBDBDB"/>
            </w:tcBorders>
            <w:shd w:val="clear" w:color="auto" w:fill="DBDBDB"/>
          </w:tcPr>
          <w:p>
            <w:pPr>
              <w:spacing w:after="0"/>
              <w:rPr>
                <w:sz w:val="11"/>
                <w:szCs w:val="11"/>
                <w:color w:val="auto"/>
              </w:rPr>
            </w:pPr>
          </w:p>
        </w:tc>
        <w:tc>
          <w:tcPr>
            <w:tcW w:w="200" w:type="dxa"/>
            <w:vAlign w:val="bottom"/>
            <w:tcBorders>
              <w:bottom w:val="single" w:sz="8" w:color="DBDBDB"/>
            </w:tcBorders>
            <w:shd w:val="clear" w:color="auto" w:fill="DBDBDB"/>
          </w:tcPr>
          <w:p>
            <w:pPr>
              <w:spacing w:after="0"/>
              <w:rPr>
                <w:sz w:val="11"/>
                <w:szCs w:val="11"/>
                <w:color w:val="auto"/>
              </w:rPr>
            </w:pPr>
          </w:p>
        </w:tc>
        <w:tc>
          <w:tcPr>
            <w:tcW w:w="1140" w:type="dxa"/>
            <w:vAlign w:val="bottom"/>
            <w:tcBorders>
              <w:bottom w:val="single" w:sz="8" w:color="DBDBDB"/>
            </w:tcBorders>
            <w:shd w:val="clear" w:color="auto" w:fill="DBDBDB"/>
          </w:tcPr>
          <w:p>
            <w:pPr>
              <w:spacing w:after="0"/>
              <w:rPr>
                <w:sz w:val="11"/>
                <w:szCs w:val="11"/>
                <w:color w:val="auto"/>
              </w:rPr>
            </w:pPr>
          </w:p>
        </w:tc>
        <w:tc>
          <w:tcPr>
            <w:tcW w:w="180" w:type="dxa"/>
            <w:vAlign w:val="bottom"/>
            <w:tcBorders>
              <w:bottom w:val="single" w:sz="8" w:color="DBDBDB"/>
            </w:tcBorders>
            <w:shd w:val="clear" w:color="auto" w:fill="DBDBDB"/>
          </w:tcPr>
          <w:p>
            <w:pPr>
              <w:spacing w:after="0"/>
              <w:rPr>
                <w:sz w:val="11"/>
                <w:szCs w:val="11"/>
                <w:color w:val="auto"/>
              </w:rPr>
            </w:pPr>
          </w:p>
        </w:tc>
        <w:tc>
          <w:tcPr>
            <w:tcW w:w="1080" w:type="dxa"/>
            <w:vAlign w:val="bottom"/>
            <w:tcBorders>
              <w:bottom w:val="single" w:sz="8" w:color="DBDBDB"/>
            </w:tcBorders>
            <w:shd w:val="clear" w:color="auto" w:fill="DBDBDB"/>
          </w:tcPr>
          <w:p>
            <w:pPr>
              <w:spacing w:after="0"/>
              <w:rPr>
                <w:sz w:val="11"/>
                <w:szCs w:val="11"/>
                <w:color w:val="auto"/>
              </w:rPr>
            </w:pPr>
          </w:p>
        </w:tc>
      </w:tr>
      <w:tr>
        <w:trPr>
          <w:trHeight w:val="130"/>
        </w:trPr>
        <w:tc>
          <w:tcPr>
            <w:tcW w:w="2060" w:type="dxa"/>
            <w:vAlign w:val="bottom"/>
          </w:tcPr>
          <w:p>
            <w:pPr>
              <w:ind w:left="100"/>
              <w:spacing w:after="0"/>
              <w:rPr>
                <w:sz w:val="20"/>
                <w:szCs w:val="20"/>
                <w:color w:val="auto"/>
              </w:rPr>
            </w:pPr>
            <w:r>
              <w:rPr>
                <w:rFonts w:ascii="Calibri" w:cs="Calibri" w:eastAsia="Calibri" w:hAnsi="Calibri"/>
                <w:sz w:val="10"/>
                <w:szCs w:val="10"/>
                <w:color w:val="auto"/>
              </w:rPr>
              <w:t>Henry Avocado</w:t>
            </w:r>
          </w:p>
        </w:tc>
        <w:tc>
          <w:tcPr>
            <w:tcW w:w="200" w:type="dxa"/>
            <w:vAlign w:val="bottom"/>
          </w:tcPr>
          <w:p>
            <w:pPr>
              <w:jc w:val="right"/>
              <w:ind w:right="91"/>
              <w:spacing w:after="0"/>
              <w:rPr>
                <w:sz w:val="20"/>
                <w:szCs w:val="20"/>
                <w:color w:val="auto"/>
              </w:rPr>
            </w:pPr>
            <w:r>
              <w:rPr>
                <w:rFonts w:ascii="Calibri" w:cs="Calibri" w:eastAsia="Calibri" w:hAnsi="Calibri"/>
                <w:sz w:val="10"/>
                <w:szCs w:val="10"/>
                <w:color w:val="auto"/>
                <w:w w:val="77"/>
              </w:rPr>
              <w:t>$</w:t>
            </w:r>
          </w:p>
        </w:tc>
        <w:tc>
          <w:tcPr>
            <w:tcW w:w="10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ind w:left="100"/>
              <w:spacing w:after="0"/>
              <w:rPr>
                <w:sz w:val="20"/>
                <w:szCs w:val="20"/>
                <w:color w:val="auto"/>
              </w:rPr>
            </w:pPr>
            <w:r>
              <w:rPr>
                <w:rFonts w:ascii="Calibri" w:cs="Calibri" w:eastAsia="Calibri" w:hAnsi="Calibri"/>
                <w:sz w:val="10"/>
                <w:szCs w:val="10"/>
                <w:color w:val="auto"/>
              </w:rPr>
              <w:t>$</w:t>
            </w: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tcPr>
          <w:p>
            <w:pPr>
              <w:ind w:left="80"/>
              <w:spacing w:after="0"/>
              <w:rPr>
                <w:sz w:val="20"/>
                <w:szCs w:val="20"/>
                <w:color w:val="auto"/>
              </w:rPr>
            </w:pPr>
            <w:r>
              <w:rPr>
                <w:rFonts w:ascii="Calibri" w:cs="Calibri" w:eastAsia="Calibri" w:hAnsi="Calibri"/>
                <w:sz w:val="10"/>
                <w:szCs w:val="10"/>
                <w:color w:val="auto"/>
              </w:rPr>
              <w:t>$</w:t>
            </w:r>
          </w:p>
        </w:tc>
        <w:tc>
          <w:tcPr>
            <w:tcW w:w="960" w:type="dxa"/>
            <w:vAlign w:val="bottom"/>
            <w:gridSpan w:val="2"/>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tcPr>
          <w:p>
            <w:pPr>
              <w:jc w:val="right"/>
              <w:ind w:right="311"/>
              <w:spacing w:after="0"/>
              <w:rPr>
                <w:sz w:val="20"/>
                <w:szCs w:val="20"/>
                <w:color w:val="auto"/>
              </w:rPr>
            </w:pPr>
            <w:r>
              <w:rPr>
                <w:rFonts w:ascii="Calibri" w:cs="Calibri" w:eastAsia="Calibri" w:hAnsi="Calibri"/>
                <w:sz w:val="10"/>
                <w:szCs w:val="10"/>
                <w:color w:val="auto"/>
                <w:w w:val="77"/>
              </w:rPr>
              <w:t>$</w:t>
            </w:r>
          </w:p>
        </w:tc>
        <w:tc>
          <w:tcPr>
            <w:tcW w:w="820" w:type="dxa"/>
            <w:vAlign w:val="bottom"/>
          </w:tcPr>
          <w:p>
            <w:pPr>
              <w:jc w:val="right"/>
              <w:ind w:right="71"/>
              <w:spacing w:after="0"/>
              <w:rPr>
                <w:sz w:val="20"/>
                <w:szCs w:val="20"/>
                <w:color w:val="auto"/>
              </w:rPr>
            </w:pPr>
            <w:r>
              <w:rPr>
                <w:rFonts w:ascii="Calibri" w:cs="Calibri" w:eastAsia="Calibri" w:hAnsi="Calibri"/>
                <w:sz w:val="10"/>
                <w:szCs w:val="10"/>
                <w:color w:val="auto"/>
              </w:rPr>
              <w:t>2.7</w:t>
            </w:r>
          </w:p>
        </w:tc>
        <w:tc>
          <w:tcPr>
            <w:tcW w:w="320" w:type="dxa"/>
            <w:vAlign w:val="bottom"/>
          </w:tcPr>
          <w:p>
            <w:pPr>
              <w:jc w:val="right"/>
              <w:ind w:right="131"/>
              <w:spacing w:after="0"/>
              <w:rPr>
                <w:sz w:val="20"/>
                <w:szCs w:val="20"/>
                <w:color w:val="auto"/>
              </w:rPr>
            </w:pPr>
            <w:r>
              <w:rPr>
                <w:rFonts w:ascii="Calibri" w:cs="Calibri" w:eastAsia="Calibri" w:hAnsi="Calibri"/>
                <w:sz w:val="10"/>
                <w:szCs w:val="10"/>
                <w:color w:val="auto"/>
              </w:rPr>
              <w:t>$</w:t>
            </w:r>
          </w:p>
        </w:tc>
        <w:tc>
          <w:tcPr>
            <w:tcW w:w="1020" w:type="dxa"/>
            <w:vAlign w:val="bottom"/>
          </w:tcPr>
          <w:p>
            <w:pPr>
              <w:jc w:val="right"/>
              <w:ind w:right="71"/>
              <w:spacing w:after="0"/>
              <w:rPr>
                <w:sz w:val="20"/>
                <w:szCs w:val="20"/>
                <w:color w:val="auto"/>
              </w:rPr>
            </w:pPr>
            <w:r>
              <w:rPr>
                <w:rFonts w:ascii="Calibri" w:cs="Calibri" w:eastAsia="Calibri" w:hAnsi="Calibri"/>
                <w:sz w:val="10"/>
                <w:szCs w:val="10"/>
                <w:color w:val="auto"/>
              </w:rPr>
              <w:t>0.5</w:t>
            </w:r>
          </w:p>
        </w:tc>
        <w:tc>
          <w:tcPr>
            <w:tcW w:w="20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9"/>
        </w:trPr>
        <w:tc>
          <w:tcPr>
            <w:tcW w:w="2060" w:type="dxa"/>
            <w:vAlign w:val="bottom"/>
            <w:tcBorders>
              <w:bottom w:val="single" w:sz="8" w:color="DBDBDB"/>
            </w:tcBorders>
            <w:shd w:val="clear" w:color="auto" w:fill="DBDBDB"/>
          </w:tcPr>
          <w:p>
            <w:pPr>
              <w:ind w:left="100"/>
              <w:spacing w:after="0"/>
              <w:rPr>
                <w:sz w:val="20"/>
                <w:szCs w:val="20"/>
                <w:color w:val="auto"/>
              </w:rPr>
            </w:pPr>
            <w:r>
              <w:rPr>
                <w:rFonts w:ascii="Calibri" w:cs="Calibri" w:eastAsia="Calibri" w:hAnsi="Calibri"/>
                <w:sz w:val="10"/>
                <w:szCs w:val="10"/>
                <w:color w:val="auto"/>
              </w:rPr>
              <w:t>Mr. Avocado</w:t>
            </w:r>
          </w:p>
        </w:tc>
        <w:tc>
          <w:tcPr>
            <w:tcW w:w="200" w:type="dxa"/>
            <w:vAlign w:val="bottom"/>
            <w:tcBorders>
              <w:bottom w:val="single" w:sz="8" w:color="DBDBDB"/>
            </w:tcBorders>
            <w:shd w:val="clear" w:color="auto" w:fill="DBDBDB"/>
          </w:tcPr>
          <w:p>
            <w:pPr>
              <w:spacing w:after="0"/>
              <w:rPr>
                <w:sz w:val="12"/>
                <w:szCs w:val="12"/>
                <w:color w:val="auto"/>
              </w:rPr>
            </w:pPr>
          </w:p>
        </w:tc>
        <w:tc>
          <w:tcPr>
            <w:tcW w:w="104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1.5</w:t>
            </w:r>
          </w:p>
        </w:tc>
        <w:tc>
          <w:tcPr>
            <w:tcW w:w="2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tcBorders>
              <w:bottom w:val="single" w:sz="8" w:color="DBDBDB"/>
            </w:tcBorders>
            <w:shd w:val="clear" w:color="auto" w:fill="DBDBDB"/>
          </w:tcPr>
          <w:p>
            <w:pPr>
              <w:spacing w:after="0"/>
              <w:rPr>
                <w:sz w:val="12"/>
                <w:szCs w:val="12"/>
                <w:color w:val="auto"/>
              </w:rPr>
            </w:pPr>
          </w:p>
        </w:tc>
        <w:tc>
          <w:tcPr>
            <w:tcW w:w="96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2.7</w:t>
            </w:r>
          </w:p>
        </w:tc>
        <w:tc>
          <w:tcPr>
            <w:tcW w:w="3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59"/>
        </w:trPr>
        <w:tc>
          <w:tcPr>
            <w:tcW w:w="2060" w:type="dxa"/>
            <w:vAlign w:val="bottom"/>
          </w:tcPr>
          <w:p>
            <w:pPr>
              <w:ind w:left="100"/>
              <w:spacing w:after="0"/>
              <w:rPr>
                <w:sz w:val="20"/>
                <w:szCs w:val="20"/>
                <w:color w:val="auto"/>
              </w:rPr>
            </w:pPr>
            <w:r>
              <w:rPr>
                <w:rFonts w:ascii="Calibri" w:cs="Calibri" w:eastAsia="Calibri" w:hAnsi="Calibri"/>
                <w:sz w:val="10"/>
                <w:szCs w:val="10"/>
                <w:color w:val="auto"/>
              </w:rPr>
              <w:t>Moruga</w:t>
            </w:r>
            <w:r>
              <w:rPr>
                <w:rFonts w:ascii="Calibri" w:cs="Calibri" w:eastAsia="Calibri" w:hAnsi="Calibri"/>
                <w:sz w:val="12"/>
                <w:szCs w:val="12"/>
                <w:color w:val="auto"/>
                <w:vertAlign w:val="superscript"/>
              </w:rPr>
              <w:t>(1)</w:t>
            </w:r>
          </w:p>
        </w:tc>
        <w:tc>
          <w:tcPr>
            <w:tcW w:w="200" w:type="dxa"/>
            <w:vAlign w:val="bottom"/>
          </w:tcPr>
          <w:p>
            <w:pPr>
              <w:spacing w:after="0"/>
              <w:rPr>
                <w:sz w:val="13"/>
                <w:szCs w:val="13"/>
                <w:color w:val="auto"/>
              </w:rPr>
            </w:pPr>
          </w:p>
        </w:tc>
        <w:tc>
          <w:tcPr>
            <w:tcW w:w="10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3"/>
                <w:szCs w:val="13"/>
                <w:color w:val="auto"/>
              </w:rPr>
            </w:pPr>
          </w:p>
        </w:tc>
        <w:tc>
          <w:tcPr>
            <w:tcW w:w="820" w:type="dxa"/>
            <w:vAlign w:val="bottom"/>
          </w:tcPr>
          <w:p>
            <w:pPr>
              <w:jc w:val="right"/>
              <w:ind w:right="71"/>
              <w:spacing w:after="0"/>
              <w:rPr>
                <w:sz w:val="20"/>
                <w:szCs w:val="20"/>
                <w:color w:val="auto"/>
              </w:rPr>
            </w:pPr>
            <w:r>
              <w:rPr>
                <w:rFonts w:ascii="Calibri" w:cs="Calibri" w:eastAsia="Calibri" w:hAnsi="Calibri"/>
                <w:sz w:val="10"/>
                <w:szCs w:val="10"/>
                <w:color w:val="auto"/>
              </w:rPr>
              <w:t>4.1</w:t>
            </w:r>
          </w:p>
        </w:tc>
        <w:tc>
          <w:tcPr>
            <w:tcW w:w="32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159"/>
        </w:trPr>
        <w:tc>
          <w:tcPr>
            <w:tcW w:w="2060" w:type="dxa"/>
            <w:vAlign w:val="bottom"/>
            <w:shd w:val="clear" w:color="auto" w:fill="DBDBDB"/>
          </w:tcPr>
          <w:p>
            <w:pPr>
              <w:ind w:left="100"/>
              <w:spacing w:after="0"/>
              <w:rPr>
                <w:sz w:val="20"/>
                <w:szCs w:val="20"/>
                <w:color w:val="auto"/>
              </w:rPr>
            </w:pPr>
            <w:r>
              <w:rPr>
                <w:rFonts w:ascii="Calibri" w:cs="Calibri" w:eastAsia="Calibri" w:hAnsi="Calibri"/>
                <w:sz w:val="10"/>
                <w:szCs w:val="10"/>
                <w:color w:val="auto"/>
              </w:rPr>
              <w:t>Copaltas</w:t>
            </w:r>
            <w:r>
              <w:rPr>
                <w:rFonts w:ascii="Calibri" w:cs="Calibri" w:eastAsia="Calibri" w:hAnsi="Calibri"/>
                <w:sz w:val="12"/>
                <w:szCs w:val="12"/>
                <w:color w:val="auto"/>
                <w:vertAlign w:val="superscript"/>
              </w:rPr>
              <w:t>(2)</w:t>
            </w:r>
          </w:p>
        </w:tc>
        <w:tc>
          <w:tcPr>
            <w:tcW w:w="200" w:type="dxa"/>
            <w:vAlign w:val="bottom"/>
            <w:shd w:val="clear" w:color="auto" w:fill="DBDBDB"/>
          </w:tcPr>
          <w:p>
            <w:pPr>
              <w:spacing w:after="0"/>
              <w:rPr>
                <w:sz w:val="13"/>
                <w:szCs w:val="13"/>
                <w:color w:val="auto"/>
              </w:rPr>
            </w:pPr>
          </w:p>
        </w:tc>
        <w:tc>
          <w:tcPr>
            <w:tcW w:w="10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shd w:val="clear" w:color="auto" w:fill="DBDBDB"/>
          </w:tcPr>
          <w:p>
            <w:pPr>
              <w:spacing w:after="0"/>
              <w:rPr>
                <w:sz w:val="13"/>
                <w:szCs w:val="13"/>
                <w:color w:val="auto"/>
              </w:rPr>
            </w:pPr>
          </w:p>
        </w:tc>
        <w:tc>
          <w:tcPr>
            <w:tcW w:w="960" w:type="dxa"/>
            <w:vAlign w:val="bottom"/>
            <w:gridSpan w:val="2"/>
            <w:shd w:val="clear" w:color="auto" w:fill="DBDBDB"/>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shd w:val="clear" w:color="auto" w:fill="DBDBDB"/>
          </w:tcPr>
          <w:p>
            <w:pPr>
              <w:spacing w:after="0"/>
              <w:rPr>
                <w:sz w:val="13"/>
                <w:szCs w:val="13"/>
                <w:color w:val="auto"/>
              </w:rPr>
            </w:pPr>
          </w:p>
        </w:tc>
        <w:tc>
          <w:tcPr>
            <w:tcW w:w="82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0.1</w:t>
            </w:r>
          </w:p>
        </w:tc>
      </w:tr>
      <w:tr>
        <w:trPr>
          <w:trHeight w:val="130"/>
        </w:trPr>
        <w:tc>
          <w:tcPr>
            <w:tcW w:w="2060" w:type="dxa"/>
            <w:vAlign w:val="bottom"/>
          </w:tcPr>
          <w:p>
            <w:pPr>
              <w:ind w:left="20"/>
              <w:spacing w:after="0"/>
              <w:rPr>
                <w:sz w:val="20"/>
                <w:szCs w:val="20"/>
                <w:color w:val="auto"/>
              </w:rPr>
            </w:pPr>
            <w:r>
              <w:rPr>
                <w:rFonts w:ascii="Calibri" w:cs="Calibri" w:eastAsia="Calibri" w:hAnsi="Calibri"/>
                <w:sz w:val="10"/>
                <w:szCs w:val="10"/>
                <w:b w:val="1"/>
                <w:bCs w:val="1"/>
                <w:color w:val="auto"/>
              </w:rPr>
              <w:t>Other:</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
        </w:trPr>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59"/>
        </w:trPr>
        <w:tc>
          <w:tcPr>
            <w:tcW w:w="2060" w:type="dxa"/>
            <w:vAlign w:val="bottom"/>
            <w:shd w:val="clear" w:color="auto" w:fill="DBDBDB"/>
          </w:tcPr>
          <w:p>
            <w:pPr>
              <w:ind w:left="100"/>
              <w:spacing w:after="0"/>
              <w:rPr>
                <w:sz w:val="20"/>
                <w:szCs w:val="20"/>
                <w:color w:val="auto"/>
              </w:rPr>
            </w:pPr>
            <w:r>
              <w:rPr>
                <w:rFonts w:ascii="Calibri" w:cs="Calibri" w:eastAsia="Calibri" w:hAnsi="Calibri"/>
                <w:sz w:val="10"/>
                <w:szCs w:val="10"/>
                <w:color w:val="auto"/>
              </w:rPr>
              <w:t>Directors/ofcers</w:t>
            </w:r>
            <w:r>
              <w:rPr>
                <w:rFonts w:ascii="Calibri" w:cs="Calibri" w:eastAsia="Calibri" w:hAnsi="Calibri"/>
                <w:sz w:val="12"/>
                <w:szCs w:val="12"/>
                <w:color w:val="auto"/>
                <w:vertAlign w:val="superscript"/>
              </w:rPr>
              <w:t>(3)</w:t>
            </w:r>
          </w:p>
        </w:tc>
        <w:tc>
          <w:tcPr>
            <w:tcW w:w="200" w:type="dxa"/>
            <w:vAlign w:val="bottom"/>
            <w:shd w:val="clear" w:color="auto" w:fill="DBDBDB"/>
          </w:tcPr>
          <w:p>
            <w:pPr>
              <w:spacing w:after="0"/>
              <w:rPr>
                <w:sz w:val="13"/>
                <w:szCs w:val="13"/>
                <w:color w:val="auto"/>
              </w:rPr>
            </w:pPr>
          </w:p>
        </w:tc>
        <w:tc>
          <w:tcPr>
            <w:tcW w:w="10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0.1</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shd w:val="clear" w:color="auto" w:fill="DBDBDB"/>
          </w:tcPr>
          <w:p>
            <w:pPr>
              <w:spacing w:after="0"/>
              <w:rPr>
                <w:sz w:val="13"/>
                <w:szCs w:val="13"/>
                <w:color w:val="auto"/>
              </w:rPr>
            </w:pPr>
          </w:p>
        </w:tc>
        <w:tc>
          <w:tcPr>
            <w:tcW w:w="76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2.5</w:t>
            </w:r>
          </w:p>
        </w:tc>
        <w:tc>
          <w:tcPr>
            <w:tcW w:w="2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82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1.0</w:t>
            </w: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5.8</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59"/>
        </w:trPr>
        <w:tc>
          <w:tcPr>
            <w:tcW w:w="2060" w:type="dxa"/>
            <w:vAlign w:val="bottom"/>
          </w:tcPr>
          <w:p>
            <w:pPr>
              <w:ind w:left="100"/>
              <w:spacing w:after="0"/>
              <w:rPr>
                <w:sz w:val="20"/>
                <w:szCs w:val="20"/>
                <w:color w:val="auto"/>
              </w:rPr>
            </w:pPr>
            <w:r>
              <w:rPr>
                <w:rFonts w:ascii="Calibri" w:cs="Calibri" w:eastAsia="Calibri" w:hAnsi="Calibri"/>
                <w:sz w:val="10"/>
                <w:szCs w:val="10"/>
                <w:color w:val="auto"/>
              </w:rPr>
              <w:t>Employees</w:t>
            </w:r>
            <w:r>
              <w:rPr>
                <w:rFonts w:ascii="Calibri" w:cs="Calibri" w:eastAsia="Calibri" w:hAnsi="Calibri"/>
                <w:sz w:val="12"/>
                <w:szCs w:val="12"/>
                <w:color w:val="auto"/>
                <w:vertAlign w:val="superscript"/>
              </w:rPr>
              <w:t>(4)</w:t>
            </w:r>
          </w:p>
        </w:tc>
        <w:tc>
          <w:tcPr>
            <w:tcW w:w="200" w:type="dxa"/>
            <w:vAlign w:val="bottom"/>
          </w:tcPr>
          <w:p>
            <w:pPr>
              <w:spacing w:after="0"/>
              <w:rPr>
                <w:sz w:val="13"/>
                <w:szCs w:val="13"/>
                <w:color w:val="auto"/>
              </w:rPr>
            </w:pPr>
          </w:p>
        </w:tc>
        <w:tc>
          <w:tcPr>
            <w:tcW w:w="10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Calibri" w:cs="Calibri" w:eastAsia="Calibri" w:hAnsi="Calibri"/>
                <w:sz w:val="10"/>
                <w:szCs w:val="10"/>
                <w:color w:val="auto"/>
              </w:rPr>
              <w:t>0.4</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32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Calibri" w:cs="Calibri" w:eastAsia="Calibri" w:hAnsi="Calibri"/>
                <w:sz w:val="10"/>
                <w:szCs w:val="10"/>
                <w:color w:val="auto"/>
              </w:rPr>
              <w:t>6.2</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159"/>
        </w:trPr>
        <w:tc>
          <w:tcPr>
            <w:tcW w:w="206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ind w:right="271"/>
              <w:spacing w:after="0"/>
              <w:rPr>
                <w:sz w:val="20"/>
                <w:szCs w:val="20"/>
                <w:color w:val="auto"/>
              </w:rPr>
            </w:pPr>
            <w:r>
              <w:rPr>
                <w:rFonts w:ascii="Calibri" w:cs="Calibri" w:eastAsia="Calibri" w:hAnsi="Calibri"/>
                <w:sz w:val="10"/>
                <w:szCs w:val="10"/>
                <w:b w:val="1"/>
                <w:bCs w:val="1"/>
                <w:color w:val="auto"/>
              </w:rPr>
              <w:t>October 31, 2021</w:t>
            </w:r>
          </w:p>
        </w:tc>
        <w:tc>
          <w:tcPr>
            <w:tcW w:w="50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DBDBDB"/>
            </w:tcBorders>
            <w:shd w:val="clear" w:color="auto" w:fill="DBDBDB"/>
          </w:tcPr>
          <w:p>
            <w:pPr>
              <w:spacing w:after="0"/>
              <w:rPr>
                <w:sz w:val="13"/>
                <w:szCs w:val="13"/>
                <w:color w:val="auto"/>
              </w:rPr>
            </w:pPr>
          </w:p>
        </w:tc>
        <w:tc>
          <w:tcPr>
            <w:tcW w:w="420" w:type="dxa"/>
            <w:vAlign w:val="bottom"/>
            <w:tcBorders>
              <w:bottom w:val="single" w:sz="8" w:color="DBDBDB"/>
            </w:tcBorders>
            <w:shd w:val="clear" w:color="auto" w:fill="DBDBDB"/>
          </w:tcPr>
          <w:p>
            <w:pPr>
              <w:spacing w:after="0"/>
              <w:rPr>
                <w:sz w:val="13"/>
                <w:szCs w:val="13"/>
                <w:color w:val="auto"/>
              </w:rPr>
            </w:pPr>
          </w:p>
        </w:tc>
        <w:tc>
          <w:tcPr>
            <w:tcW w:w="82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DBDBDB"/>
            </w:tcBorders>
            <w:shd w:val="clear" w:color="auto" w:fill="DBDBDB"/>
          </w:tcPr>
          <w:p>
            <w:pPr>
              <w:spacing w:after="0"/>
              <w:rPr>
                <w:sz w:val="13"/>
                <w:szCs w:val="13"/>
                <w:color w:val="auto"/>
              </w:rPr>
            </w:pPr>
          </w:p>
        </w:tc>
        <w:tc>
          <w:tcPr>
            <w:tcW w:w="2360" w:type="dxa"/>
            <w:vAlign w:val="bottom"/>
            <w:tcBorders>
              <w:bottom w:val="single" w:sz="8" w:color="DBDBDB"/>
            </w:tcBorders>
            <w:gridSpan w:val="3"/>
            <w:shd w:val="clear" w:color="auto" w:fill="DBDBDB"/>
          </w:tcPr>
          <w:p>
            <w:pPr>
              <w:jc w:val="right"/>
              <w:ind w:right="691"/>
              <w:spacing w:after="0"/>
              <w:rPr>
                <w:sz w:val="20"/>
                <w:szCs w:val="20"/>
                <w:color w:val="auto"/>
              </w:rPr>
            </w:pPr>
            <w:r>
              <w:rPr>
                <w:rFonts w:ascii="Calibri" w:cs="Calibri" w:eastAsia="Calibri" w:hAnsi="Calibri"/>
                <w:sz w:val="10"/>
                <w:szCs w:val="10"/>
                <w:b w:val="1"/>
                <w:bCs w:val="1"/>
                <w:color w:val="auto"/>
              </w:rPr>
              <w:t>Year ended October 31, 2021</w:t>
            </w:r>
          </w:p>
        </w:tc>
        <w:tc>
          <w:tcPr>
            <w:tcW w:w="18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spacing w:after="0"/>
              <w:rPr>
                <w:sz w:val="13"/>
                <w:szCs w:val="13"/>
                <w:color w:val="auto"/>
              </w:rPr>
            </w:pPr>
          </w:p>
        </w:tc>
      </w:tr>
      <w:tr>
        <w:trPr>
          <w:trHeight w:val="110"/>
        </w:trPr>
        <w:tc>
          <w:tcPr>
            <w:tcW w:w="2060" w:type="dxa"/>
            <w:vAlign w:val="bottom"/>
          </w:tcPr>
          <w:p>
            <w:pPr>
              <w:ind w:left="20"/>
              <w:spacing w:after="0" w:line="110" w:lineRule="exact"/>
              <w:rPr>
                <w:sz w:val="20"/>
                <w:szCs w:val="20"/>
                <w:color w:val="auto"/>
              </w:rPr>
            </w:pPr>
            <w:r>
              <w:rPr>
                <w:rFonts w:ascii="Calibri" w:cs="Calibri" w:eastAsia="Calibri" w:hAnsi="Calibri"/>
                <w:sz w:val="10"/>
                <w:szCs w:val="10"/>
                <w:b w:val="1"/>
                <w:bCs w:val="1"/>
                <w:color w:val="auto"/>
              </w:rPr>
              <w:t>Equity method investees:</w:t>
            </w:r>
          </w:p>
        </w:tc>
        <w:tc>
          <w:tcPr>
            <w:tcW w:w="2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r>
      <w:tr>
        <w:trPr>
          <w:trHeight w:val="29"/>
        </w:trPr>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9"/>
        </w:trPr>
        <w:tc>
          <w:tcPr>
            <w:tcW w:w="2060" w:type="dxa"/>
            <w:vAlign w:val="bottom"/>
            <w:tcBorders>
              <w:bottom w:val="single" w:sz="8" w:color="DBDBDB"/>
            </w:tcBorders>
            <w:shd w:val="clear" w:color="auto" w:fill="DBDBDB"/>
          </w:tcPr>
          <w:p>
            <w:pPr>
              <w:ind w:left="100"/>
              <w:spacing w:after="0"/>
              <w:rPr>
                <w:sz w:val="20"/>
                <w:szCs w:val="20"/>
                <w:color w:val="auto"/>
              </w:rPr>
            </w:pPr>
            <w:r>
              <w:rPr>
                <w:rFonts w:ascii="Calibri" w:cs="Calibri" w:eastAsia="Calibri" w:hAnsi="Calibri"/>
                <w:sz w:val="10"/>
                <w:szCs w:val="10"/>
                <w:color w:val="auto"/>
              </w:rPr>
              <w:t>Henry Avocado</w:t>
            </w:r>
          </w:p>
        </w:tc>
        <w:tc>
          <w:tcPr>
            <w:tcW w:w="200" w:type="dxa"/>
            <w:vAlign w:val="bottom"/>
            <w:tcBorders>
              <w:bottom w:val="single" w:sz="8" w:color="DBDBDB"/>
            </w:tcBorders>
            <w:shd w:val="clear" w:color="auto" w:fill="DBDBDB"/>
          </w:tcPr>
          <w:p>
            <w:pPr>
              <w:jc w:val="right"/>
              <w:ind w:right="91"/>
              <w:spacing w:after="0"/>
              <w:rPr>
                <w:sz w:val="20"/>
                <w:szCs w:val="20"/>
                <w:color w:val="auto"/>
              </w:rPr>
            </w:pPr>
            <w:r>
              <w:rPr>
                <w:rFonts w:ascii="Calibri" w:cs="Calibri" w:eastAsia="Calibri" w:hAnsi="Calibri"/>
                <w:sz w:val="10"/>
                <w:szCs w:val="10"/>
                <w:color w:val="auto"/>
                <w:w w:val="77"/>
              </w:rPr>
              <w:t>$</w:t>
            </w:r>
          </w:p>
        </w:tc>
        <w:tc>
          <w:tcPr>
            <w:tcW w:w="104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Borders>
              <w:bottom w:val="single" w:sz="8" w:color="DBDBDB"/>
            </w:tcBorders>
            <w:shd w:val="clear" w:color="auto" w:fill="DBDBDB"/>
          </w:tcPr>
          <w:p>
            <w:pPr>
              <w:ind w:left="100"/>
              <w:spacing w:after="0"/>
              <w:rPr>
                <w:sz w:val="20"/>
                <w:szCs w:val="20"/>
                <w:color w:val="auto"/>
              </w:rPr>
            </w:pPr>
            <w:r>
              <w:rPr>
                <w:rFonts w:ascii="Calibri" w:cs="Calibri" w:eastAsia="Calibri" w:hAnsi="Calibri"/>
                <w:sz w:val="10"/>
                <w:szCs w:val="10"/>
                <w:color w:val="auto"/>
              </w:rPr>
              <w:t>$</w:t>
            </w:r>
          </w:p>
        </w:tc>
        <w:tc>
          <w:tcPr>
            <w:tcW w:w="114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tcBorders>
              <w:bottom w:val="single" w:sz="8" w:color="DBDBDB"/>
            </w:tcBorders>
            <w:shd w:val="clear" w:color="auto" w:fill="DBDBDB"/>
          </w:tcPr>
          <w:p>
            <w:pPr>
              <w:ind w:left="80"/>
              <w:spacing w:after="0"/>
              <w:rPr>
                <w:sz w:val="20"/>
                <w:szCs w:val="20"/>
                <w:color w:val="auto"/>
              </w:rPr>
            </w:pPr>
            <w:r>
              <w:rPr>
                <w:rFonts w:ascii="Calibri" w:cs="Calibri" w:eastAsia="Calibri" w:hAnsi="Calibri"/>
                <w:sz w:val="10"/>
                <w:szCs w:val="10"/>
                <w:color w:val="auto"/>
              </w:rPr>
              <w:t>$</w:t>
            </w:r>
          </w:p>
        </w:tc>
        <w:tc>
          <w:tcPr>
            <w:tcW w:w="96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tcBorders>
              <w:bottom w:val="single" w:sz="8" w:color="DBDBDB"/>
            </w:tcBorders>
            <w:shd w:val="clear" w:color="auto" w:fill="DBDBDB"/>
          </w:tcPr>
          <w:p>
            <w:pPr>
              <w:jc w:val="right"/>
              <w:ind w:right="311"/>
              <w:spacing w:after="0"/>
              <w:rPr>
                <w:sz w:val="20"/>
                <w:szCs w:val="20"/>
                <w:color w:val="auto"/>
              </w:rPr>
            </w:pPr>
            <w:r>
              <w:rPr>
                <w:rFonts w:ascii="Calibri" w:cs="Calibri" w:eastAsia="Calibri" w:hAnsi="Calibri"/>
                <w:sz w:val="10"/>
                <w:szCs w:val="10"/>
                <w:color w:val="auto"/>
                <w:w w:val="77"/>
              </w:rPr>
              <w:t>$</w:t>
            </w:r>
          </w:p>
        </w:tc>
        <w:tc>
          <w:tcPr>
            <w:tcW w:w="82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4.4</w:t>
            </w:r>
          </w:p>
        </w:tc>
        <w:tc>
          <w:tcPr>
            <w:tcW w:w="320" w:type="dxa"/>
            <w:vAlign w:val="bottom"/>
            <w:tcBorders>
              <w:bottom w:val="single" w:sz="8" w:color="DBDBDB"/>
            </w:tcBorders>
            <w:shd w:val="clear" w:color="auto" w:fill="DBDBDB"/>
          </w:tcPr>
          <w:p>
            <w:pPr>
              <w:jc w:val="right"/>
              <w:ind w:right="131"/>
              <w:spacing w:after="0"/>
              <w:rPr>
                <w:sz w:val="20"/>
                <w:szCs w:val="20"/>
                <w:color w:val="auto"/>
              </w:rPr>
            </w:pPr>
            <w:r>
              <w:rPr>
                <w:rFonts w:ascii="Calibri" w:cs="Calibri" w:eastAsia="Calibri" w:hAnsi="Calibri"/>
                <w:sz w:val="10"/>
                <w:szCs w:val="10"/>
                <w:color w:val="auto"/>
              </w:rPr>
              <w:t>$</w:t>
            </w: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Borders>
              <w:bottom w:val="single" w:sz="8" w:color="DBDBDB"/>
            </w:tcBorders>
            <w:shd w:val="clear" w:color="auto" w:fill="DBDBDB"/>
          </w:tcPr>
          <w:p>
            <w:pPr>
              <w:jc w:val="right"/>
              <w:ind w:right="11"/>
              <w:spacing w:after="0"/>
              <w:rPr>
                <w:sz w:val="20"/>
                <w:szCs w:val="20"/>
                <w:color w:val="auto"/>
              </w:rPr>
            </w:pPr>
            <w:r>
              <w:rPr>
                <w:rFonts w:ascii="Calibri" w:cs="Calibri" w:eastAsia="Calibri" w:hAnsi="Calibri"/>
                <w:sz w:val="10"/>
                <w:szCs w:val="10"/>
                <w:color w:val="auto"/>
              </w:rPr>
              <w:t>$</w:t>
            </w:r>
          </w:p>
        </w:tc>
        <w:tc>
          <w:tcPr>
            <w:tcW w:w="114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2060" w:type="dxa"/>
            <w:vAlign w:val="bottom"/>
          </w:tcPr>
          <w:p>
            <w:pPr>
              <w:ind w:left="100"/>
              <w:spacing w:after="0"/>
              <w:rPr>
                <w:sz w:val="20"/>
                <w:szCs w:val="20"/>
                <w:color w:val="auto"/>
              </w:rPr>
            </w:pPr>
            <w:r>
              <w:rPr>
                <w:rFonts w:ascii="Calibri" w:cs="Calibri" w:eastAsia="Calibri" w:hAnsi="Calibri"/>
                <w:sz w:val="10"/>
                <w:szCs w:val="10"/>
                <w:color w:val="auto"/>
              </w:rPr>
              <w:t>Mr. Avocado</w:t>
            </w:r>
          </w:p>
        </w:tc>
        <w:tc>
          <w:tcPr>
            <w:tcW w:w="200" w:type="dxa"/>
            <w:vAlign w:val="bottom"/>
          </w:tcPr>
          <w:p>
            <w:pPr>
              <w:spacing w:after="0"/>
              <w:rPr>
                <w:sz w:val="11"/>
                <w:szCs w:val="11"/>
                <w:color w:val="auto"/>
              </w:rPr>
            </w:pPr>
          </w:p>
        </w:tc>
        <w:tc>
          <w:tcPr>
            <w:tcW w:w="1040" w:type="dxa"/>
            <w:vAlign w:val="bottom"/>
          </w:tcPr>
          <w:p>
            <w:pPr>
              <w:jc w:val="right"/>
              <w:ind w:right="71"/>
              <w:spacing w:after="0"/>
              <w:rPr>
                <w:sz w:val="20"/>
                <w:szCs w:val="20"/>
                <w:color w:val="auto"/>
              </w:rPr>
            </w:pPr>
            <w:r>
              <w:rPr>
                <w:rFonts w:ascii="Calibri" w:cs="Calibri" w:eastAsia="Calibri" w:hAnsi="Calibri"/>
                <w:sz w:val="10"/>
                <w:szCs w:val="10"/>
                <w:color w:val="auto"/>
              </w:rPr>
              <w:t>1.3</w:t>
            </w:r>
          </w:p>
        </w:tc>
        <w:tc>
          <w:tcPr>
            <w:tcW w:w="200" w:type="dxa"/>
            <w:vAlign w:val="bottom"/>
          </w:tcPr>
          <w:p>
            <w:pPr>
              <w:spacing w:after="0"/>
              <w:rPr>
                <w:sz w:val="11"/>
                <w:szCs w:val="11"/>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820" w:type="dxa"/>
            <w:vAlign w:val="bottom"/>
          </w:tcPr>
          <w:p>
            <w:pPr>
              <w:jc w:val="right"/>
              <w:ind w:right="71"/>
              <w:spacing w:after="0"/>
              <w:rPr>
                <w:sz w:val="20"/>
                <w:szCs w:val="20"/>
                <w:color w:val="auto"/>
              </w:rPr>
            </w:pPr>
            <w:r>
              <w:rPr>
                <w:rFonts w:ascii="Calibri" w:cs="Calibri" w:eastAsia="Calibri" w:hAnsi="Calibri"/>
                <w:sz w:val="10"/>
                <w:szCs w:val="10"/>
                <w:color w:val="auto"/>
              </w:rPr>
              <w:t>4.3</w:t>
            </w:r>
          </w:p>
        </w:tc>
        <w:tc>
          <w:tcPr>
            <w:tcW w:w="320" w:type="dxa"/>
            <w:vAlign w:val="bottom"/>
          </w:tcPr>
          <w:p>
            <w:pPr>
              <w:spacing w:after="0"/>
              <w:rPr>
                <w:sz w:val="11"/>
                <w:szCs w:val="11"/>
                <w:color w:val="auto"/>
              </w:rPr>
            </w:pPr>
          </w:p>
        </w:tc>
        <w:tc>
          <w:tcPr>
            <w:tcW w:w="102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59"/>
        </w:trPr>
        <w:tc>
          <w:tcPr>
            <w:tcW w:w="2060" w:type="dxa"/>
            <w:vAlign w:val="bottom"/>
            <w:shd w:val="clear" w:color="auto" w:fill="DBDBDB"/>
          </w:tcPr>
          <w:p>
            <w:pPr>
              <w:ind w:left="100"/>
              <w:spacing w:after="0"/>
              <w:rPr>
                <w:sz w:val="20"/>
                <w:szCs w:val="20"/>
                <w:color w:val="auto"/>
              </w:rPr>
            </w:pPr>
            <w:r>
              <w:rPr>
                <w:rFonts w:ascii="Calibri" w:cs="Calibri" w:eastAsia="Calibri" w:hAnsi="Calibri"/>
                <w:sz w:val="10"/>
                <w:szCs w:val="10"/>
                <w:color w:val="auto"/>
              </w:rPr>
              <w:t>Moruga</w:t>
            </w:r>
            <w:r>
              <w:rPr>
                <w:rFonts w:ascii="Calibri" w:cs="Calibri" w:eastAsia="Calibri" w:hAnsi="Calibri"/>
                <w:sz w:val="12"/>
                <w:szCs w:val="12"/>
                <w:color w:val="auto"/>
                <w:vertAlign w:val="superscript"/>
              </w:rPr>
              <w:t>(1)</w:t>
            </w:r>
          </w:p>
        </w:tc>
        <w:tc>
          <w:tcPr>
            <w:tcW w:w="200" w:type="dxa"/>
            <w:vAlign w:val="bottom"/>
            <w:shd w:val="clear" w:color="auto" w:fill="DBDBDB"/>
          </w:tcPr>
          <w:p>
            <w:pPr>
              <w:spacing w:after="0"/>
              <w:rPr>
                <w:sz w:val="13"/>
                <w:szCs w:val="13"/>
                <w:color w:val="auto"/>
              </w:rPr>
            </w:pPr>
          </w:p>
        </w:tc>
        <w:tc>
          <w:tcPr>
            <w:tcW w:w="10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3.9</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3.0</w:t>
            </w:r>
          </w:p>
        </w:tc>
        <w:tc>
          <w:tcPr>
            <w:tcW w:w="500" w:type="dxa"/>
            <w:vAlign w:val="bottom"/>
            <w:shd w:val="clear" w:color="auto" w:fill="DBDBDB"/>
          </w:tcPr>
          <w:p>
            <w:pPr>
              <w:spacing w:after="0"/>
              <w:rPr>
                <w:sz w:val="13"/>
                <w:szCs w:val="13"/>
                <w:color w:val="auto"/>
              </w:rPr>
            </w:pPr>
          </w:p>
        </w:tc>
        <w:tc>
          <w:tcPr>
            <w:tcW w:w="960" w:type="dxa"/>
            <w:vAlign w:val="bottom"/>
            <w:gridSpan w:val="2"/>
            <w:shd w:val="clear" w:color="auto" w:fill="DBDBDB"/>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shd w:val="clear" w:color="auto" w:fill="DBDBDB"/>
          </w:tcPr>
          <w:p>
            <w:pPr>
              <w:spacing w:after="0"/>
              <w:rPr>
                <w:sz w:val="13"/>
                <w:szCs w:val="13"/>
                <w:color w:val="auto"/>
              </w:rPr>
            </w:pPr>
          </w:p>
        </w:tc>
        <w:tc>
          <w:tcPr>
            <w:tcW w:w="82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6.1</w:t>
            </w: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0.4</w:t>
            </w:r>
          </w:p>
        </w:tc>
      </w:tr>
      <w:tr>
        <w:trPr>
          <w:trHeight w:val="159"/>
        </w:trPr>
        <w:tc>
          <w:tcPr>
            <w:tcW w:w="2060" w:type="dxa"/>
            <w:vAlign w:val="bottom"/>
          </w:tcPr>
          <w:p>
            <w:pPr>
              <w:ind w:left="100"/>
              <w:spacing w:after="0"/>
              <w:rPr>
                <w:sz w:val="20"/>
                <w:szCs w:val="20"/>
                <w:color w:val="auto"/>
              </w:rPr>
            </w:pPr>
            <w:r>
              <w:rPr>
                <w:rFonts w:ascii="Calibri" w:cs="Calibri" w:eastAsia="Calibri" w:hAnsi="Calibri"/>
                <w:sz w:val="10"/>
                <w:szCs w:val="10"/>
                <w:color w:val="auto"/>
              </w:rPr>
              <w:t>Copaltas</w:t>
            </w:r>
            <w:r>
              <w:rPr>
                <w:rFonts w:ascii="Calibri" w:cs="Calibri" w:eastAsia="Calibri" w:hAnsi="Calibri"/>
                <w:sz w:val="12"/>
                <w:szCs w:val="12"/>
                <w:color w:val="auto"/>
                <w:vertAlign w:val="superscript"/>
              </w:rPr>
              <w:t>(2)</w:t>
            </w:r>
          </w:p>
        </w:tc>
        <w:tc>
          <w:tcPr>
            <w:tcW w:w="200" w:type="dxa"/>
            <w:vAlign w:val="bottom"/>
          </w:tcPr>
          <w:p>
            <w:pPr>
              <w:spacing w:after="0"/>
              <w:rPr>
                <w:sz w:val="13"/>
                <w:szCs w:val="13"/>
                <w:color w:val="auto"/>
              </w:rPr>
            </w:pPr>
          </w:p>
        </w:tc>
        <w:tc>
          <w:tcPr>
            <w:tcW w:w="10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2.1</w:t>
            </w:r>
          </w:p>
        </w:tc>
        <w:tc>
          <w:tcPr>
            <w:tcW w:w="50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3"/>
                <w:szCs w:val="13"/>
                <w:color w:val="auto"/>
              </w:rPr>
            </w:pPr>
          </w:p>
        </w:tc>
        <w:tc>
          <w:tcPr>
            <w:tcW w:w="82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32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Calibri" w:cs="Calibri" w:eastAsia="Calibri" w:hAnsi="Calibri"/>
                <w:sz w:val="10"/>
                <w:szCs w:val="10"/>
                <w:color w:val="auto"/>
              </w:rPr>
              <w:t>0.1</w:t>
            </w:r>
          </w:p>
        </w:tc>
      </w:tr>
      <w:tr>
        <w:trPr>
          <w:trHeight w:val="139"/>
        </w:trPr>
        <w:tc>
          <w:tcPr>
            <w:tcW w:w="20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b w:val="1"/>
                <w:bCs w:val="1"/>
                <w:color w:val="auto"/>
              </w:rPr>
              <w:t>Other:</w:t>
            </w:r>
          </w:p>
        </w:tc>
        <w:tc>
          <w:tcPr>
            <w:tcW w:w="200" w:type="dxa"/>
            <w:vAlign w:val="bottom"/>
            <w:tcBorders>
              <w:bottom w:val="single" w:sz="8" w:color="DBDBDB"/>
            </w:tcBorders>
            <w:shd w:val="clear" w:color="auto" w:fill="DBDBDB"/>
          </w:tcPr>
          <w:p>
            <w:pPr>
              <w:spacing w:after="0"/>
              <w:rPr>
                <w:sz w:val="12"/>
                <w:szCs w:val="12"/>
                <w:color w:val="auto"/>
              </w:rPr>
            </w:pPr>
          </w:p>
        </w:tc>
        <w:tc>
          <w:tcPr>
            <w:tcW w:w="1040" w:type="dxa"/>
            <w:vAlign w:val="bottom"/>
            <w:tcBorders>
              <w:bottom w:val="single" w:sz="8" w:color="DBDBDB"/>
            </w:tcBorders>
            <w:shd w:val="clear" w:color="auto" w:fill="DBDBDB"/>
          </w:tcPr>
          <w:p>
            <w:pPr>
              <w:spacing w:after="0"/>
              <w:rPr>
                <w:sz w:val="12"/>
                <w:szCs w:val="12"/>
                <w:color w:val="auto"/>
              </w:rPr>
            </w:pPr>
          </w:p>
        </w:tc>
        <w:tc>
          <w:tcPr>
            <w:tcW w:w="2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spacing w:after="0"/>
              <w:rPr>
                <w:sz w:val="12"/>
                <w:szCs w:val="12"/>
                <w:color w:val="auto"/>
              </w:rPr>
            </w:pPr>
          </w:p>
        </w:tc>
        <w:tc>
          <w:tcPr>
            <w:tcW w:w="500" w:type="dxa"/>
            <w:vAlign w:val="bottom"/>
            <w:tcBorders>
              <w:bottom w:val="single" w:sz="8" w:color="DBDBDB"/>
            </w:tcBorders>
            <w:shd w:val="clear" w:color="auto" w:fill="DBDBDB"/>
          </w:tcPr>
          <w:p>
            <w:pPr>
              <w:spacing w:after="0"/>
              <w:rPr>
                <w:sz w:val="12"/>
                <w:szCs w:val="12"/>
                <w:color w:val="auto"/>
              </w:rPr>
            </w:pPr>
          </w:p>
        </w:tc>
        <w:tc>
          <w:tcPr>
            <w:tcW w:w="760" w:type="dxa"/>
            <w:vAlign w:val="bottom"/>
            <w:tcBorders>
              <w:bottom w:val="single" w:sz="8" w:color="DBDBDB"/>
            </w:tcBorders>
            <w:shd w:val="clear" w:color="auto" w:fill="DBDBDB"/>
          </w:tcPr>
          <w:p>
            <w:pPr>
              <w:spacing w:after="0"/>
              <w:rPr>
                <w:sz w:val="12"/>
                <w:szCs w:val="12"/>
                <w:color w:val="auto"/>
              </w:rPr>
            </w:pPr>
          </w:p>
        </w:tc>
        <w:tc>
          <w:tcPr>
            <w:tcW w:w="200" w:type="dxa"/>
            <w:vAlign w:val="bottom"/>
            <w:tcBorders>
              <w:bottom w:val="single" w:sz="8" w:color="DBDBDB"/>
            </w:tcBorders>
            <w:shd w:val="clear" w:color="auto" w:fill="DBDBDB"/>
          </w:tcPr>
          <w:p>
            <w:pPr>
              <w:spacing w:after="0"/>
              <w:rPr>
                <w:sz w:val="12"/>
                <w:szCs w:val="12"/>
                <w:color w:val="auto"/>
              </w:rPr>
            </w:pPr>
          </w:p>
        </w:tc>
        <w:tc>
          <w:tcPr>
            <w:tcW w:w="42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spacing w:after="0"/>
              <w:rPr>
                <w:sz w:val="12"/>
                <w:szCs w:val="12"/>
                <w:color w:val="auto"/>
              </w:rPr>
            </w:pPr>
          </w:p>
        </w:tc>
        <w:tc>
          <w:tcPr>
            <w:tcW w:w="3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spacing w:after="0"/>
              <w:rPr>
                <w:sz w:val="12"/>
                <w:szCs w:val="12"/>
                <w:color w:val="auto"/>
              </w:rPr>
            </w:pPr>
          </w:p>
        </w:tc>
        <w:tc>
          <w:tcPr>
            <w:tcW w:w="2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spacing w:after="0"/>
              <w:rPr>
                <w:sz w:val="12"/>
                <w:szCs w:val="12"/>
                <w:color w:val="auto"/>
              </w:rPr>
            </w:pPr>
          </w:p>
        </w:tc>
        <w:tc>
          <w:tcPr>
            <w:tcW w:w="18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spacing w:after="0"/>
              <w:rPr>
                <w:sz w:val="12"/>
                <w:szCs w:val="12"/>
                <w:color w:val="auto"/>
              </w:rPr>
            </w:pPr>
          </w:p>
        </w:tc>
      </w:tr>
      <w:tr>
        <w:trPr>
          <w:trHeight w:val="159"/>
        </w:trPr>
        <w:tc>
          <w:tcPr>
            <w:tcW w:w="2060" w:type="dxa"/>
            <w:vAlign w:val="bottom"/>
          </w:tcPr>
          <w:p>
            <w:pPr>
              <w:ind w:left="100"/>
              <w:spacing w:after="0"/>
              <w:rPr>
                <w:sz w:val="20"/>
                <w:szCs w:val="20"/>
                <w:color w:val="auto"/>
              </w:rPr>
            </w:pPr>
            <w:r>
              <w:rPr>
                <w:rFonts w:ascii="Calibri" w:cs="Calibri" w:eastAsia="Calibri" w:hAnsi="Calibri"/>
                <w:sz w:val="10"/>
                <w:szCs w:val="10"/>
                <w:color w:val="auto"/>
              </w:rPr>
              <w:t>Directors/ofcers</w:t>
            </w:r>
            <w:r>
              <w:rPr>
                <w:rFonts w:ascii="Calibri" w:cs="Calibri" w:eastAsia="Calibri" w:hAnsi="Calibri"/>
                <w:sz w:val="12"/>
                <w:szCs w:val="12"/>
                <w:color w:val="auto"/>
                <w:vertAlign w:val="superscript"/>
              </w:rPr>
              <w:t>(3)</w:t>
            </w:r>
          </w:p>
        </w:tc>
        <w:tc>
          <w:tcPr>
            <w:tcW w:w="200" w:type="dxa"/>
            <w:vAlign w:val="bottom"/>
          </w:tcPr>
          <w:p>
            <w:pPr>
              <w:spacing w:after="0"/>
              <w:rPr>
                <w:sz w:val="13"/>
                <w:szCs w:val="13"/>
                <w:color w:val="auto"/>
              </w:rPr>
            </w:pPr>
          </w:p>
        </w:tc>
        <w:tc>
          <w:tcPr>
            <w:tcW w:w="1040" w:type="dxa"/>
            <w:vAlign w:val="bottom"/>
          </w:tcPr>
          <w:p>
            <w:pPr>
              <w:jc w:val="right"/>
              <w:ind w:right="71"/>
              <w:spacing w:after="0"/>
              <w:rPr>
                <w:sz w:val="20"/>
                <w:szCs w:val="20"/>
                <w:color w:val="auto"/>
              </w:rPr>
            </w:pPr>
            <w:r>
              <w:rPr>
                <w:rFonts w:ascii="Calibri" w:cs="Calibri" w:eastAsia="Calibri" w:hAnsi="Calibri"/>
                <w:sz w:val="10"/>
                <w:szCs w:val="10"/>
                <w:color w:val="auto"/>
              </w:rPr>
              <w:t>0.1</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3"/>
                <w:szCs w:val="13"/>
                <w:color w:val="auto"/>
              </w:rPr>
            </w:pPr>
          </w:p>
        </w:tc>
        <w:tc>
          <w:tcPr>
            <w:tcW w:w="820" w:type="dxa"/>
            <w:vAlign w:val="bottom"/>
          </w:tcPr>
          <w:p>
            <w:pPr>
              <w:jc w:val="right"/>
              <w:ind w:right="71"/>
              <w:spacing w:after="0"/>
              <w:rPr>
                <w:sz w:val="20"/>
                <w:szCs w:val="20"/>
                <w:color w:val="auto"/>
              </w:rPr>
            </w:pPr>
            <w:r>
              <w:rPr>
                <w:rFonts w:ascii="Calibri" w:cs="Calibri" w:eastAsia="Calibri" w:hAnsi="Calibri"/>
                <w:sz w:val="10"/>
                <w:szCs w:val="10"/>
                <w:color w:val="auto"/>
              </w:rPr>
              <w:t>2.5</w:t>
            </w:r>
          </w:p>
        </w:tc>
        <w:tc>
          <w:tcPr>
            <w:tcW w:w="32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Calibri" w:cs="Calibri" w:eastAsia="Calibri" w:hAnsi="Calibri"/>
                <w:sz w:val="10"/>
                <w:szCs w:val="10"/>
                <w:color w:val="auto"/>
              </w:rPr>
              <w:t>3.5</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0.1</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159"/>
        </w:trPr>
        <w:tc>
          <w:tcPr>
            <w:tcW w:w="2060" w:type="dxa"/>
            <w:vAlign w:val="bottom"/>
            <w:shd w:val="clear" w:color="auto" w:fill="DBDBDB"/>
          </w:tcPr>
          <w:p>
            <w:pPr>
              <w:ind w:left="100"/>
              <w:spacing w:after="0"/>
              <w:rPr>
                <w:sz w:val="20"/>
                <w:szCs w:val="20"/>
                <w:color w:val="auto"/>
              </w:rPr>
            </w:pPr>
            <w:r>
              <w:rPr>
                <w:rFonts w:ascii="Calibri" w:cs="Calibri" w:eastAsia="Calibri" w:hAnsi="Calibri"/>
                <w:sz w:val="10"/>
                <w:szCs w:val="10"/>
                <w:color w:val="auto"/>
              </w:rPr>
              <w:t>Employees</w:t>
            </w:r>
            <w:r>
              <w:rPr>
                <w:rFonts w:ascii="Calibri" w:cs="Calibri" w:eastAsia="Calibri" w:hAnsi="Calibri"/>
                <w:sz w:val="12"/>
                <w:szCs w:val="12"/>
                <w:color w:val="auto"/>
                <w:vertAlign w:val="superscript"/>
              </w:rPr>
              <w:t>(4)</w:t>
            </w:r>
          </w:p>
        </w:tc>
        <w:tc>
          <w:tcPr>
            <w:tcW w:w="200" w:type="dxa"/>
            <w:vAlign w:val="bottom"/>
            <w:shd w:val="clear" w:color="auto" w:fill="DBDBDB"/>
          </w:tcPr>
          <w:p>
            <w:pPr>
              <w:spacing w:after="0"/>
              <w:rPr>
                <w:sz w:val="13"/>
                <w:szCs w:val="13"/>
                <w:color w:val="auto"/>
              </w:rPr>
            </w:pPr>
          </w:p>
        </w:tc>
        <w:tc>
          <w:tcPr>
            <w:tcW w:w="10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500" w:type="dxa"/>
            <w:vAlign w:val="bottom"/>
            <w:shd w:val="clear" w:color="auto" w:fill="DBDBDB"/>
          </w:tcPr>
          <w:p>
            <w:pPr>
              <w:spacing w:after="0"/>
              <w:rPr>
                <w:sz w:val="13"/>
                <w:szCs w:val="13"/>
                <w:color w:val="auto"/>
              </w:rPr>
            </w:pPr>
          </w:p>
        </w:tc>
        <w:tc>
          <w:tcPr>
            <w:tcW w:w="76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0.2</w:t>
            </w:r>
          </w:p>
        </w:tc>
        <w:tc>
          <w:tcPr>
            <w:tcW w:w="2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82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9.6</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30"/>
        </w:trPr>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3"/>
          </w:tcPr>
          <w:p>
            <w:pPr>
              <w:jc w:val="right"/>
              <w:ind w:right="691"/>
              <w:spacing w:after="0"/>
              <w:rPr>
                <w:sz w:val="20"/>
                <w:szCs w:val="20"/>
                <w:color w:val="auto"/>
              </w:rPr>
            </w:pPr>
            <w:r>
              <w:rPr>
                <w:rFonts w:ascii="Calibri" w:cs="Calibri" w:eastAsia="Calibri" w:hAnsi="Calibri"/>
                <w:sz w:val="10"/>
                <w:szCs w:val="10"/>
                <w:b w:val="1"/>
                <w:bCs w:val="1"/>
                <w:color w:val="auto"/>
              </w:rPr>
              <w:t>Year ended October 31, 2020</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
        </w:trPr>
        <w:tc>
          <w:tcPr>
            <w:tcW w:w="206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104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1140" w:type="dxa"/>
            <w:vAlign w:val="bottom"/>
            <w:tcBorders>
              <w:bottom w:val="single" w:sz="8" w:color="DBDBDB"/>
            </w:tcBorders>
          </w:tcPr>
          <w:p>
            <w:pPr>
              <w:spacing w:after="0"/>
              <w:rPr>
                <w:sz w:val="2"/>
                <w:szCs w:val="2"/>
                <w:color w:val="auto"/>
              </w:rPr>
            </w:pPr>
          </w:p>
        </w:tc>
        <w:tc>
          <w:tcPr>
            <w:tcW w:w="500" w:type="dxa"/>
            <w:vAlign w:val="bottom"/>
            <w:tcBorders>
              <w:bottom w:val="single" w:sz="8" w:color="DBDBDB"/>
            </w:tcBorders>
          </w:tcPr>
          <w:p>
            <w:pPr>
              <w:spacing w:after="0"/>
              <w:rPr>
                <w:sz w:val="2"/>
                <w:szCs w:val="2"/>
                <w:color w:val="auto"/>
              </w:rPr>
            </w:pPr>
          </w:p>
        </w:tc>
        <w:tc>
          <w:tcPr>
            <w:tcW w:w="76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19"/>
        </w:trPr>
        <w:tc>
          <w:tcPr>
            <w:tcW w:w="2060" w:type="dxa"/>
            <w:vAlign w:val="bottom"/>
            <w:tcBorders>
              <w:bottom w:val="single" w:sz="8" w:color="DBDBDB"/>
            </w:tcBorders>
            <w:shd w:val="clear" w:color="auto" w:fill="DBDBDB"/>
          </w:tcPr>
          <w:p>
            <w:pPr>
              <w:ind w:left="20"/>
              <w:spacing w:after="0" w:line="110" w:lineRule="exact"/>
              <w:rPr>
                <w:sz w:val="20"/>
                <w:szCs w:val="20"/>
                <w:color w:val="auto"/>
              </w:rPr>
            </w:pPr>
            <w:r>
              <w:rPr>
                <w:rFonts w:ascii="Calibri" w:cs="Calibri" w:eastAsia="Calibri" w:hAnsi="Calibri"/>
                <w:sz w:val="10"/>
                <w:szCs w:val="10"/>
                <w:b w:val="1"/>
                <w:bCs w:val="1"/>
                <w:color w:val="auto"/>
              </w:rPr>
              <w:t>Equity method investees:</w:t>
            </w:r>
          </w:p>
        </w:tc>
        <w:tc>
          <w:tcPr>
            <w:tcW w:w="200" w:type="dxa"/>
            <w:vAlign w:val="bottom"/>
            <w:tcBorders>
              <w:bottom w:val="single" w:sz="8" w:color="DBDBDB"/>
            </w:tcBorders>
            <w:shd w:val="clear" w:color="auto" w:fill="DBDBDB"/>
          </w:tcPr>
          <w:p>
            <w:pPr>
              <w:spacing w:after="0"/>
              <w:rPr>
                <w:sz w:val="10"/>
                <w:szCs w:val="10"/>
                <w:color w:val="auto"/>
              </w:rPr>
            </w:pPr>
          </w:p>
        </w:tc>
        <w:tc>
          <w:tcPr>
            <w:tcW w:w="1040" w:type="dxa"/>
            <w:vAlign w:val="bottom"/>
            <w:tcBorders>
              <w:bottom w:val="single" w:sz="8" w:color="DBDBDB"/>
            </w:tcBorders>
            <w:shd w:val="clear" w:color="auto" w:fill="DBDBDB"/>
          </w:tcPr>
          <w:p>
            <w:pPr>
              <w:spacing w:after="0"/>
              <w:rPr>
                <w:sz w:val="10"/>
                <w:szCs w:val="10"/>
                <w:color w:val="auto"/>
              </w:rPr>
            </w:pPr>
          </w:p>
        </w:tc>
        <w:tc>
          <w:tcPr>
            <w:tcW w:w="200" w:type="dxa"/>
            <w:vAlign w:val="bottom"/>
            <w:tcBorders>
              <w:bottom w:val="single" w:sz="8" w:color="DBDBDB"/>
            </w:tcBorders>
            <w:shd w:val="clear" w:color="auto" w:fill="DBDBDB"/>
          </w:tcPr>
          <w:p>
            <w:pPr>
              <w:spacing w:after="0"/>
              <w:rPr>
                <w:sz w:val="10"/>
                <w:szCs w:val="10"/>
                <w:color w:val="auto"/>
              </w:rPr>
            </w:pPr>
          </w:p>
        </w:tc>
        <w:tc>
          <w:tcPr>
            <w:tcW w:w="1140" w:type="dxa"/>
            <w:vAlign w:val="bottom"/>
            <w:tcBorders>
              <w:bottom w:val="single" w:sz="8" w:color="DBDBDB"/>
            </w:tcBorders>
            <w:shd w:val="clear" w:color="auto" w:fill="DBDBDB"/>
          </w:tcPr>
          <w:p>
            <w:pPr>
              <w:spacing w:after="0"/>
              <w:rPr>
                <w:sz w:val="10"/>
                <w:szCs w:val="10"/>
                <w:color w:val="auto"/>
              </w:rPr>
            </w:pPr>
          </w:p>
        </w:tc>
        <w:tc>
          <w:tcPr>
            <w:tcW w:w="500" w:type="dxa"/>
            <w:vAlign w:val="bottom"/>
            <w:tcBorders>
              <w:bottom w:val="single" w:sz="8" w:color="DBDBDB"/>
            </w:tcBorders>
            <w:shd w:val="clear" w:color="auto" w:fill="DBDBDB"/>
          </w:tcPr>
          <w:p>
            <w:pPr>
              <w:spacing w:after="0"/>
              <w:rPr>
                <w:sz w:val="10"/>
                <w:szCs w:val="10"/>
                <w:color w:val="auto"/>
              </w:rPr>
            </w:pPr>
          </w:p>
        </w:tc>
        <w:tc>
          <w:tcPr>
            <w:tcW w:w="760" w:type="dxa"/>
            <w:vAlign w:val="bottom"/>
            <w:tcBorders>
              <w:bottom w:val="single" w:sz="8" w:color="DBDBDB"/>
            </w:tcBorders>
            <w:shd w:val="clear" w:color="auto" w:fill="DBDBDB"/>
          </w:tcPr>
          <w:p>
            <w:pPr>
              <w:spacing w:after="0"/>
              <w:rPr>
                <w:sz w:val="10"/>
                <w:szCs w:val="10"/>
                <w:color w:val="auto"/>
              </w:rPr>
            </w:pPr>
          </w:p>
        </w:tc>
        <w:tc>
          <w:tcPr>
            <w:tcW w:w="200" w:type="dxa"/>
            <w:vAlign w:val="bottom"/>
            <w:tcBorders>
              <w:bottom w:val="single" w:sz="8" w:color="DBDBDB"/>
            </w:tcBorders>
            <w:shd w:val="clear" w:color="auto" w:fill="DBDBDB"/>
          </w:tcPr>
          <w:p>
            <w:pPr>
              <w:spacing w:after="0"/>
              <w:rPr>
                <w:sz w:val="10"/>
                <w:szCs w:val="10"/>
                <w:color w:val="auto"/>
              </w:rPr>
            </w:pPr>
          </w:p>
        </w:tc>
        <w:tc>
          <w:tcPr>
            <w:tcW w:w="420" w:type="dxa"/>
            <w:vAlign w:val="bottom"/>
            <w:tcBorders>
              <w:bottom w:val="single" w:sz="8" w:color="DBDBDB"/>
            </w:tcBorders>
            <w:shd w:val="clear" w:color="auto" w:fill="DBDBDB"/>
          </w:tcPr>
          <w:p>
            <w:pPr>
              <w:spacing w:after="0"/>
              <w:rPr>
                <w:sz w:val="10"/>
                <w:szCs w:val="10"/>
                <w:color w:val="auto"/>
              </w:rPr>
            </w:pPr>
          </w:p>
        </w:tc>
        <w:tc>
          <w:tcPr>
            <w:tcW w:w="820" w:type="dxa"/>
            <w:vAlign w:val="bottom"/>
            <w:tcBorders>
              <w:bottom w:val="single" w:sz="8" w:color="DBDBDB"/>
            </w:tcBorders>
            <w:shd w:val="clear" w:color="auto" w:fill="DBDBDB"/>
          </w:tcPr>
          <w:p>
            <w:pPr>
              <w:spacing w:after="0"/>
              <w:rPr>
                <w:sz w:val="10"/>
                <w:szCs w:val="10"/>
                <w:color w:val="auto"/>
              </w:rPr>
            </w:pPr>
          </w:p>
        </w:tc>
        <w:tc>
          <w:tcPr>
            <w:tcW w:w="32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spacing w:after="0"/>
              <w:rPr>
                <w:sz w:val="10"/>
                <w:szCs w:val="10"/>
                <w:color w:val="auto"/>
              </w:rPr>
            </w:pPr>
          </w:p>
        </w:tc>
        <w:tc>
          <w:tcPr>
            <w:tcW w:w="200" w:type="dxa"/>
            <w:vAlign w:val="bottom"/>
            <w:tcBorders>
              <w:bottom w:val="single" w:sz="8" w:color="DBDBDB"/>
            </w:tcBorders>
            <w:shd w:val="clear" w:color="auto" w:fill="DBDBDB"/>
          </w:tcPr>
          <w:p>
            <w:pPr>
              <w:spacing w:after="0"/>
              <w:rPr>
                <w:sz w:val="10"/>
                <w:szCs w:val="10"/>
                <w:color w:val="auto"/>
              </w:rPr>
            </w:pPr>
          </w:p>
        </w:tc>
        <w:tc>
          <w:tcPr>
            <w:tcW w:w="1140" w:type="dxa"/>
            <w:vAlign w:val="bottom"/>
            <w:tcBorders>
              <w:bottom w:val="single" w:sz="8" w:color="DBDBDB"/>
            </w:tcBorders>
            <w:shd w:val="clear" w:color="auto" w:fill="DBDBDB"/>
          </w:tcPr>
          <w:p>
            <w:pPr>
              <w:spacing w:after="0"/>
              <w:rPr>
                <w:sz w:val="10"/>
                <w:szCs w:val="10"/>
                <w:color w:val="auto"/>
              </w:rPr>
            </w:pPr>
          </w:p>
        </w:tc>
        <w:tc>
          <w:tcPr>
            <w:tcW w:w="180" w:type="dxa"/>
            <w:vAlign w:val="bottom"/>
            <w:tcBorders>
              <w:bottom w:val="single" w:sz="8" w:color="DBDBDB"/>
            </w:tcBorders>
            <w:shd w:val="clear" w:color="auto" w:fill="DBDBDB"/>
          </w:tcPr>
          <w:p>
            <w:pPr>
              <w:spacing w:after="0"/>
              <w:rPr>
                <w:sz w:val="10"/>
                <w:szCs w:val="10"/>
                <w:color w:val="auto"/>
              </w:rPr>
            </w:pPr>
          </w:p>
        </w:tc>
        <w:tc>
          <w:tcPr>
            <w:tcW w:w="1080" w:type="dxa"/>
            <w:vAlign w:val="bottom"/>
            <w:tcBorders>
              <w:bottom w:val="single" w:sz="8" w:color="DBDBDB"/>
            </w:tcBorders>
            <w:shd w:val="clear" w:color="auto" w:fill="DBDBDB"/>
          </w:tcPr>
          <w:p>
            <w:pPr>
              <w:spacing w:after="0"/>
              <w:rPr>
                <w:sz w:val="10"/>
                <w:szCs w:val="10"/>
                <w:color w:val="auto"/>
              </w:rPr>
            </w:pPr>
          </w:p>
        </w:tc>
      </w:tr>
      <w:tr>
        <w:trPr>
          <w:trHeight w:val="130"/>
        </w:trPr>
        <w:tc>
          <w:tcPr>
            <w:tcW w:w="2060" w:type="dxa"/>
            <w:vAlign w:val="bottom"/>
          </w:tcPr>
          <w:p>
            <w:pPr>
              <w:ind w:left="100"/>
              <w:spacing w:after="0"/>
              <w:rPr>
                <w:sz w:val="20"/>
                <w:szCs w:val="20"/>
                <w:color w:val="auto"/>
              </w:rPr>
            </w:pPr>
            <w:r>
              <w:rPr>
                <w:rFonts w:ascii="Calibri" w:cs="Calibri" w:eastAsia="Calibri" w:hAnsi="Calibri"/>
                <w:sz w:val="10"/>
                <w:szCs w:val="10"/>
                <w:color w:val="auto"/>
              </w:rPr>
              <w:t>Henry Avocado</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ind w:right="311"/>
              <w:spacing w:after="0"/>
              <w:rPr>
                <w:sz w:val="20"/>
                <w:szCs w:val="20"/>
                <w:color w:val="auto"/>
              </w:rPr>
            </w:pPr>
            <w:r>
              <w:rPr>
                <w:rFonts w:ascii="Calibri" w:cs="Calibri" w:eastAsia="Calibri" w:hAnsi="Calibri"/>
                <w:sz w:val="10"/>
                <w:szCs w:val="10"/>
                <w:color w:val="auto"/>
                <w:w w:val="77"/>
              </w:rPr>
              <w:t>$</w:t>
            </w:r>
          </w:p>
        </w:tc>
        <w:tc>
          <w:tcPr>
            <w:tcW w:w="820" w:type="dxa"/>
            <w:vAlign w:val="bottom"/>
          </w:tcPr>
          <w:p>
            <w:pPr>
              <w:jc w:val="right"/>
              <w:ind w:right="71"/>
              <w:spacing w:after="0"/>
              <w:rPr>
                <w:sz w:val="20"/>
                <w:szCs w:val="20"/>
                <w:color w:val="auto"/>
              </w:rPr>
            </w:pPr>
            <w:r>
              <w:rPr>
                <w:rFonts w:ascii="Calibri" w:cs="Calibri" w:eastAsia="Calibri" w:hAnsi="Calibri"/>
                <w:sz w:val="10"/>
                <w:szCs w:val="10"/>
                <w:color w:val="auto"/>
              </w:rPr>
              <w:t>1.3</w:t>
            </w:r>
          </w:p>
        </w:tc>
        <w:tc>
          <w:tcPr>
            <w:tcW w:w="320" w:type="dxa"/>
            <w:vAlign w:val="bottom"/>
          </w:tcPr>
          <w:p>
            <w:pPr>
              <w:jc w:val="right"/>
              <w:ind w:right="131"/>
              <w:spacing w:after="0"/>
              <w:rPr>
                <w:sz w:val="20"/>
                <w:szCs w:val="20"/>
                <w:color w:val="auto"/>
              </w:rPr>
            </w:pPr>
            <w:r>
              <w:rPr>
                <w:rFonts w:ascii="Calibri" w:cs="Calibri" w:eastAsia="Calibri" w:hAnsi="Calibri"/>
                <w:sz w:val="10"/>
                <w:szCs w:val="10"/>
                <w:color w:val="auto"/>
              </w:rPr>
              <w:t>$</w:t>
            </w:r>
          </w:p>
        </w:tc>
        <w:tc>
          <w:tcPr>
            <w:tcW w:w="102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jc w:val="right"/>
              <w:ind w:right="11"/>
              <w:spacing w:after="0"/>
              <w:rPr>
                <w:sz w:val="20"/>
                <w:szCs w:val="20"/>
                <w:color w:val="auto"/>
              </w:rPr>
            </w:pPr>
            <w:r>
              <w:rPr>
                <w:rFonts w:ascii="Calibri" w:cs="Calibri" w:eastAsia="Calibri" w:hAnsi="Calibri"/>
                <w:sz w:val="10"/>
                <w:szCs w:val="10"/>
                <w:color w:val="auto"/>
              </w:rPr>
              <w:t>$</w:t>
            </w: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Pr>
          <w:p>
            <w:pPr>
              <w:jc w:val="right"/>
              <w:spacing w:after="0"/>
              <w:rPr>
                <w:sz w:val="20"/>
                <w:szCs w:val="20"/>
                <w:color w:val="auto"/>
              </w:rPr>
            </w:pPr>
            <w:r>
              <w:rPr>
                <w:rFonts w:ascii="Calibri" w:cs="Calibri" w:eastAsia="Calibri" w:hAnsi="Calibri"/>
                <w:sz w:val="10"/>
                <w:szCs w:val="10"/>
                <w:color w:val="auto"/>
              </w:rPr>
              <w:t>$</w:t>
            </w:r>
          </w:p>
        </w:tc>
        <w:tc>
          <w:tcPr>
            <w:tcW w:w="1080" w:type="dxa"/>
            <w:vAlign w:val="bottom"/>
          </w:tcPr>
          <w:p>
            <w:pPr>
              <w:jc w:val="right"/>
              <w:spacing w:after="0"/>
              <w:rPr>
                <w:sz w:val="20"/>
                <w:szCs w:val="20"/>
                <w:color w:val="auto"/>
              </w:rPr>
            </w:pPr>
            <w:r>
              <w:rPr>
                <w:rFonts w:ascii="Calibri" w:cs="Calibri" w:eastAsia="Calibri" w:hAnsi="Calibri"/>
                <w:sz w:val="10"/>
                <w:szCs w:val="10"/>
                <w:color w:val="auto"/>
              </w:rPr>
              <w:t>—</w:t>
            </w:r>
          </w:p>
        </w:tc>
      </w:tr>
      <w:tr>
        <w:trPr>
          <w:trHeight w:val="29"/>
        </w:trPr>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9"/>
        </w:trPr>
        <w:tc>
          <w:tcPr>
            <w:tcW w:w="2060" w:type="dxa"/>
            <w:vAlign w:val="bottom"/>
            <w:tcBorders>
              <w:bottom w:val="single" w:sz="8" w:color="DBDBDB"/>
            </w:tcBorders>
            <w:shd w:val="clear" w:color="auto" w:fill="DBDBDB"/>
          </w:tcPr>
          <w:p>
            <w:pPr>
              <w:ind w:left="100"/>
              <w:spacing w:after="0"/>
              <w:rPr>
                <w:sz w:val="20"/>
                <w:szCs w:val="20"/>
                <w:color w:val="auto"/>
              </w:rPr>
            </w:pPr>
            <w:r>
              <w:rPr>
                <w:rFonts w:ascii="Calibri" w:cs="Calibri" w:eastAsia="Calibri" w:hAnsi="Calibri"/>
                <w:sz w:val="10"/>
                <w:szCs w:val="10"/>
                <w:color w:val="auto"/>
              </w:rPr>
              <w:t>Mr. Avocado</w:t>
            </w:r>
          </w:p>
        </w:tc>
        <w:tc>
          <w:tcPr>
            <w:tcW w:w="200" w:type="dxa"/>
            <w:vAlign w:val="bottom"/>
            <w:tcBorders>
              <w:bottom w:val="single" w:sz="8" w:color="DBDBDB"/>
            </w:tcBorders>
            <w:shd w:val="clear" w:color="auto" w:fill="DBDBDB"/>
          </w:tcPr>
          <w:p>
            <w:pPr>
              <w:spacing w:after="0"/>
              <w:rPr>
                <w:sz w:val="12"/>
                <w:szCs w:val="12"/>
                <w:color w:val="auto"/>
              </w:rPr>
            </w:pPr>
          </w:p>
        </w:tc>
        <w:tc>
          <w:tcPr>
            <w:tcW w:w="1040" w:type="dxa"/>
            <w:vAlign w:val="bottom"/>
            <w:tcBorders>
              <w:bottom w:val="single" w:sz="8" w:color="DBDBDB"/>
            </w:tcBorders>
            <w:shd w:val="clear" w:color="auto" w:fill="DBDBDB"/>
          </w:tcPr>
          <w:p>
            <w:pPr>
              <w:spacing w:after="0"/>
              <w:rPr>
                <w:sz w:val="12"/>
                <w:szCs w:val="12"/>
                <w:color w:val="auto"/>
              </w:rPr>
            </w:pPr>
          </w:p>
        </w:tc>
        <w:tc>
          <w:tcPr>
            <w:tcW w:w="2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spacing w:after="0"/>
              <w:rPr>
                <w:sz w:val="12"/>
                <w:szCs w:val="12"/>
                <w:color w:val="auto"/>
              </w:rPr>
            </w:pPr>
          </w:p>
        </w:tc>
        <w:tc>
          <w:tcPr>
            <w:tcW w:w="500" w:type="dxa"/>
            <w:vAlign w:val="bottom"/>
            <w:tcBorders>
              <w:bottom w:val="single" w:sz="8" w:color="DBDBDB"/>
            </w:tcBorders>
            <w:shd w:val="clear" w:color="auto" w:fill="DBDBDB"/>
          </w:tcPr>
          <w:p>
            <w:pPr>
              <w:spacing w:after="0"/>
              <w:rPr>
                <w:sz w:val="12"/>
                <w:szCs w:val="12"/>
                <w:color w:val="auto"/>
              </w:rPr>
            </w:pPr>
          </w:p>
        </w:tc>
        <w:tc>
          <w:tcPr>
            <w:tcW w:w="760" w:type="dxa"/>
            <w:vAlign w:val="bottom"/>
            <w:tcBorders>
              <w:bottom w:val="single" w:sz="8" w:color="DBDBDB"/>
            </w:tcBorders>
            <w:shd w:val="clear" w:color="auto" w:fill="DBDBDB"/>
          </w:tcPr>
          <w:p>
            <w:pPr>
              <w:spacing w:after="0"/>
              <w:rPr>
                <w:sz w:val="12"/>
                <w:szCs w:val="12"/>
                <w:color w:val="auto"/>
              </w:rPr>
            </w:pPr>
          </w:p>
        </w:tc>
        <w:tc>
          <w:tcPr>
            <w:tcW w:w="200" w:type="dxa"/>
            <w:vAlign w:val="bottom"/>
            <w:tcBorders>
              <w:bottom w:val="single" w:sz="8" w:color="DBDBDB"/>
            </w:tcBorders>
            <w:shd w:val="clear" w:color="auto" w:fill="DBDBDB"/>
          </w:tcPr>
          <w:p>
            <w:pPr>
              <w:spacing w:after="0"/>
              <w:rPr>
                <w:sz w:val="12"/>
                <w:szCs w:val="12"/>
                <w:color w:val="auto"/>
              </w:rPr>
            </w:pPr>
          </w:p>
        </w:tc>
        <w:tc>
          <w:tcPr>
            <w:tcW w:w="42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1.9</w:t>
            </w:r>
          </w:p>
        </w:tc>
        <w:tc>
          <w:tcPr>
            <w:tcW w:w="3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0"/>
                <w:szCs w:val="10"/>
                <w:color w:val="auto"/>
              </w:rPr>
              <w:t>—</w:t>
            </w:r>
          </w:p>
        </w:tc>
      </w:tr>
      <w:tr>
        <w:trPr>
          <w:trHeight w:val="159"/>
        </w:trPr>
        <w:tc>
          <w:tcPr>
            <w:tcW w:w="2060" w:type="dxa"/>
            <w:vAlign w:val="bottom"/>
          </w:tcPr>
          <w:p>
            <w:pPr>
              <w:ind w:left="100"/>
              <w:spacing w:after="0"/>
              <w:rPr>
                <w:sz w:val="20"/>
                <w:szCs w:val="20"/>
                <w:color w:val="auto"/>
              </w:rPr>
            </w:pPr>
            <w:r>
              <w:rPr>
                <w:rFonts w:ascii="Calibri" w:cs="Calibri" w:eastAsia="Calibri" w:hAnsi="Calibri"/>
                <w:sz w:val="10"/>
                <w:szCs w:val="10"/>
                <w:color w:val="auto"/>
              </w:rPr>
              <w:t>Moruga</w:t>
            </w:r>
            <w:r>
              <w:rPr>
                <w:rFonts w:ascii="Calibri" w:cs="Calibri" w:eastAsia="Calibri" w:hAnsi="Calibri"/>
                <w:sz w:val="12"/>
                <w:szCs w:val="12"/>
                <w:color w:val="auto"/>
                <w:vertAlign w:val="superscript"/>
              </w:rPr>
              <w:t>(1)</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71"/>
              <w:spacing w:after="0"/>
              <w:rPr>
                <w:sz w:val="20"/>
                <w:szCs w:val="20"/>
                <w:color w:val="auto"/>
              </w:rPr>
            </w:pPr>
            <w:r>
              <w:rPr>
                <w:rFonts w:ascii="Calibri" w:cs="Calibri" w:eastAsia="Calibri" w:hAnsi="Calibri"/>
                <w:sz w:val="10"/>
                <w:szCs w:val="10"/>
                <w:color w:val="auto"/>
              </w:rPr>
              <w:t>4.9</w:t>
            </w:r>
          </w:p>
        </w:tc>
        <w:tc>
          <w:tcPr>
            <w:tcW w:w="32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3"/>
                <w:szCs w:val="13"/>
                <w:color w:val="auto"/>
              </w:rPr>
            </w:pPr>
          </w:p>
        </w:tc>
        <w:tc>
          <w:tcPr>
            <w:tcW w:w="114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Calibri" w:cs="Calibri" w:eastAsia="Calibri" w:hAnsi="Calibri"/>
                <w:sz w:val="10"/>
                <w:szCs w:val="10"/>
                <w:color w:val="auto"/>
              </w:rPr>
              <w:t>0.6</w:t>
            </w:r>
          </w:p>
        </w:tc>
      </w:tr>
      <w:tr>
        <w:trPr>
          <w:trHeight w:val="139"/>
        </w:trPr>
        <w:tc>
          <w:tcPr>
            <w:tcW w:w="20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0"/>
                <w:szCs w:val="10"/>
                <w:b w:val="1"/>
                <w:bCs w:val="1"/>
                <w:color w:val="auto"/>
              </w:rPr>
              <w:t>Other:</w:t>
            </w:r>
          </w:p>
        </w:tc>
        <w:tc>
          <w:tcPr>
            <w:tcW w:w="200" w:type="dxa"/>
            <w:vAlign w:val="bottom"/>
            <w:tcBorders>
              <w:bottom w:val="single" w:sz="8" w:color="DBDBDB"/>
            </w:tcBorders>
            <w:shd w:val="clear" w:color="auto" w:fill="DBDBDB"/>
          </w:tcPr>
          <w:p>
            <w:pPr>
              <w:spacing w:after="0"/>
              <w:rPr>
                <w:sz w:val="12"/>
                <w:szCs w:val="12"/>
                <w:color w:val="auto"/>
              </w:rPr>
            </w:pPr>
          </w:p>
        </w:tc>
        <w:tc>
          <w:tcPr>
            <w:tcW w:w="1040" w:type="dxa"/>
            <w:vAlign w:val="bottom"/>
            <w:tcBorders>
              <w:bottom w:val="single" w:sz="8" w:color="DBDBDB"/>
            </w:tcBorders>
            <w:shd w:val="clear" w:color="auto" w:fill="DBDBDB"/>
          </w:tcPr>
          <w:p>
            <w:pPr>
              <w:spacing w:after="0"/>
              <w:rPr>
                <w:sz w:val="12"/>
                <w:szCs w:val="12"/>
                <w:color w:val="auto"/>
              </w:rPr>
            </w:pPr>
          </w:p>
        </w:tc>
        <w:tc>
          <w:tcPr>
            <w:tcW w:w="2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spacing w:after="0"/>
              <w:rPr>
                <w:sz w:val="12"/>
                <w:szCs w:val="12"/>
                <w:color w:val="auto"/>
              </w:rPr>
            </w:pPr>
          </w:p>
        </w:tc>
        <w:tc>
          <w:tcPr>
            <w:tcW w:w="500" w:type="dxa"/>
            <w:vAlign w:val="bottom"/>
            <w:tcBorders>
              <w:bottom w:val="single" w:sz="8" w:color="DBDBDB"/>
            </w:tcBorders>
            <w:shd w:val="clear" w:color="auto" w:fill="DBDBDB"/>
          </w:tcPr>
          <w:p>
            <w:pPr>
              <w:spacing w:after="0"/>
              <w:rPr>
                <w:sz w:val="12"/>
                <w:szCs w:val="12"/>
                <w:color w:val="auto"/>
              </w:rPr>
            </w:pPr>
          </w:p>
        </w:tc>
        <w:tc>
          <w:tcPr>
            <w:tcW w:w="760" w:type="dxa"/>
            <w:vAlign w:val="bottom"/>
            <w:tcBorders>
              <w:bottom w:val="single" w:sz="8" w:color="DBDBDB"/>
            </w:tcBorders>
            <w:shd w:val="clear" w:color="auto" w:fill="DBDBDB"/>
          </w:tcPr>
          <w:p>
            <w:pPr>
              <w:spacing w:after="0"/>
              <w:rPr>
                <w:sz w:val="12"/>
                <w:szCs w:val="12"/>
                <w:color w:val="auto"/>
              </w:rPr>
            </w:pPr>
          </w:p>
        </w:tc>
        <w:tc>
          <w:tcPr>
            <w:tcW w:w="200" w:type="dxa"/>
            <w:vAlign w:val="bottom"/>
            <w:tcBorders>
              <w:bottom w:val="single" w:sz="8" w:color="DBDBDB"/>
            </w:tcBorders>
            <w:shd w:val="clear" w:color="auto" w:fill="DBDBDB"/>
          </w:tcPr>
          <w:p>
            <w:pPr>
              <w:spacing w:after="0"/>
              <w:rPr>
                <w:sz w:val="12"/>
                <w:szCs w:val="12"/>
                <w:color w:val="auto"/>
              </w:rPr>
            </w:pPr>
          </w:p>
        </w:tc>
        <w:tc>
          <w:tcPr>
            <w:tcW w:w="42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spacing w:after="0"/>
              <w:rPr>
                <w:sz w:val="12"/>
                <w:szCs w:val="12"/>
                <w:color w:val="auto"/>
              </w:rPr>
            </w:pPr>
          </w:p>
        </w:tc>
        <w:tc>
          <w:tcPr>
            <w:tcW w:w="3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spacing w:after="0"/>
              <w:rPr>
                <w:sz w:val="12"/>
                <w:szCs w:val="12"/>
                <w:color w:val="auto"/>
              </w:rPr>
            </w:pPr>
          </w:p>
        </w:tc>
        <w:tc>
          <w:tcPr>
            <w:tcW w:w="2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spacing w:after="0"/>
              <w:rPr>
                <w:sz w:val="12"/>
                <w:szCs w:val="12"/>
                <w:color w:val="auto"/>
              </w:rPr>
            </w:pPr>
          </w:p>
        </w:tc>
        <w:tc>
          <w:tcPr>
            <w:tcW w:w="18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spacing w:after="0"/>
              <w:rPr>
                <w:sz w:val="12"/>
                <w:szCs w:val="12"/>
                <w:color w:val="auto"/>
              </w:rPr>
            </w:pPr>
          </w:p>
        </w:tc>
      </w:tr>
      <w:tr>
        <w:trPr>
          <w:trHeight w:val="159"/>
        </w:trPr>
        <w:tc>
          <w:tcPr>
            <w:tcW w:w="2060" w:type="dxa"/>
            <w:vAlign w:val="bottom"/>
            <w:tcBorders>
              <w:bottom w:val="single" w:sz="8" w:color="auto"/>
            </w:tcBorders>
          </w:tcPr>
          <w:p>
            <w:pPr>
              <w:ind w:left="100"/>
              <w:spacing w:after="0"/>
              <w:rPr>
                <w:sz w:val="20"/>
                <w:szCs w:val="20"/>
                <w:color w:val="auto"/>
              </w:rPr>
            </w:pPr>
            <w:r>
              <w:rPr>
                <w:rFonts w:ascii="Calibri" w:cs="Calibri" w:eastAsia="Calibri" w:hAnsi="Calibri"/>
                <w:sz w:val="10"/>
                <w:szCs w:val="10"/>
                <w:color w:val="auto"/>
              </w:rPr>
              <w:t>Directors/ofcers</w:t>
            </w:r>
            <w:r>
              <w:rPr>
                <w:rFonts w:ascii="Calibri" w:cs="Calibri" w:eastAsia="Calibri" w:hAnsi="Calibri"/>
                <w:sz w:val="12"/>
                <w:szCs w:val="12"/>
                <w:color w:val="auto"/>
                <w:vertAlign w:val="superscript"/>
              </w:rPr>
              <w:t>(3)</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0"/>
                <w:szCs w:val="10"/>
                <w:color w:val="auto"/>
              </w:rPr>
              <w:t>2.3</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0"/>
                <w:szCs w:val="10"/>
                <w:color w:val="auto"/>
              </w:rPr>
              <w:t>5.1</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1"/>
              <w:spacing w:after="0"/>
              <w:rPr>
                <w:sz w:val="20"/>
                <w:szCs w:val="20"/>
                <w:color w:val="auto"/>
              </w:rPr>
            </w:pPr>
            <w:r>
              <w:rPr>
                <w:rFonts w:ascii="Calibri" w:cs="Calibri" w:eastAsia="Calibri" w:hAnsi="Calibri"/>
                <w:sz w:val="10"/>
                <w:szCs w:val="10"/>
                <w:color w:val="auto"/>
              </w:rPr>
              <w:t>0.2</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10"/>
                <w:szCs w:val="10"/>
                <w:color w:val="auto"/>
              </w:rPr>
              <w:t>—</w:t>
            </w:r>
          </w:p>
        </w:tc>
      </w:tr>
    </w:tbl>
    <w:p>
      <w:pPr>
        <w:spacing w:after="0" w:line="109" w:lineRule="exact"/>
        <w:rPr>
          <w:sz w:val="20"/>
          <w:szCs w:val="20"/>
          <w:color w:val="auto"/>
        </w:rPr>
      </w:pPr>
    </w:p>
    <w:p>
      <w:pPr>
        <w:ind w:left="140" w:right="80" w:hanging="135"/>
        <w:spacing w:after="0" w:line="199" w:lineRule="auto"/>
        <w:tabs>
          <w:tab w:leader="none" w:pos="137" w:val="left"/>
        </w:tabs>
        <w:numPr>
          <w:ilvl w:val="0"/>
          <w:numId w:val="29"/>
        </w:numPr>
        <w:rPr>
          <w:rFonts w:ascii="Calibri" w:cs="Calibri" w:eastAsia="Calibri" w:hAnsi="Calibri"/>
          <w:sz w:val="13"/>
          <w:szCs w:val="13"/>
          <w:color w:val="auto"/>
          <w:vertAlign w:val="superscript"/>
        </w:rPr>
      </w:pPr>
      <w:r>
        <w:rPr>
          <w:rFonts w:ascii="Calibri" w:cs="Calibri" w:eastAsia="Calibri" w:hAnsi="Calibri"/>
          <w:sz w:val="10"/>
          <w:szCs w:val="10"/>
          <w:color w:val="auto"/>
        </w:rPr>
        <w:t>Efectve May 1, 2022, Moruga was prospectvely consolidated into the Company’s fnancial statements (refer to Note 3 for more details), thereby eliminatng related party transactons. Related party transactons prior to consolidaton are presented the same as in prior periods. The Company provided loans to Moruga to support growth and expansion projects, bearing interest at 6.5%, due December 31, 2023. The Company also provides packing and cooling services for blueberries and leases owned land to Moruga.</w:t>
      </w:r>
    </w:p>
    <w:p>
      <w:pPr>
        <w:ind w:left="120" w:hanging="115"/>
        <w:spacing w:after="0"/>
        <w:tabs>
          <w:tab w:leader="none" w:pos="120" w:val="left"/>
        </w:tabs>
        <w:numPr>
          <w:ilvl w:val="0"/>
          <w:numId w:val="29"/>
        </w:numPr>
        <w:rPr>
          <w:rFonts w:ascii="Calibri" w:cs="Calibri" w:eastAsia="Calibri" w:hAnsi="Calibri"/>
          <w:sz w:val="13"/>
          <w:szCs w:val="13"/>
          <w:color w:val="auto"/>
          <w:vertAlign w:val="superscript"/>
        </w:rPr>
      </w:pPr>
      <w:r>
        <w:rPr>
          <w:rFonts w:ascii="Calibri" w:cs="Calibri" w:eastAsia="Calibri" w:hAnsi="Calibri"/>
          <w:sz w:val="10"/>
          <w:szCs w:val="10"/>
          <w:color w:val="auto"/>
        </w:rPr>
        <w:t>The Company has provided loans to Copaltas to support growth and expansion projects, bearing interest at 6.66%, which had an amended due date of August 31, 2022. As of October 31, 2022, the principal balance of the loan was fully repaid.</w:t>
      </w:r>
    </w:p>
    <w:p>
      <w:pPr>
        <w:spacing w:after="0" w:line="53" w:lineRule="exact"/>
        <w:rPr>
          <w:rFonts w:ascii="Calibri" w:cs="Calibri" w:eastAsia="Calibri" w:hAnsi="Calibri"/>
          <w:sz w:val="13"/>
          <w:szCs w:val="13"/>
          <w:color w:val="auto"/>
          <w:vertAlign w:val="superscript"/>
        </w:rPr>
      </w:pPr>
    </w:p>
    <w:p>
      <w:pPr>
        <w:ind w:left="140" w:right="420" w:hanging="135"/>
        <w:spacing w:after="0" w:line="199" w:lineRule="auto"/>
        <w:tabs>
          <w:tab w:leader="none" w:pos="137" w:val="left"/>
        </w:tabs>
        <w:numPr>
          <w:ilvl w:val="0"/>
          <w:numId w:val="29"/>
        </w:numPr>
        <w:rPr>
          <w:rFonts w:ascii="Calibri" w:cs="Calibri" w:eastAsia="Calibri" w:hAnsi="Calibri"/>
          <w:sz w:val="13"/>
          <w:szCs w:val="13"/>
          <w:color w:val="auto"/>
          <w:vertAlign w:val="superscript"/>
        </w:rPr>
      </w:pPr>
      <w:r>
        <w:rPr>
          <w:rFonts w:ascii="Calibri" w:cs="Calibri" w:eastAsia="Calibri" w:hAnsi="Calibri"/>
          <w:sz w:val="10"/>
          <w:szCs w:val="10"/>
          <w:color w:val="auto"/>
        </w:rPr>
        <w:t>The Company purchases from and sells avocados to, and provides logistcs services to, a small number of enttes having full or partal ownership by some of our directors/ofcers. These transactons are made under substantally similar terms as with other growers and customers. The Company had a consultng agreement with a director to advise on business operatons, as well as to analyze opportunites for fresh avocado farming and packing facilites in South and Central America, that was terminated in June 2021.</w:t>
      </w:r>
    </w:p>
    <w:p>
      <w:pPr>
        <w:spacing w:after="0" w:line="43" w:lineRule="exact"/>
        <w:rPr>
          <w:rFonts w:ascii="Calibri" w:cs="Calibri" w:eastAsia="Calibri" w:hAnsi="Calibri"/>
          <w:sz w:val="13"/>
          <w:szCs w:val="13"/>
          <w:color w:val="auto"/>
          <w:vertAlign w:val="superscript"/>
        </w:rPr>
      </w:pPr>
    </w:p>
    <w:p>
      <w:pPr>
        <w:ind w:left="140" w:right="60" w:hanging="135"/>
        <w:spacing w:after="0" w:line="199" w:lineRule="auto"/>
        <w:tabs>
          <w:tab w:leader="none" w:pos="137" w:val="left"/>
        </w:tabs>
        <w:numPr>
          <w:ilvl w:val="0"/>
          <w:numId w:val="29"/>
        </w:numPr>
        <w:rPr>
          <w:rFonts w:ascii="Calibri" w:cs="Calibri" w:eastAsia="Calibri" w:hAnsi="Calibri"/>
          <w:sz w:val="13"/>
          <w:szCs w:val="13"/>
          <w:color w:val="auto"/>
          <w:vertAlign w:val="superscript"/>
        </w:rPr>
      </w:pPr>
      <w:r>
        <w:rPr>
          <w:rFonts w:ascii="Calibri" w:cs="Calibri" w:eastAsia="Calibri" w:hAnsi="Calibri"/>
          <w:sz w:val="10"/>
          <w:szCs w:val="10"/>
          <w:color w:val="auto"/>
        </w:rPr>
        <w:t>The Company utlizes a small number of transportaton vendors in Mexico having full or partal ownership by some of our employees. The Company also purchases avocados from a small number of enttes having full or partal ownership by some employees. These transactons are made under substantally similar terms as with other transportaton carriers and growers.</w:t>
      </w:r>
    </w:p>
    <w:p>
      <w:pPr>
        <w:spacing w:after="0" w:line="148" w:lineRule="exact"/>
        <w:rPr>
          <w:sz w:val="20"/>
          <w:szCs w:val="20"/>
          <w:color w:val="auto"/>
        </w:rPr>
      </w:pPr>
    </w:p>
    <w:p>
      <w:pPr>
        <w:ind w:left="380" w:hanging="375"/>
        <w:spacing w:after="0"/>
        <w:tabs>
          <w:tab w:leader="none" w:pos="380" w:val="left"/>
        </w:tabs>
        <w:numPr>
          <w:ilvl w:val="0"/>
          <w:numId w:val="30"/>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Segment and Revenue Informaton</w:t>
      </w:r>
    </w:p>
    <w:p>
      <w:pPr>
        <w:spacing w:after="0" w:line="182" w:lineRule="exact"/>
        <w:rPr>
          <w:sz w:val="20"/>
          <w:szCs w:val="20"/>
          <w:color w:val="auto"/>
        </w:rPr>
      </w:pPr>
    </w:p>
    <w:p>
      <w:pPr>
        <w:ind w:right="20" w:firstLine="509"/>
        <w:spacing w:after="0" w:line="230" w:lineRule="auto"/>
        <w:rPr>
          <w:sz w:val="20"/>
          <w:szCs w:val="20"/>
          <w:color w:val="auto"/>
        </w:rPr>
      </w:pPr>
      <w:r>
        <w:rPr>
          <w:rFonts w:ascii="Calibri" w:cs="Calibri" w:eastAsia="Calibri" w:hAnsi="Calibri"/>
          <w:sz w:val="13"/>
          <w:szCs w:val="13"/>
          <w:color w:val="auto"/>
        </w:rPr>
        <w:t>We have three operatng segments which are also reportable segments. Our reportable segments are presented based on how informaton is used by our CEO, who is the chief operatng decision maker, to measure performance and allocate resources. Afer the consolidaton of Moruga on May 1, 2022 (refer to Notes 2 and 3 for more informaton), the informaton used by the CEO changed to include the results of Moruga, and as such, we determined our reportable segments to be:</w:t>
      </w:r>
    </w:p>
    <w:p>
      <w:pPr>
        <w:spacing w:after="0" w:line="150" w:lineRule="exact"/>
        <w:rPr>
          <w:sz w:val="20"/>
          <w:szCs w:val="20"/>
          <w:color w:val="auto"/>
        </w:rPr>
      </w:pPr>
    </w:p>
    <w:p>
      <w:pPr>
        <w:ind w:left="520" w:hanging="260"/>
        <w:spacing w:after="0"/>
        <w:tabs>
          <w:tab w:leader="none" w:pos="520" w:val="left"/>
        </w:tabs>
        <w:numPr>
          <w:ilvl w:val="0"/>
          <w:numId w:val="31"/>
        </w:numPr>
        <w:rPr>
          <w:rFonts w:ascii="Calibri" w:cs="Calibri" w:eastAsia="Calibri" w:hAnsi="Calibri"/>
          <w:sz w:val="13"/>
          <w:szCs w:val="13"/>
          <w:color w:val="auto"/>
        </w:rPr>
      </w:pPr>
      <w:r>
        <w:rPr>
          <w:rFonts w:ascii="Calibri" w:cs="Calibri" w:eastAsia="Calibri" w:hAnsi="Calibri"/>
          <w:sz w:val="13"/>
          <w:szCs w:val="13"/>
          <w:i w:val="1"/>
          <w:iCs w:val="1"/>
          <w:color w:val="auto"/>
        </w:rPr>
        <w:t>Marketng and Distributon</w:t>
      </w:r>
      <w:r>
        <w:rPr>
          <w:rFonts w:ascii="Calibri" w:cs="Calibri" w:eastAsia="Calibri" w:hAnsi="Calibri"/>
          <w:sz w:val="13"/>
          <w:szCs w:val="13"/>
          <w:color w:val="auto"/>
        </w:rPr>
        <w:t>. Our Marketng and Distributon reportable segment sources fruit from growers and then distributes the fruit through our global distributon network.</w:t>
      </w:r>
    </w:p>
    <w:p>
      <w:pPr>
        <w:spacing w:after="0" w:line="158" w:lineRule="exact"/>
        <w:rPr>
          <w:rFonts w:ascii="Calibri" w:cs="Calibri" w:eastAsia="Calibri" w:hAnsi="Calibri"/>
          <w:sz w:val="13"/>
          <w:szCs w:val="13"/>
          <w:color w:val="auto"/>
        </w:rPr>
      </w:pPr>
    </w:p>
    <w:p>
      <w:pPr>
        <w:ind w:left="520" w:right="480" w:hanging="260"/>
        <w:spacing w:after="0" w:line="225" w:lineRule="auto"/>
        <w:tabs>
          <w:tab w:leader="none" w:pos="520" w:val="left"/>
        </w:tabs>
        <w:numPr>
          <w:ilvl w:val="0"/>
          <w:numId w:val="31"/>
        </w:numPr>
        <w:rPr>
          <w:rFonts w:ascii="Calibri" w:cs="Calibri" w:eastAsia="Calibri" w:hAnsi="Calibri"/>
          <w:sz w:val="13"/>
          <w:szCs w:val="13"/>
          <w:i w:val="1"/>
          <w:iCs w:val="1"/>
          <w:color w:val="auto"/>
        </w:rPr>
      </w:pPr>
      <w:r>
        <w:rPr>
          <w:rFonts w:ascii="Calibri" w:cs="Calibri" w:eastAsia="Calibri" w:hAnsi="Calibri"/>
          <w:sz w:val="13"/>
          <w:szCs w:val="13"/>
          <w:i w:val="1"/>
          <w:iCs w:val="1"/>
          <w:color w:val="auto"/>
        </w:rPr>
        <w:t>Internatonal Farming</w:t>
      </w:r>
      <w:r>
        <w:rPr>
          <w:rFonts w:ascii="Calibri" w:cs="Calibri" w:eastAsia="Calibri" w:hAnsi="Calibri"/>
          <w:sz w:val="13"/>
          <w:szCs w:val="13"/>
          <w:color w:val="auto"/>
        </w:rPr>
        <w:t>. Internatonal Farming owns and operates orchards from which substantally all fruit produced is sold to our Marketng and Distributon segment. Its farming actvites range from</w:t>
      </w:r>
      <w:r>
        <w:rPr>
          <w:rFonts w:ascii="Calibri" w:cs="Calibri" w:eastAsia="Calibri" w:hAnsi="Calibri"/>
          <w:sz w:val="13"/>
          <w:szCs w:val="13"/>
          <w:i w:val="1"/>
          <w:iCs w:val="1"/>
          <w:color w:val="auto"/>
        </w:rPr>
        <w:t xml:space="preserve"> </w:t>
      </w:r>
      <w:r>
        <w:rPr>
          <w:rFonts w:ascii="Calibri" w:cs="Calibri" w:eastAsia="Calibri" w:hAnsi="Calibri"/>
          <w:sz w:val="13"/>
          <w:szCs w:val="13"/>
          <w:color w:val="auto"/>
        </w:rPr>
        <w:t>cultvatng early-stage plantngs to harvestng from mature trees, and it also earns service revenues for packing and processing for our Blueberries segment, as well as for third-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71" w:name="page72"/>
    <w:bookmarkEnd w:id="71"/>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party producers of other crops during the avocado of-harvest season. Operatons are principally located in Peru, with smaller operatons emerging in other areas of Latn America.</w:t>
      </w:r>
    </w:p>
    <w:p>
      <w:pPr>
        <w:spacing w:after="0" w:line="158" w:lineRule="exact"/>
        <w:rPr>
          <w:sz w:val="20"/>
          <w:szCs w:val="20"/>
          <w:color w:val="auto"/>
        </w:rPr>
      </w:pPr>
    </w:p>
    <w:p>
      <w:pPr>
        <w:ind w:left="520" w:right="100" w:hanging="260"/>
        <w:spacing w:after="0" w:line="225" w:lineRule="auto"/>
        <w:tabs>
          <w:tab w:leader="none" w:pos="520" w:val="left"/>
        </w:tabs>
        <w:numPr>
          <w:ilvl w:val="0"/>
          <w:numId w:val="32"/>
        </w:numPr>
        <w:rPr>
          <w:rFonts w:ascii="Calibri" w:cs="Calibri" w:eastAsia="Calibri" w:hAnsi="Calibri"/>
          <w:sz w:val="13"/>
          <w:szCs w:val="13"/>
          <w:color w:val="auto"/>
        </w:rPr>
      </w:pPr>
      <w:r>
        <w:rPr>
          <w:rFonts w:ascii="Calibri" w:cs="Calibri" w:eastAsia="Calibri" w:hAnsi="Calibri"/>
          <w:sz w:val="13"/>
          <w:szCs w:val="13"/>
          <w:i w:val="1"/>
          <w:iCs w:val="1"/>
          <w:color w:val="auto"/>
        </w:rPr>
        <w:t xml:space="preserve">Blueberries. </w:t>
      </w:r>
      <w:r>
        <w:rPr>
          <w:rFonts w:ascii="Calibri" w:cs="Calibri" w:eastAsia="Calibri" w:hAnsi="Calibri"/>
          <w:sz w:val="13"/>
          <w:szCs w:val="13"/>
          <w:color w:val="auto"/>
        </w:rPr>
        <w:t>The new Blueberries segment represents the results of Moruga, subsequent to its consolidaton on May 1, 2022. Moruga’s farming actvites include cultvatng early-stage blueberry plantngs and</w:t>
      </w:r>
      <w:r>
        <w:rPr>
          <w:rFonts w:ascii="Calibri" w:cs="Calibri" w:eastAsia="Calibri" w:hAnsi="Calibri"/>
          <w:sz w:val="13"/>
          <w:szCs w:val="13"/>
          <w:i w:val="1"/>
          <w:iCs w:val="1"/>
          <w:color w:val="auto"/>
        </w:rPr>
        <w:t xml:space="preserve"> </w:t>
      </w:r>
      <w:r>
        <w:rPr>
          <w:rFonts w:ascii="Calibri" w:cs="Calibri" w:eastAsia="Calibri" w:hAnsi="Calibri"/>
          <w:sz w:val="13"/>
          <w:szCs w:val="13"/>
          <w:color w:val="auto"/>
        </w:rPr>
        <w:t>harvestng mature bushes. Substantally all of blueberries produced are sold to a single distributor under an exclusive marketng agreement.</w:t>
      </w:r>
    </w:p>
    <w:p>
      <w:pPr>
        <w:spacing w:after="0" w:line="159" w:lineRule="exact"/>
        <w:rPr>
          <w:sz w:val="20"/>
          <w:szCs w:val="20"/>
          <w:color w:val="auto"/>
        </w:rPr>
      </w:pPr>
    </w:p>
    <w:p>
      <w:pPr>
        <w:ind w:firstLine="509"/>
        <w:spacing w:after="0" w:line="229" w:lineRule="auto"/>
        <w:rPr>
          <w:sz w:val="20"/>
          <w:szCs w:val="20"/>
          <w:color w:val="auto"/>
        </w:rPr>
      </w:pPr>
      <w:r>
        <w:rPr>
          <w:rFonts w:ascii="Calibri" w:cs="Calibri" w:eastAsia="Calibri" w:hAnsi="Calibri"/>
          <w:sz w:val="13"/>
          <w:szCs w:val="13"/>
          <w:color w:val="auto"/>
        </w:rPr>
        <w:t>The CEO evaluates and monitors segment performance primarily through segment sales and segment adjusted EBITDA. Adjusted EBITDA refers to net income (loss), before interest expense, income taxes, depreciaton and amortzaton expense, stock-based compensaton expense, other income (expense), and income (loss) from equity method investees, further adjusted by asset impairment and disposals, net of insurance recoveries, farming costs for nonproductve orchards (which represents land lease costs), certain noncash and nonrecurring ERP costs, transacton costs, material legal setlements, amortzaton of inventory adjustments recognized from business combinatons, and any special, non-recurring, or one-tme items such as remeasurements or impairments, and any porton of these items atributable to the noncontrolling interest, all of which are excluded from the results the CEO reviews uses to assess segment performance and results. We believe that adjusted EBITDA by segment provides useful informaton for analyzing the underlying business results as well as allowing investors a means to evaluate the fnancial results of each reportable segment in relaton to the Company as a whole. These measures are not in accordance with, nor are they a substtute for or superior to, the comparable GAAP fnancial measures.</w:t>
      </w:r>
    </w:p>
    <w:p>
      <w:pPr>
        <w:spacing w:after="0" w:line="162"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Net sales from each of our reportable segments were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22"/>
        </w:trPr>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1"/>
              <w:spacing w:after="0"/>
              <w:rPr>
                <w:sz w:val="20"/>
                <w:szCs w:val="20"/>
                <w:color w:val="auto"/>
              </w:rPr>
            </w:pPr>
            <w:r>
              <w:rPr>
                <w:rFonts w:ascii="Calibri" w:cs="Calibri" w:eastAsia="Calibri" w:hAnsi="Calibri"/>
                <w:sz w:val="10"/>
                <w:szCs w:val="10"/>
                <w:b w:val="1"/>
                <w:bCs w:val="1"/>
                <w:color w:val="auto"/>
              </w:rPr>
              <w:t>Marketng and</w:t>
            </w: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right"/>
              <w:ind w:right="11"/>
              <w:spacing w:after="0"/>
              <w:rPr>
                <w:sz w:val="20"/>
                <w:szCs w:val="20"/>
                <w:color w:val="auto"/>
              </w:rPr>
            </w:pPr>
            <w:r>
              <w:rPr>
                <w:rFonts w:ascii="Calibri" w:cs="Calibri" w:eastAsia="Calibri" w:hAnsi="Calibri"/>
                <w:sz w:val="10"/>
                <w:szCs w:val="10"/>
                <w:b w:val="1"/>
                <w:bCs w:val="1"/>
                <w:color w:val="auto"/>
              </w:rPr>
              <w:t>Marketng and</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ind w:right="31"/>
              <w:spacing w:after="0"/>
              <w:rPr>
                <w:sz w:val="20"/>
                <w:szCs w:val="20"/>
                <w:color w:val="auto"/>
              </w:rPr>
            </w:pPr>
            <w:r>
              <w:rPr>
                <w:rFonts w:ascii="Calibri" w:cs="Calibri" w:eastAsia="Calibri" w:hAnsi="Calibri"/>
                <w:sz w:val="10"/>
                <w:szCs w:val="10"/>
                <w:b w:val="1"/>
                <w:bCs w:val="1"/>
                <w:color w:val="auto"/>
              </w:rPr>
              <w:t>Marketng and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1"/>
              <w:spacing w:after="0" w:line="117" w:lineRule="exact"/>
              <w:rPr>
                <w:sz w:val="20"/>
                <w:szCs w:val="20"/>
                <w:color w:val="auto"/>
              </w:rPr>
            </w:pPr>
            <w:r>
              <w:rPr>
                <w:rFonts w:ascii="Calibri" w:cs="Calibri" w:eastAsia="Calibri" w:hAnsi="Calibri"/>
                <w:sz w:val="10"/>
                <w:szCs w:val="10"/>
                <w:b w:val="1"/>
                <w:bCs w:val="1"/>
                <w:color w:val="auto"/>
              </w:rPr>
              <w:t>Distributon</w:t>
            </w:r>
          </w:p>
        </w:tc>
        <w:tc>
          <w:tcPr>
            <w:tcW w:w="1080" w:type="dxa"/>
            <w:vAlign w:val="bottom"/>
            <w:gridSpan w:val="2"/>
          </w:tcPr>
          <w:p>
            <w:pPr>
              <w:ind w:left="100"/>
              <w:spacing w:after="0" w:line="117" w:lineRule="exact"/>
              <w:rPr>
                <w:sz w:val="20"/>
                <w:szCs w:val="20"/>
                <w:color w:val="auto"/>
              </w:rPr>
            </w:pPr>
            <w:r>
              <w:rPr>
                <w:rFonts w:ascii="Calibri" w:cs="Calibri" w:eastAsia="Calibri" w:hAnsi="Calibri"/>
                <w:sz w:val="10"/>
                <w:szCs w:val="10"/>
                <w:b w:val="1"/>
                <w:bCs w:val="1"/>
                <w:color w:val="auto"/>
              </w:rPr>
              <w:t>Internatonal Farming</w:t>
            </w:r>
          </w:p>
        </w:tc>
        <w:tc>
          <w:tcPr>
            <w:tcW w:w="260" w:type="dxa"/>
            <w:vAlign w:val="bottom"/>
          </w:tcPr>
          <w:p>
            <w:pPr>
              <w:spacing w:after="0"/>
              <w:rPr>
                <w:sz w:val="10"/>
                <w:szCs w:val="10"/>
                <w:color w:val="auto"/>
              </w:rPr>
            </w:pPr>
          </w:p>
        </w:tc>
        <w:tc>
          <w:tcPr>
            <w:tcW w:w="700" w:type="dxa"/>
            <w:vAlign w:val="bottom"/>
          </w:tcPr>
          <w:p>
            <w:pPr>
              <w:jc w:val="right"/>
              <w:ind w:right="31"/>
              <w:spacing w:after="0" w:line="117" w:lineRule="exact"/>
              <w:rPr>
                <w:sz w:val="20"/>
                <w:szCs w:val="20"/>
                <w:color w:val="auto"/>
              </w:rPr>
            </w:pPr>
            <w:r>
              <w:rPr>
                <w:rFonts w:ascii="Calibri" w:cs="Calibri" w:eastAsia="Calibri" w:hAnsi="Calibri"/>
                <w:sz w:val="10"/>
                <w:szCs w:val="10"/>
                <w:b w:val="1"/>
                <w:bCs w:val="1"/>
                <w:color w:val="auto"/>
              </w:rPr>
              <w:t>Blueberries</w:t>
            </w:r>
          </w:p>
        </w:tc>
        <w:tc>
          <w:tcPr>
            <w:tcW w:w="220" w:type="dxa"/>
            <w:vAlign w:val="bottom"/>
          </w:tcPr>
          <w:p>
            <w:pPr>
              <w:spacing w:after="0"/>
              <w:rPr>
                <w:sz w:val="10"/>
                <w:szCs w:val="10"/>
                <w:color w:val="auto"/>
              </w:rPr>
            </w:pPr>
          </w:p>
        </w:tc>
        <w:tc>
          <w:tcPr>
            <w:tcW w:w="560" w:type="dxa"/>
            <w:vAlign w:val="bottom"/>
          </w:tcPr>
          <w:p>
            <w:pPr>
              <w:jc w:val="right"/>
              <w:ind w:right="71"/>
              <w:spacing w:after="0" w:line="117" w:lineRule="exact"/>
              <w:rPr>
                <w:sz w:val="20"/>
                <w:szCs w:val="20"/>
                <w:color w:val="auto"/>
              </w:rPr>
            </w:pPr>
            <w:r>
              <w:rPr>
                <w:rFonts w:ascii="Calibri" w:cs="Calibri" w:eastAsia="Calibri" w:hAnsi="Calibri"/>
                <w:sz w:val="10"/>
                <w:szCs w:val="10"/>
                <w:b w:val="1"/>
                <w:bCs w:val="1"/>
                <w:color w:val="auto"/>
              </w:rPr>
              <w:t>Total</w:t>
            </w:r>
          </w:p>
        </w:tc>
        <w:tc>
          <w:tcPr>
            <w:tcW w:w="280" w:type="dxa"/>
            <w:vAlign w:val="bottom"/>
          </w:tcPr>
          <w:p>
            <w:pPr>
              <w:spacing w:after="0"/>
              <w:rPr>
                <w:sz w:val="10"/>
                <w:szCs w:val="10"/>
                <w:color w:val="auto"/>
              </w:rPr>
            </w:pPr>
          </w:p>
        </w:tc>
        <w:tc>
          <w:tcPr>
            <w:tcW w:w="760" w:type="dxa"/>
            <w:vAlign w:val="bottom"/>
          </w:tcPr>
          <w:p>
            <w:pPr>
              <w:ind w:left="200"/>
              <w:spacing w:after="0" w:line="117" w:lineRule="exact"/>
              <w:rPr>
                <w:sz w:val="20"/>
                <w:szCs w:val="20"/>
                <w:color w:val="auto"/>
              </w:rPr>
            </w:pPr>
            <w:r>
              <w:rPr>
                <w:rFonts w:ascii="Calibri" w:cs="Calibri" w:eastAsia="Calibri" w:hAnsi="Calibri"/>
                <w:sz w:val="10"/>
                <w:szCs w:val="10"/>
                <w:b w:val="1"/>
                <w:bCs w:val="1"/>
                <w:color w:val="auto"/>
              </w:rPr>
              <w:t>Distributon</w:t>
            </w:r>
          </w:p>
        </w:tc>
        <w:tc>
          <w:tcPr>
            <w:tcW w:w="1080" w:type="dxa"/>
            <w:vAlign w:val="bottom"/>
            <w:gridSpan w:val="2"/>
          </w:tcPr>
          <w:p>
            <w:pPr>
              <w:jc w:val="right"/>
              <w:ind w:right="31"/>
              <w:spacing w:after="0" w:line="117" w:lineRule="exact"/>
              <w:rPr>
                <w:sz w:val="20"/>
                <w:szCs w:val="20"/>
                <w:color w:val="auto"/>
              </w:rPr>
            </w:pPr>
            <w:r>
              <w:rPr>
                <w:rFonts w:ascii="Calibri" w:cs="Calibri" w:eastAsia="Calibri" w:hAnsi="Calibri"/>
                <w:sz w:val="10"/>
                <w:szCs w:val="10"/>
                <w:b w:val="1"/>
                <w:bCs w:val="1"/>
                <w:color w:val="auto"/>
              </w:rPr>
              <w:t>Internatonal Farming</w:t>
            </w:r>
          </w:p>
        </w:tc>
        <w:tc>
          <w:tcPr>
            <w:tcW w:w="260" w:type="dxa"/>
            <w:vAlign w:val="bottom"/>
          </w:tcPr>
          <w:p>
            <w:pPr>
              <w:spacing w:after="0"/>
              <w:rPr>
                <w:sz w:val="10"/>
                <w:szCs w:val="10"/>
                <w:color w:val="auto"/>
              </w:rPr>
            </w:pPr>
          </w:p>
        </w:tc>
        <w:tc>
          <w:tcPr>
            <w:tcW w:w="520" w:type="dxa"/>
            <w:vAlign w:val="bottom"/>
          </w:tcPr>
          <w:p>
            <w:pPr>
              <w:jc w:val="right"/>
              <w:ind w:right="71"/>
              <w:spacing w:after="0" w:line="117" w:lineRule="exact"/>
              <w:rPr>
                <w:sz w:val="20"/>
                <w:szCs w:val="20"/>
                <w:color w:val="auto"/>
              </w:rPr>
            </w:pPr>
            <w:r>
              <w:rPr>
                <w:rFonts w:ascii="Calibri" w:cs="Calibri" w:eastAsia="Calibri" w:hAnsi="Calibri"/>
                <w:sz w:val="10"/>
                <w:szCs w:val="10"/>
                <w:b w:val="1"/>
                <w:bCs w:val="1"/>
                <w:color w:val="auto"/>
              </w:rPr>
              <w:t>Total</w:t>
            </w:r>
          </w:p>
        </w:tc>
        <w:tc>
          <w:tcPr>
            <w:tcW w:w="240" w:type="dxa"/>
            <w:vAlign w:val="bottom"/>
          </w:tcPr>
          <w:p>
            <w:pPr>
              <w:spacing w:after="0"/>
              <w:rPr>
                <w:sz w:val="10"/>
                <w:szCs w:val="10"/>
                <w:color w:val="auto"/>
              </w:rPr>
            </w:pPr>
          </w:p>
        </w:tc>
        <w:tc>
          <w:tcPr>
            <w:tcW w:w="780" w:type="dxa"/>
            <w:vAlign w:val="bottom"/>
          </w:tcPr>
          <w:p>
            <w:pPr>
              <w:jc w:val="right"/>
              <w:ind w:right="31"/>
              <w:spacing w:after="0" w:line="117" w:lineRule="exact"/>
              <w:rPr>
                <w:sz w:val="20"/>
                <w:szCs w:val="20"/>
                <w:color w:val="auto"/>
              </w:rPr>
            </w:pPr>
            <w:r>
              <w:rPr>
                <w:rFonts w:ascii="Calibri" w:cs="Calibri" w:eastAsia="Calibri" w:hAnsi="Calibri"/>
                <w:sz w:val="10"/>
                <w:szCs w:val="10"/>
                <w:b w:val="1"/>
                <w:bCs w:val="1"/>
                <w:color w:val="auto"/>
              </w:rPr>
              <w:t>Distributon</w:t>
            </w:r>
          </w:p>
        </w:tc>
        <w:tc>
          <w:tcPr>
            <w:tcW w:w="1080" w:type="dxa"/>
            <w:vAlign w:val="bottom"/>
            <w:gridSpan w:val="2"/>
          </w:tcPr>
          <w:p>
            <w:pPr>
              <w:jc w:val="right"/>
              <w:ind w:right="31"/>
              <w:spacing w:after="0" w:line="117" w:lineRule="exact"/>
              <w:rPr>
                <w:sz w:val="20"/>
                <w:szCs w:val="20"/>
                <w:color w:val="auto"/>
              </w:rPr>
            </w:pPr>
            <w:r>
              <w:rPr>
                <w:rFonts w:ascii="Calibri" w:cs="Calibri" w:eastAsia="Calibri" w:hAnsi="Calibri"/>
                <w:sz w:val="10"/>
                <w:szCs w:val="10"/>
                <w:b w:val="1"/>
                <w:bCs w:val="1"/>
                <w:color w:val="auto"/>
              </w:rPr>
              <w:t>Internatonal Farming</w:t>
            </w:r>
          </w:p>
        </w:tc>
        <w:tc>
          <w:tcPr>
            <w:tcW w:w="280" w:type="dxa"/>
            <w:vAlign w:val="bottom"/>
          </w:tcPr>
          <w:p>
            <w:pPr>
              <w:spacing w:after="0"/>
              <w:rPr>
                <w:sz w:val="10"/>
                <w:szCs w:val="10"/>
                <w:color w:val="auto"/>
              </w:rPr>
            </w:pPr>
          </w:p>
        </w:tc>
        <w:tc>
          <w:tcPr>
            <w:tcW w:w="420" w:type="dxa"/>
            <w:vAlign w:val="bottom"/>
          </w:tcPr>
          <w:p>
            <w:pPr>
              <w:jc w:val="right"/>
              <w:spacing w:after="0" w:line="117" w:lineRule="exact"/>
              <w:rPr>
                <w:sz w:val="20"/>
                <w:szCs w:val="20"/>
                <w:color w:val="auto"/>
              </w:rPr>
            </w:pPr>
            <w:r>
              <w:rPr>
                <w:rFonts w:ascii="Calibri" w:cs="Calibri" w:eastAsia="Calibri" w:hAnsi="Calibri"/>
                <w:sz w:val="10"/>
                <w:szCs w:val="10"/>
                <w:b w:val="1"/>
                <w:bCs w:val="1"/>
                <w:color w:val="auto"/>
              </w:rPr>
              <w:t>Total</w:t>
            </w:r>
          </w:p>
        </w:tc>
        <w:tc>
          <w:tcPr>
            <w:tcW w:w="0" w:type="dxa"/>
            <w:vAlign w:val="bottom"/>
          </w:tcPr>
          <w:p>
            <w:pPr>
              <w:spacing w:after="0"/>
              <w:rPr>
                <w:sz w:val="1"/>
                <w:szCs w:val="1"/>
                <w:color w:val="auto"/>
              </w:rPr>
            </w:pPr>
          </w:p>
        </w:tc>
      </w:tr>
      <w:tr>
        <w:trPr>
          <w:trHeight w:val="29"/>
        </w:trPr>
        <w:tc>
          <w:tcPr>
            <w:tcW w:w="1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ind w:left="200"/>
              <w:spacing w:after="0" w:line="121" w:lineRule="exact"/>
              <w:rPr>
                <w:sz w:val="20"/>
                <w:szCs w:val="20"/>
                <w:color w:val="auto"/>
              </w:rPr>
            </w:pPr>
            <w:r>
              <w:rPr>
                <w:rFonts w:ascii="Calibri" w:cs="Calibri" w:eastAsia="Calibri" w:hAnsi="Calibri"/>
                <w:sz w:val="10"/>
                <w:szCs w:val="10"/>
                <w:b w:val="1"/>
                <w:bCs w:val="1"/>
                <w:color w:val="auto"/>
              </w:rPr>
              <w:t>Years ended October 31,</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800" w:type="dxa"/>
            <w:vAlign w:val="bottom"/>
            <w:vMerge w:val="restart"/>
          </w:tcPr>
          <w:p>
            <w:pPr>
              <w:spacing w:after="0"/>
              <w:rPr>
                <w:sz w:val="20"/>
                <w:szCs w:val="20"/>
                <w:color w:val="auto"/>
              </w:rPr>
            </w:pPr>
            <w:r>
              <w:rPr>
                <w:rFonts w:ascii="Calibri" w:cs="Calibri" w:eastAsia="Calibri" w:hAnsi="Calibri"/>
                <w:sz w:val="10"/>
                <w:szCs w:val="10"/>
                <w:b w:val="1"/>
                <w:bCs w:val="1"/>
                <w:color w:val="auto"/>
              </w:rPr>
              <w:t>(In millions)</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jc w:val="right"/>
              <w:ind w:right="31"/>
              <w:spacing w:after="0" w:line="121" w:lineRule="exact"/>
              <w:rPr>
                <w:sz w:val="20"/>
                <w:szCs w:val="20"/>
                <w:color w:val="auto"/>
              </w:rPr>
            </w:pPr>
            <w:r>
              <w:rPr>
                <w:rFonts w:ascii="Calibri" w:cs="Calibri" w:eastAsia="Calibri" w:hAnsi="Calibri"/>
                <w:sz w:val="10"/>
                <w:szCs w:val="10"/>
                <w:b w:val="1"/>
                <w:bCs w:val="1"/>
                <w:color w:val="auto"/>
              </w:rPr>
              <w:t>2022</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51"/>
              <w:spacing w:after="0" w:line="121" w:lineRule="exact"/>
              <w:rPr>
                <w:sz w:val="20"/>
                <w:szCs w:val="20"/>
                <w:color w:val="auto"/>
              </w:rPr>
            </w:pPr>
            <w:r>
              <w:rPr>
                <w:rFonts w:ascii="Calibri" w:cs="Calibri" w:eastAsia="Calibri" w:hAnsi="Calibri"/>
                <w:sz w:val="10"/>
                <w:szCs w:val="10"/>
                <w:b w:val="1"/>
                <w:bCs w:val="1"/>
                <w:color w:val="auto"/>
              </w:rPr>
              <w:t>2021</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511"/>
              <w:spacing w:after="0" w:line="121" w:lineRule="exact"/>
              <w:rPr>
                <w:sz w:val="20"/>
                <w:szCs w:val="20"/>
                <w:color w:val="auto"/>
              </w:rPr>
            </w:pPr>
            <w:r>
              <w:rPr>
                <w:rFonts w:ascii="Calibri" w:cs="Calibri" w:eastAsia="Calibri" w:hAnsi="Calibri"/>
                <w:sz w:val="10"/>
                <w:szCs w:val="10"/>
                <w:b w:val="1"/>
                <w:bCs w:val="1"/>
                <w:color w:val="auto"/>
              </w:rPr>
              <w:t>2020</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800" w:type="dxa"/>
            <w:vAlign w:val="bottom"/>
            <w:tcBorders>
              <w:bottom w:val="single" w:sz="8" w:color="DBDBDB"/>
            </w:tcBorders>
            <w:shd w:val="clear" w:color="auto" w:fill="DBDBDB"/>
          </w:tcPr>
          <w:p>
            <w:pPr>
              <w:spacing w:after="0" w:line="121" w:lineRule="exact"/>
              <w:rPr>
                <w:sz w:val="20"/>
                <w:szCs w:val="20"/>
                <w:color w:val="auto"/>
              </w:rPr>
            </w:pPr>
            <w:r>
              <w:rPr>
                <w:rFonts w:ascii="Calibri" w:cs="Calibri" w:eastAsia="Calibri" w:hAnsi="Calibri"/>
                <w:sz w:val="10"/>
                <w:szCs w:val="10"/>
                <w:color w:val="auto"/>
              </w:rPr>
              <w:t>Third party sales</w:t>
            </w:r>
          </w:p>
        </w:tc>
        <w:tc>
          <w:tcPr>
            <w:tcW w:w="1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1,016.1</w:t>
            </w:r>
          </w:p>
        </w:tc>
        <w:tc>
          <w:tcPr>
            <w:tcW w:w="440" w:type="dxa"/>
            <w:vAlign w:val="bottom"/>
            <w:tcBorders>
              <w:bottom w:val="single" w:sz="8" w:color="DBDBDB"/>
            </w:tcBorders>
            <w:shd w:val="clear" w:color="auto" w:fill="DBDBDB"/>
          </w:tcPr>
          <w:p>
            <w:pPr>
              <w:ind w:left="80"/>
              <w:spacing w:after="0" w:line="121" w:lineRule="exact"/>
              <w:rPr>
                <w:sz w:val="20"/>
                <w:szCs w:val="20"/>
                <w:color w:val="auto"/>
              </w:rPr>
            </w:pPr>
            <w:r>
              <w:rPr>
                <w:rFonts w:ascii="Calibri" w:cs="Calibri" w:eastAsia="Calibri" w:hAnsi="Calibri"/>
                <w:sz w:val="10"/>
                <w:szCs w:val="10"/>
                <w:color w:val="auto"/>
              </w:rPr>
              <w:t>$</w:t>
            </w:r>
          </w:p>
        </w:tc>
        <w:tc>
          <w:tcPr>
            <w:tcW w:w="64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19.1</w:t>
            </w:r>
          </w:p>
        </w:tc>
        <w:tc>
          <w:tcPr>
            <w:tcW w:w="2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w:t>
            </w:r>
          </w:p>
        </w:tc>
        <w:tc>
          <w:tcPr>
            <w:tcW w:w="70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10.8</w:t>
            </w:r>
          </w:p>
        </w:tc>
        <w:tc>
          <w:tcPr>
            <w:tcW w:w="22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5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1,045.9</w:t>
            </w:r>
          </w:p>
        </w:tc>
        <w:tc>
          <w:tcPr>
            <w:tcW w:w="28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872.0</w:t>
            </w:r>
          </w:p>
        </w:tc>
        <w:tc>
          <w:tcPr>
            <w:tcW w:w="620" w:type="dxa"/>
            <w:vAlign w:val="bottom"/>
            <w:tcBorders>
              <w:bottom w:val="single" w:sz="8" w:color="DBDBDB"/>
            </w:tcBorders>
            <w:shd w:val="clear" w:color="auto" w:fill="DBDBDB"/>
          </w:tcPr>
          <w:p>
            <w:pPr>
              <w:jc w:val="right"/>
              <w:ind w:right="431"/>
              <w:spacing w:after="0" w:line="121" w:lineRule="exact"/>
              <w:rPr>
                <w:sz w:val="20"/>
                <w:szCs w:val="20"/>
                <w:color w:val="auto"/>
              </w:rPr>
            </w:pPr>
            <w:r>
              <w:rPr>
                <w:rFonts w:ascii="Calibri" w:cs="Calibri" w:eastAsia="Calibri" w:hAnsi="Calibri"/>
                <w:sz w:val="10"/>
                <w:szCs w:val="10"/>
                <w:color w:val="auto"/>
              </w:rPr>
              <w:t>$</w:t>
            </w:r>
          </w:p>
        </w:tc>
        <w:tc>
          <w:tcPr>
            <w:tcW w:w="46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19.7</w:t>
            </w:r>
          </w:p>
        </w:tc>
        <w:tc>
          <w:tcPr>
            <w:tcW w:w="26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52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891.7</w:t>
            </w:r>
          </w:p>
        </w:tc>
        <w:tc>
          <w:tcPr>
            <w:tcW w:w="2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846.9</w:t>
            </w:r>
          </w:p>
        </w:tc>
        <w:tc>
          <w:tcPr>
            <w:tcW w:w="24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840" w:type="dxa"/>
            <w:vAlign w:val="bottom"/>
            <w:tcBorders>
              <w:bottom w:val="single" w:sz="8" w:color="DBDBDB"/>
            </w:tcBorders>
            <w:shd w:val="clear" w:color="auto" w:fill="DBDBDB"/>
          </w:tcPr>
          <w:p>
            <w:pPr>
              <w:jc w:val="center"/>
              <w:ind w:left="391"/>
              <w:spacing w:after="0" w:line="121" w:lineRule="exact"/>
              <w:rPr>
                <w:sz w:val="20"/>
                <w:szCs w:val="20"/>
                <w:color w:val="auto"/>
              </w:rPr>
            </w:pPr>
            <w:r>
              <w:rPr>
                <w:rFonts w:ascii="Calibri" w:cs="Calibri" w:eastAsia="Calibri" w:hAnsi="Calibri"/>
                <w:sz w:val="10"/>
                <w:szCs w:val="10"/>
                <w:color w:val="auto"/>
                <w:w w:val="89"/>
              </w:rPr>
              <w:t>15.4</w:t>
            </w:r>
          </w:p>
        </w:tc>
        <w:tc>
          <w:tcPr>
            <w:tcW w:w="28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4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862.3</w:t>
            </w:r>
          </w:p>
        </w:tc>
        <w:tc>
          <w:tcPr>
            <w:tcW w:w="0" w:type="dxa"/>
            <w:vAlign w:val="bottom"/>
          </w:tcPr>
          <w:p>
            <w:pPr>
              <w:spacing w:after="0"/>
              <w:rPr>
                <w:sz w:val="1"/>
                <w:szCs w:val="1"/>
                <w:color w:val="auto"/>
              </w:rPr>
            </w:pPr>
          </w:p>
        </w:tc>
      </w:tr>
      <w:tr>
        <w:trPr>
          <w:trHeight w:val="130"/>
        </w:trPr>
        <w:tc>
          <w:tcPr>
            <w:tcW w:w="1800" w:type="dxa"/>
            <w:vAlign w:val="bottom"/>
          </w:tcPr>
          <w:p>
            <w:pPr>
              <w:spacing w:after="0"/>
              <w:rPr>
                <w:sz w:val="20"/>
                <w:szCs w:val="20"/>
                <w:color w:val="auto"/>
              </w:rPr>
            </w:pPr>
            <w:r>
              <w:rPr>
                <w:rFonts w:ascii="Calibri" w:cs="Calibri" w:eastAsia="Calibri" w:hAnsi="Calibri"/>
                <w:sz w:val="10"/>
                <w:szCs w:val="10"/>
                <w:color w:val="auto"/>
              </w:rPr>
              <w:t>Afliated sales</w:t>
            </w:r>
          </w:p>
        </w:tc>
        <w:tc>
          <w:tcPr>
            <w:tcW w:w="140" w:type="dxa"/>
            <w:vAlign w:val="bottom"/>
          </w:tcPr>
          <w:p>
            <w:pPr>
              <w:spacing w:after="0"/>
              <w:rPr>
                <w:sz w:val="11"/>
                <w:szCs w:val="11"/>
                <w:color w:val="auto"/>
              </w:rPr>
            </w:pPr>
          </w:p>
        </w:tc>
        <w:tc>
          <w:tcPr>
            <w:tcW w:w="760" w:type="dxa"/>
            <w:vAlign w:val="bottom"/>
          </w:tcPr>
          <w:p>
            <w:pPr>
              <w:jc w:val="right"/>
              <w:ind w:right="51"/>
              <w:spacing w:after="0"/>
              <w:rPr>
                <w:sz w:val="20"/>
                <w:szCs w:val="20"/>
                <w:color w:val="auto"/>
              </w:rPr>
            </w:pPr>
            <w:r>
              <w:rPr>
                <w:rFonts w:ascii="Calibri" w:cs="Calibri" w:eastAsia="Calibri" w:hAnsi="Calibri"/>
                <w:sz w:val="10"/>
                <w:szCs w:val="10"/>
                <w:color w:val="auto"/>
              </w:rPr>
              <w:t>—</w:t>
            </w:r>
          </w:p>
        </w:tc>
        <w:tc>
          <w:tcPr>
            <w:tcW w:w="440" w:type="dxa"/>
            <w:vAlign w:val="bottom"/>
          </w:tcPr>
          <w:p>
            <w:pPr>
              <w:spacing w:after="0"/>
              <w:rPr>
                <w:sz w:val="11"/>
                <w:szCs w:val="11"/>
                <w:color w:val="auto"/>
              </w:rPr>
            </w:pPr>
          </w:p>
        </w:tc>
        <w:tc>
          <w:tcPr>
            <w:tcW w:w="640" w:type="dxa"/>
            <w:vAlign w:val="bottom"/>
          </w:tcPr>
          <w:p>
            <w:pPr>
              <w:jc w:val="right"/>
              <w:ind w:right="71"/>
              <w:spacing w:after="0"/>
              <w:rPr>
                <w:sz w:val="20"/>
                <w:szCs w:val="20"/>
                <w:color w:val="auto"/>
              </w:rPr>
            </w:pPr>
            <w:r>
              <w:rPr>
                <w:rFonts w:ascii="Calibri" w:cs="Calibri" w:eastAsia="Calibri" w:hAnsi="Calibri"/>
                <w:sz w:val="10"/>
                <w:szCs w:val="10"/>
                <w:color w:val="auto"/>
              </w:rPr>
              <w:t>95.6</w:t>
            </w:r>
          </w:p>
        </w:tc>
        <w:tc>
          <w:tcPr>
            <w:tcW w:w="26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ind w:right="111"/>
              <w:spacing w:after="0"/>
              <w:rPr>
                <w:sz w:val="20"/>
                <w:szCs w:val="20"/>
                <w:color w:val="auto"/>
              </w:rPr>
            </w:pPr>
            <w:r>
              <w:rPr>
                <w:rFonts w:ascii="Calibri" w:cs="Calibri" w:eastAsia="Calibri" w:hAnsi="Calibri"/>
                <w:sz w:val="10"/>
                <w:szCs w:val="10"/>
                <w:color w:val="auto"/>
              </w:rPr>
              <w:t>95.6</w:t>
            </w:r>
          </w:p>
        </w:tc>
        <w:tc>
          <w:tcPr>
            <w:tcW w:w="280" w:type="dxa"/>
            <w:vAlign w:val="bottom"/>
          </w:tcPr>
          <w:p>
            <w:pPr>
              <w:spacing w:after="0"/>
              <w:rPr>
                <w:sz w:val="11"/>
                <w:szCs w:val="11"/>
                <w:color w:val="auto"/>
              </w:rPr>
            </w:pPr>
          </w:p>
        </w:tc>
        <w:tc>
          <w:tcPr>
            <w:tcW w:w="760" w:type="dxa"/>
            <w:vAlign w:val="bottom"/>
          </w:tcPr>
          <w:p>
            <w:pPr>
              <w:jc w:val="right"/>
              <w:ind w:right="51"/>
              <w:spacing w:after="0"/>
              <w:rPr>
                <w:sz w:val="20"/>
                <w:szCs w:val="20"/>
                <w:color w:val="auto"/>
              </w:rPr>
            </w:pPr>
            <w:r>
              <w:rPr>
                <w:rFonts w:ascii="Calibri" w:cs="Calibri" w:eastAsia="Calibri" w:hAnsi="Calibri"/>
                <w:sz w:val="10"/>
                <w:szCs w:val="10"/>
                <w:color w:val="auto"/>
              </w:rPr>
              <w:t>—</w:t>
            </w:r>
          </w:p>
        </w:tc>
        <w:tc>
          <w:tcPr>
            <w:tcW w:w="620" w:type="dxa"/>
            <w:vAlign w:val="bottom"/>
          </w:tcPr>
          <w:p>
            <w:pPr>
              <w:spacing w:after="0"/>
              <w:rPr>
                <w:sz w:val="11"/>
                <w:szCs w:val="11"/>
                <w:color w:val="auto"/>
              </w:rPr>
            </w:pPr>
          </w:p>
        </w:tc>
        <w:tc>
          <w:tcPr>
            <w:tcW w:w="460" w:type="dxa"/>
            <w:vAlign w:val="bottom"/>
          </w:tcPr>
          <w:p>
            <w:pPr>
              <w:jc w:val="right"/>
              <w:ind w:right="71"/>
              <w:spacing w:after="0"/>
              <w:rPr>
                <w:sz w:val="20"/>
                <w:szCs w:val="20"/>
                <w:color w:val="auto"/>
              </w:rPr>
            </w:pPr>
            <w:r>
              <w:rPr>
                <w:rFonts w:ascii="Calibri" w:cs="Calibri" w:eastAsia="Calibri" w:hAnsi="Calibri"/>
                <w:sz w:val="10"/>
                <w:szCs w:val="10"/>
                <w:color w:val="auto"/>
              </w:rPr>
              <w:t>84.9</w:t>
            </w:r>
          </w:p>
        </w:tc>
        <w:tc>
          <w:tcPr>
            <w:tcW w:w="260" w:type="dxa"/>
            <w:vAlign w:val="bottom"/>
          </w:tcPr>
          <w:p>
            <w:pPr>
              <w:spacing w:after="0"/>
              <w:rPr>
                <w:sz w:val="11"/>
                <w:szCs w:val="11"/>
                <w:color w:val="auto"/>
              </w:rPr>
            </w:pPr>
          </w:p>
        </w:tc>
        <w:tc>
          <w:tcPr>
            <w:tcW w:w="520" w:type="dxa"/>
            <w:vAlign w:val="bottom"/>
          </w:tcPr>
          <w:p>
            <w:pPr>
              <w:jc w:val="right"/>
              <w:ind w:right="111"/>
              <w:spacing w:after="0"/>
              <w:rPr>
                <w:sz w:val="20"/>
                <w:szCs w:val="20"/>
                <w:color w:val="auto"/>
              </w:rPr>
            </w:pPr>
            <w:r>
              <w:rPr>
                <w:rFonts w:ascii="Calibri" w:cs="Calibri" w:eastAsia="Calibri" w:hAnsi="Calibri"/>
                <w:sz w:val="10"/>
                <w:szCs w:val="10"/>
                <w:color w:val="auto"/>
              </w:rPr>
              <w:t>84.9</w:t>
            </w:r>
          </w:p>
        </w:tc>
        <w:tc>
          <w:tcPr>
            <w:tcW w:w="240" w:type="dxa"/>
            <w:vAlign w:val="bottom"/>
          </w:tcPr>
          <w:p>
            <w:pPr>
              <w:spacing w:after="0"/>
              <w:rPr>
                <w:sz w:val="11"/>
                <w:szCs w:val="11"/>
                <w:color w:val="auto"/>
              </w:rPr>
            </w:pPr>
          </w:p>
        </w:tc>
        <w:tc>
          <w:tcPr>
            <w:tcW w:w="78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840" w:type="dxa"/>
            <w:vAlign w:val="bottom"/>
          </w:tcPr>
          <w:p>
            <w:pPr>
              <w:jc w:val="center"/>
              <w:ind w:left="391"/>
              <w:spacing w:after="0"/>
              <w:rPr>
                <w:sz w:val="20"/>
                <w:szCs w:val="20"/>
                <w:color w:val="auto"/>
              </w:rPr>
            </w:pPr>
            <w:r>
              <w:rPr>
                <w:rFonts w:ascii="Calibri" w:cs="Calibri" w:eastAsia="Calibri" w:hAnsi="Calibri"/>
                <w:sz w:val="10"/>
                <w:szCs w:val="10"/>
                <w:color w:val="auto"/>
                <w:w w:val="89"/>
              </w:rPr>
              <w:t>66.4</w:t>
            </w:r>
          </w:p>
        </w:tc>
        <w:tc>
          <w:tcPr>
            <w:tcW w:w="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alibri" w:cs="Calibri" w:eastAsia="Calibri" w:hAnsi="Calibri"/>
                <w:sz w:val="10"/>
                <w:szCs w:val="10"/>
                <w:color w:val="auto"/>
              </w:rPr>
              <w:t>66.4</w:t>
            </w:r>
          </w:p>
        </w:tc>
        <w:tc>
          <w:tcPr>
            <w:tcW w:w="0" w:type="dxa"/>
            <w:vAlign w:val="bottom"/>
          </w:tcPr>
          <w:p>
            <w:pPr>
              <w:spacing w:after="0"/>
              <w:rPr>
                <w:sz w:val="1"/>
                <w:szCs w:val="1"/>
                <w:color w:val="auto"/>
              </w:rPr>
            </w:pPr>
          </w:p>
        </w:tc>
      </w:tr>
      <w:tr>
        <w:trPr>
          <w:trHeight w:val="29"/>
        </w:trPr>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800" w:type="dxa"/>
            <w:vAlign w:val="bottom"/>
            <w:tcBorders>
              <w:bottom w:val="single" w:sz="8" w:color="DBDBDB"/>
            </w:tcBorders>
            <w:shd w:val="clear" w:color="auto" w:fill="DBDBDB"/>
          </w:tcPr>
          <w:p>
            <w:pPr>
              <w:spacing w:after="0" w:line="121" w:lineRule="exact"/>
              <w:rPr>
                <w:sz w:val="20"/>
                <w:szCs w:val="20"/>
                <w:color w:val="auto"/>
              </w:rPr>
            </w:pPr>
            <w:r>
              <w:rPr>
                <w:rFonts w:ascii="Calibri" w:cs="Calibri" w:eastAsia="Calibri" w:hAnsi="Calibri"/>
                <w:sz w:val="10"/>
                <w:szCs w:val="10"/>
                <w:color w:val="auto"/>
              </w:rPr>
              <w:t>Total segment sales</w:t>
            </w:r>
          </w:p>
        </w:tc>
        <w:tc>
          <w:tcPr>
            <w:tcW w:w="1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1,016.1</w:t>
            </w:r>
          </w:p>
        </w:tc>
        <w:tc>
          <w:tcPr>
            <w:tcW w:w="440" w:type="dxa"/>
            <w:vAlign w:val="bottom"/>
            <w:tcBorders>
              <w:bottom w:val="single" w:sz="8" w:color="DBDBDB"/>
            </w:tcBorders>
            <w:shd w:val="clear" w:color="auto" w:fill="DBDBDB"/>
          </w:tcPr>
          <w:p>
            <w:pPr>
              <w:ind w:left="80"/>
              <w:spacing w:after="0" w:line="121" w:lineRule="exact"/>
              <w:rPr>
                <w:sz w:val="20"/>
                <w:szCs w:val="20"/>
                <w:color w:val="auto"/>
              </w:rPr>
            </w:pPr>
            <w:r>
              <w:rPr>
                <w:rFonts w:ascii="Calibri" w:cs="Calibri" w:eastAsia="Calibri" w:hAnsi="Calibri"/>
                <w:sz w:val="10"/>
                <w:szCs w:val="10"/>
                <w:color w:val="auto"/>
              </w:rPr>
              <w:t>$</w:t>
            </w:r>
          </w:p>
        </w:tc>
        <w:tc>
          <w:tcPr>
            <w:tcW w:w="64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114.7</w:t>
            </w:r>
          </w:p>
        </w:tc>
        <w:tc>
          <w:tcPr>
            <w:tcW w:w="2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w:t>
            </w:r>
          </w:p>
        </w:tc>
        <w:tc>
          <w:tcPr>
            <w:tcW w:w="70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10.8</w:t>
            </w:r>
          </w:p>
        </w:tc>
        <w:tc>
          <w:tcPr>
            <w:tcW w:w="22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5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1,141.5</w:t>
            </w:r>
          </w:p>
        </w:tc>
        <w:tc>
          <w:tcPr>
            <w:tcW w:w="28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872.0</w:t>
            </w:r>
          </w:p>
        </w:tc>
        <w:tc>
          <w:tcPr>
            <w:tcW w:w="620" w:type="dxa"/>
            <w:vAlign w:val="bottom"/>
            <w:tcBorders>
              <w:bottom w:val="single" w:sz="8" w:color="DBDBDB"/>
            </w:tcBorders>
            <w:shd w:val="clear" w:color="auto" w:fill="DBDBDB"/>
          </w:tcPr>
          <w:p>
            <w:pPr>
              <w:jc w:val="right"/>
              <w:ind w:right="431"/>
              <w:spacing w:after="0" w:line="121" w:lineRule="exact"/>
              <w:rPr>
                <w:sz w:val="20"/>
                <w:szCs w:val="20"/>
                <w:color w:val="auto"/>
              </w:rPr>
            </w:pPr>
            <w:r>
              <w:rPr>
                <w:rFonts w:ascii="Calibri" w:cs="Calibri" w:eastAsia="Calibri" w:hAnsi="Calibri"/>
                <w:sz w:val="10"/>
                <w:szCs w:val="10"/>
                <w:color w:val="auto"/>
              </w:rPr>
              <w:t>$</w:t>
            </w:r>
          </w:p>
        </w:tc>
        <w:tc>
          <w:tcPr>
            <w:tcW w:w="46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104.6</w:t>
            </w:r>
          </w:p>
        </w:tc>
        <w:tc>
          <w:tcPr>
            <w:tcW w:w="26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52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976.6</w:t>
            </w:r>
          </w:p>
        </w:tc>
        <w:tc>
          <w:tcPr>
            <w:tcW w:w="2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846.9</w:t>
            </w:r>
          </w:p>
        </w:tc>
        <w:tc>
          <w:tcPr>
            <w:tcW w:w="24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840" w:type="dxa"/>
            <w:vAlign w:val="bottom"/>
            <w:tcBorders>
              <w:bottom w:val="single" w:sz="8" w:color="DBDBDB"/>
            </w:tcBorders>
            <w:shd w:val="clear" w:color="auto" w:fill="DBDBDB"/>
          </w:tcPr>
          <w:p>
            <w:pPr>
              <w:jc w:val="center"/>
              <w:ind w:left="391"/>
              <w:spacing w:after="0" w:line="121" w:lineRule="exact"/>
              <w:rPr>
                <w:sz w:val="20"/>
                <w:szCs w:val="20"/>
                <w:color w:val="auto"/>
              </w:rPr>
            </w:pPr>
            <w:r>
              <w:rPr>
                <w:rFonts w:ascii="Calibri" w:cs="Calibri" w:eastAsia="Calibri" w:hAnsi="Calibri"/>
                <w:sz w:val="10"/>
                <w:szCs w:val="10"/>
                <w:color w:val="auto"/>
                <w:w w:val="89"/>
              </w:rPr>
              <w:t>81.8</w:t>
            </w:r>
          </w:p>
        </w:tc>
        <w:tc>
          <w:tcPr>
            <w:tcW w:w="28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4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928.7</w:t>
            </w:r>
          </w:p>
        </w:tc>
        <w:tc>
          <w:tcPr>
            <w:tcW w:w="0" w:type="dxa"/>
            <w:vAlign w:val="bottom"/>
          </w:tcPr>
          <w:p>
            <w:pPr>
              <w:spacing w:after="0"/>
              <w:rPr>
                <w:sz w:val="1"/>
                <w:szCs w:val="1"/>
                <w:color w:val="auto"/>
              </w:rPr>
            </w:pPr>
          </w:p>
        </w:tc>
      </w:tr>
      <w:tr>
        <w:trPr>
          <w:trHeight w:val="130"/>
        </w:trPr>
        <w:tc>
          <w:tcPr>
            <w:tcW w:w="1800" w:type="dxa"/>
            <w:vAlign w:val="bottom"/>
          </w:tcPr>
          <w:p>
            <w:pPr>
              <w:spacing w:after="0"/>
              <w:rPr>
                <w:sz w:val="20"/>
                <w:szCs w:val="20"/>
                <w:color w:val="auto"/>
              </w:rPr>
            </w:pPr>
            <w:r>
              <w:rPr>
                <w:rFonts w:ascii="Calibri" w:cs="Calibri" w:eastAsia="Calibri" w:hAnsi="Calibri"/>
                <w:sz w:val="10"/>
                <w:szCs w:val="10"/>
                <w:color w:val="auto"/>
              </w:rPr>
              <w:t>Intercompany eliminatons</w:t>
            </w:r>
          </w:p>
        </w:tc>
        <w:tc>
          <w:tcPr>
            <w:tcW w:w="140" w:type="dxa"/>
            <w:vAlign w:val="bottom"/>
          </w:tcPr>
          <w:p>
            <w:pPr>
              <w:spacing w:after="0"/>
              <w:rPr>
                <w:sz w:val="11"/>
                <w:szCs w:val="11"/>
                <w:color w:val="auto"/>
              </w:rPr>
            </w:pPr>
          </w:p>
        </w:tc>
        <w:tc>
          <w:tcPr>
            <w:tcW w:w="760" w:type="dxa"/>
            <w:vAlign w:val="bottom"/>
          </w:tcPr>
          <w:p>
            <w:pPr>
              <w:jc w:val="right"/>
              <w:ind w:right="51"/>
              <w:spacing w:after="0"/>
              <w:rPr>
                <w:sz w:val="20"/>
                <w:szCs w:val="20"/>
                <w:color w:val="auto"/>
              </w:rPr>
            </w:pPr>
            <w:r>
              <w:rPr>
                <w:rFonts w:ascii="Calibri" w:cs="Calibri" w:eastAsia="Calibri" w:hAnsi="Calibri"/>
                <w:sz w:val="10"/>
                <w:szCs w:val="10"/>
                <w:color w:val="auto"/>
              </w:rPr>
              <w:t>—</w:t>
            </w:r>
          </w:p>
        </w:tc>
        <w:tc>
          <w:tcPr>
            <w:tcW w:w="440" w:type="dxa"/>
            <w:vAlign w:val="bottom"/>
          </w:tcPr>
          <w:p>
            <w:pPr>
              <w:spacing w:after="0"/>
              <w:rPr>
                <w:sz w:val="11"/>
                <w:szCs w:val="11"/>
                <w:color w:val="auto"/>
              </w:rPr>
            </w:pPr>
          </w:p>
        </w:tc>
        <w:tc>
          <w:tcPr>
            <w:tcW w:w="640" w:type="dxa"/>
            <w:vAlign w:val="bottom"/>
          </w:tcPr>
          <w:p>
            <w:pPr>
              <w:jc w:val="right"/>
              <w:ind w:right="51"/>
              <w:spacing w:after="0"/>
              <w:rPr>
                <w:sz w:val="20"/>
                <w:szCs w:val="20"/>
                <w:color w:val="auto"/>
              </w:rPr>
            </w:pPr>
            <w:r>
              <w:rPr>
                <w:rFonts w:ascii="Calibri" w:cs="Calibri" w:eastAsia="Calibri" w:hAnsi="Calibri"/>
                <w:sz w:val="10"/>
                <w:szCs w:val="10"/>
                <w:color w:val="auto"/>
              </w:rPr>
              <w:t>(95.6)</w:t>
            </w:r>
          </w:p>
        </w:tc>
        <w:tc>
          <w:tcPr>
            <w:tcW w:w="26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560" w:type="dxa"/>
            <w:vAlign w:val="bottom"/>
          </w:tcPr>
          <w:p>
            <w:pPr>
              <w:jc w:val="right"/>
              <w:ind w:right="71"/>
              <w:spacing w:after="0"/>
              <w:rPr>
                <w:sz w:val="20"/>
                <w:szCs w:val="20"/>
                <w:color w:val="auto"/>
              </w:rPr>
            </w:pPr>
            <w:r>
              <w:rPr>
                <w:rFonts w:ascii="Calibri" w:cs="Calibri" w:eastAsia="Calibri" w:hAnsi="Calibri"/>
                <w:sz w:val="10"/>
                <w:szCs w:val="10"/>
                <w:color w:val="auto"/>
              </w:rPr>
              <w:t>(95.6)</w:t>
            </w:r>
          </w:p>
        </w:tc>
        <w:tc>
          <w:tcPr>
            <w:tcW w:w="280" w:type="dxa"/>
            <w:vAlign w:val="bottom"/>
          </w:tcPr>
          <w:p>
            <w:pPr>
              <w:spacing w:after="0"/>
              <w:rPr>
                <w:sz w:val="11"/>
                <w:szCs w:val="11"/>
                <w:color w:val="auto"/>
              </w:rPr>
            </w:pPr>
          </w:p>
        </w:tc>
        <w:tc>
          <w:tcPr>
            <w:tcW w:w="760" w:type="dxa"/>
            <w:vAlign w:val="bottom"/>
          </w:tcPr>
          <w:p>
            <w:pPr>
              <w:jc w:val="right"/>
              <w:ind w:right="51"/>
              <w:spacing w:after="0"/>
              <w:rPr>
                <w:sz w:val="20"/>
                <w:szCs w:val="20"/>
                <w:color w:val="auto"/>
              </w:rPr>
            </w:pPr>
            <w:r>
              <w:rPr>
                <w:rFonts w:ascii="Calibri" w:cs="Calibri" w:eastAsia="Calibri" w:hAnsi="Calibri"/>
                <w:sz w:val="10"/>
                <w:szCs w:val="10"/>
                <w:color w:val="auto"/>
              </w:rPr>
              <w:t>—</w:t>
            </w:r>
          </w:p>
        </w:tc>
        <w:tc>
          <w:tcPr>
            <w:tcW w:w="620" w:type="dxa"/>
            <w:vAlign w:val="bottom"/>
          </w:tcPr>
          <w:p>
            <w:pPr>
              <w:spacing w:after="0"/>
              <w:rPr>
                <w:sz w:val="11"/>
                <w:szCs w:val="11"/>
                <w:color w:val="auto"/>
              </w:rPr>
            </w:pPr>
          </w:p>
        </w:tc>
        <w:tc>
          <w:tcPr>
            <w:tcW w:w="460" w:type="dxa"/>
            <w:vAlign w:val="bottom"/>
          </w:tcPr>
          <w:p>
            <w:pPr>
              <w:jc w:val="right"/>
              <w:ind w:right="51"/>
              <w:spacing w:after="0"/>
              <w:rPr>
                <w:sz w:val="20"/>
                <w:szCs w:val="20"/>
                <w:color w:val="auto"/>
              </w:rPr>
            </w:pPr>
            <w:r>
              <w:rPr>
                <w:rFonts w:ascii="Calibri" w:cs="Calibri" w:eastAsia="Calibri" w:hAnsi="Calibri"/>
                <w:sz w:val="10"/>
                <w:szCs w:val="10"/>
                <w:color w:val="auto"/>
              </w:rPr>
              <w:t>(84.9)</w:t>
            </w:r>
          </w:p>
        </w:tc>
        <w:tc>
          <w:tcPr>
            <w:tcW w:w="260" w:type="dxa"/>
            <w:vAlign w:val="bottom"/>
          </w:tcPr>
          <w:p>
            <w:pPr>
              <w:spacing w:after="0"/>
              <w:rPr>
                <w:sz w:val="11"/>
                <w:szCs w:val="11"/>
                <w:color w:val="auto"/>
              </w:rPr>
            </w:pPr>
          </w:p>
        </w:tc>
        <w:tc>
          <w:tcPr>
            <w:tcW w:w="520" w:type="dxa"/>
            <w:vAlign w:val="bottom"/>
          </w:tcPr>
          <w:p>
            <w:pPr>
              <w:jc w:val="right"/>
              <w:ind w:right="91"/>
              <w:spacing w:after="0"/>
              <w:rPr>
                <w:sz w:val="20"/>
                <w:szCs w:val="20"/>
                <w:color w:val="auto"/>
              </w:rPr>
            </w:pPr>
            <w:r>
              <w:rPr>
                <w:rFonts w:ascii="Calibri" w:cs="Calibri" w:eastAsia="Calibri" w:hAnsi="Calibri"/>
                <w:sz w:val="10"/>
                <w:szCs w:val="10"/>
                <w:color w:val="auto"/>
              </w:rPr>
              <w:t>(84.9)</w:t>
            </w:r>
          </w:p>
        </w:tc>
        <w:tc>
          <w:tcPr>
            <w:tcW w:w="240" w:type="dxa"/>
            <w:vAlign w:val="bottom"/>
          </w:tcPr>
          <w:p>
            <w:pPr>
              <w:spacing w:after="0"/>
              <w:rPr>
                <w:sz w:val="11"/>
                <w:szCs w:val="11"/>
                <w:color w:val="auto"/>
              </w:rPr>
            </w:pPr>
          </w:p>
        </w:tc>
        <w:tc>
          <w:tcPr>
            <w:tcW w:w="780" w:type="dxa"/>
            <w:vAlign w:val="bottom"/>
          </w:tcPr>
          <w:p>
            <w:pPr>
              <w:jc w:val="right"/>
              <w:ind w:right="71"/>
              <w:spacing w:after="0"/>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840" w:type="dxa"/>
            <w:vAlign w:val="bottom"/>
          </w:tcPr>
          <w:p>
            <w:pPr>
              <w:jc w:val="center"/>
              <w:ind w:left="391"/>
              <w:spacing w:after="0"/>
              <w:rPr>
                <w:sz w:val="20"/>
                <w:szCs w:val="20"/>
                <w:color w:val="auto"/>
              </w:rPr>
            </w:pPr>
            <w:r>
              <w:rPr>
                <w:rFonts w:ascii="Calibri" w:cs="Calibri" w:eastAsia="Calibri" w:hAnsi="Calibri"/>
                <w:sz w:val="10"/>
                <w:szCs w:val="10"/>
                <w:color w:val="auto"/>
              </w:rPr>
              <w:t>(66.4)</w:t>
            </w:r>
          </w:p>
        </w:tc>
        <w:tc>
          <w:tcPr>
            <w:tcW w:w="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alibri" w:cs="Calibri" w:eastAsia="Calibri" w:hAnsi="Calibri"/>
                <w:sz w:val="10"/>
                <w:szCs w:val="10"/>
                <w:color w:val="auto"/>
              </w:rPr>
              <w:t>(66.4)</w:t>
            </w:r>
          </w:p>
        </w:tc>
        <w:tc>
          <w:tcPr>
            <w:tcW w:w="0" w:type="dxa"/>
            <w:vAlign w:val="bottom"/>
          </w:tcPr>
          <w:p>
            <w:pPr>
              <w:spacing w:after="0"/>
              <w:rPr>
                <w:sz w:val="1"/>
                <w:szCs w:val="1"/>
                <w:color w:val="auto"/>
              </w:rPr>
            </w:pPr>
          </w:p>
        </w:tc>
      </w:tr>
      <w:tr>
        <w:trPr>
          <w:trHeight w:val="29"/>
        </w:trPr>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800" w:type="dxa"/>
            <w:vAlign w:val="bottom"/>
            <w:tcBorders>
              <w:bottom w:val="single" w:sz="8" w:color="DBDBDB"/>
            </w:tcBorders>
            <w:shd w:val="clear" w:color="auto" w:fill="DBDBDB"/>
          </w:tcPr>
          <w:p>
            <w:pPr>
              <w:spacing w:after="0" w:line="121" w:lineRule="exact"/>
              <w:rPr>
                <w:sz w:val="20"/>
                <w:szCs w:val="20"/>
                <w:color w:val="auto"/>
              </w:rPr>
            </w:pPr>
            <w:r>
              <w:rPr>
                <w:rFonts w:ascii="Calibri" w:cs="Calibri" w:eastAsia="Calibri" w:hAnsi="Calibri"/>
                <w:sz w:val="10"/>
                <w:szCs w:val="10"/>
                <w:color w:val="auto"/>
              </w:rPr>
              <w:t>Total net sales</w:t>
            </w:r>
          </w:p>
        </w:tc>
        <w:tc>
          <w:tcPr>
            <w:tcW w:w="1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w w:val="77"/>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1,016.1</w:t>
            </w:r>
          </w:p>
        </w:tc>
        <w:tc>
          <w:tcPr>
            <w:tcW w:w="440" w:type="dxa"/>
            <w:vAlign w:val="bottom"/>
            <w:tcBorders>
              <w:bottom w:val="single" w:sz="8" w:color="DBDBDB"/>
            </w:tcBorders>
            <w:shd w:val="clear" w:color="auto" w:fill="DBDBDB"/>
          </w:tcPr>
          <w:p>
            <w:pPr>
              <w:ind w:left="80"/>
              <w:spacing w:after="0" w:line="121" w:lineRule="exact"/>
              <w:rPr>
                <w:sz w:val="20"/>
                <w:szCs w:val="20"/>
                <w:color w:val="auto"/>
              </w:rPr>
            </w:pPr>
            <w:r>
              <w:rPr>
                <w:rFonts w:ascii="Calibri" w:cs="Calibri" w:eastAsia="Calibri" w:hAnsi="Calibri"/>
                <w:sz w:val="10"/>
                <w:szCs w:val="10"/>
                <w:color w:val="auto"/>
              </w:rPr>
              <w:t>$</w:t>
            </w:r>
          </w:p>
        </w:tc>
        <w:tc>
          <w:tcPr>
            <w:tcW w:w="64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19.1</w:t>
            </w:r>
          </w:p>
        </w:tc>
        <w:tc>
          <w:tcPr>
            <w:tcW w:w="2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w:t>
            </w:r>
          </w:p>
        </w:tc>
        <w:tc>
          <w:tcPr>
            <w:tcW w:w="70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10.8</w:t>
            </w:r>
          </w:p>
        </w:tc>
        <w:tc>
          <w:tcPr>
            <w:tcW w:w="22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56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1,045.9</w:t>
            </w:r>
          </w:p>
        </w:tc>
        <w:tc>
          <w:tcPr>
            <w:tcW w:w="28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6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872.0</w:t>
            </w:r>
          </w:p>
        </w:tc>
        <w:tc>
          <w:tcPr>
            <w:tcW w:w="620" w:type="dxa"/>
            <w:vAlign w:val="bottom"/>
            <w:tcBorders>
              <w:bottom w:val="single" w:sz="8" w:color="DBDBDB"/>
            </w:tcBorders>
            <w:shd w:val="clear" w:color="auto" w:fill="DBDBDB"/>
          </w:tcPr>
          <w:p>
            <w:pPr>
              <w:jc w:val="right"/>
              <w:ind w:right="431"/>
              <w:spacing w:after="0" w:line="121" w:lineRule="exact"/>
              <w:rPr>
                <w:sz w:val="20"/>
                <w:szCs w:val="20"/>
                <w:color w:val="auto"/>
              </w:rPr>
            </w:pPr>
            <w:r>
              <w:rPr>
                <w:rFonts w:ascii="Calibri" w:cs="Calibri" w:eastAsia="Calibri" w:hAnsi="Calibri"/>
                <w:sz w:val="10"/>
                <w:szCs w:val="10"/>
                <w:color w:val="auto"/>
              </w:rPr>
              <w:t>$</w:t>
            </w:r>
          </w:p>
        </w:tc>
        <w:tc>
          <w:tcPr>
            <w:tcW w:w="46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19.7</w:t>
            </w:r>
          </w:p>
        </w:tc>
        <w:tc>
          <w:tcPr>
            <w:tcW w:w="26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520" w:type="dxa"/>
            <w:vAlign w:val="bottom"/>
            <w:tcBorders>
              <w:bottom w:val="single" w:sz="8" w:color="DBDBDB"/>
            </w:tcBorders>
            <w:shd w:val="clear" w:color="auto" w:fill="DBDBDB"/>
          </w:tcPr>
          <w:p>
            <w:pPr>
              <w:jc w:val="right"/>
              <w:ind w:right="111"/>
              <w:spacing w:after="0" w:line="121" w:lineRule="exact"/>
              <w:rPr>
                <w:sz w:val="20"/>
                <w:szCs w:val="20"/>
                <w:color w:val="auto"/>
              </w:rPr>
            </w:pPr>
            <w:r>
              <w:rPr>
                <w:rFonts w:ascii="Calibri" w:cs="Calibri" w:eastAsia="Calibri" w:hAnsi="Calibri"/>
                <w:sz w:val="10"/>
                <w:szCs w:val="10"/>
                <w:color w:val="auto"/>
              </w:rPr>
              <w:t>891.7</w:t>
            </w:r>
          </w:p>
        </w:tc>
        <w:tc>
          <w:tcPr>
            <w:tcW w:w="240" w:type="dxa"/>
            <w:vAlign w:val="bottom"/>
            <w:tcBorders>
              <w:bottom w:val="single" w:sz="8" w:color="DBDBDB"/>
            </w:tcBorders>
            <w:shd w:val="clear" w:color="auto" w:fill="DBDBDB"/>
          </w:tcPr>
          <w:p>
            <w:pPr>
              <w:jc w:val="right"/>
              <w:ind w:right="31"/>
              <w:spacing w:after="0" w:line="121" w:lineRule="exact"/>
              <w:rPr>
                <w:sz w:val="20"/>
                <w:szCs w:val="20"/>
                <w:color w:val="auto"/>
              </w:rPr>
            </w:pPr>
            <w:r>
              <w:rPr>
                <w:rFonts w:ascii="Calibri" w:cs="Calibri" w:eastAsia="Calibri" w:hAnsi="Calibri"/>
                <w:sz w:val="10"/>
                <w:szCs w:val="10"/>
                <w:color w:val="auto"/>
              </w:rPr>
              <w:t>$</w:t>
            </w:r>
          </w:p>
        </w:tc>
        <w:tc>
          <w:tcPr>
            <w:tcW w:w="780" w:type="dxa"/>
            <w:vAlign w:val="bottom"/>
            <w:tcBorders>
              <w:bottom w:val="single" w:sz="8" w:color="DBDBDB"/>
            </w:tcBorders>
            <w:shd w:val="clear" w:color="auto" w:fill="DBDBDB"/>
          </w:tcPr>
          <w:p>
            <w:pPr>
              <w:jc w:val="right"/>
              <w:ind w:right="71"/>
              <w:spacing w:after="0" w:line="121" w:lineRule="exact"/>
              <w:rPr>
                <w:sz w:val="20"/>
                <w:szCs w:val="20"/>
                <w:color w:val="auto"/>
              </w:rPr>
            </w:pPr>
            <w:r>
              <w:rPr>
                <w:rFonts w:ascii="Calibri" w:cs="Calibri" w:eastAsia="Calibri" w:hAnsi="Calibri"/>
                <w:sz w:val="10"/>
                <w:szCs w:val="10"/>
                <w:color w:val="auto"/>
              </w:rPr>
              <w:t>846.9</w:t>
            </w:r>
          </w:p>
        </w:tc>
        <w:tc>
          <w:tcPr>
            <w:tcW w:w="240" w:type="dxa"/>
            <w:vAlign w:val="bottom"/>
            <w:tcBorders>
              <w:bottom w:val="single" w:sz="8" w:color="DBDBDB"/>
            </w:tcBorders>
            <w:shd w:val="clear" w:color="auto" w:fill="DBDBDB"/>
          </w:tcPr>
          <w:p>
            <w:pPr>
              <w:jc w:val="right"/>
              <w:ind w:right="51"/>
              <w:spacing w:after="0" w:line="121" w:lineRule="exact"/>
              <w:rPr>
                <w:sz w:val="20"/>
                <w:szCs w:val="20"/>
                <w:color w:val="auto"/>
              </w:rPr>
            </w:pPr>
            <w:r>
              <w:rPr>
                <w:rFonts w:ascii="Calibri" w:cs="Calibri" w:eastAsia="Calibri" w:hAnsi="Calibri"/>
                <w:sz w:val="10"/>
                <w:szCs w:val="10"/>
                <w:color w:val="auto"/>
              </w:rPr>
              <w:t>$</w:t>
            </w:r>
          </w:p>
        </w:tc>
        <w:tc>
          <w:tcPr>
            <w:tcW w:w="840" w:type="dxa"/>
            <w:vAlign w:val="bottom"/>
            <w:tcBorders>
              <w:bottom w:val="single" w:sz="8" w:color="DBDBDB"/>
            </w:tcBorders>
            <w:shd w:val="clear" w:color="auto" w:fill="DBDBDB"/>
          </w:tcPr>
          <w:p>
            <w:pPr>
              <w:jc w:val="center"/>
              <w:ind w:left="391"/>
              <w:spacing w:after="0" w:line="121" w:lineRule="exact"/>
              <w:rPr>
                <w:sz w:val="20"/>
                <w:szCs w:val="20"/>
                <w:color w:val="auto"/>
              </w:rPr>
            </w:pPr>
            <w:r>
              <w:rPr>
                <w:rFonts w:ascii="Calibri" w:cs="Calibri" w:eastAsia="Calibri" w:hAnsi="Calibri"/>
                <w:sz w:val="10"/>
                <w:szCs w:val="10"/>
                <w:color w:val="auto"/>
                <w:w w:val="89"/>
              </w:rPr>
              <w:t>15.4</w:t>
            </w:r>
          </w:p>
        </w:tc>
        <w:tc>
          <w:tcPr>
            <w:tcW w:w="280" w:type="dxa"/>
            <w:vAlign w:val="bottom"/>
            <w:tcBorders>
              <w:bottom w:val="single" w:sz="8" w:color="DBDBDB"/>
            </w:tcBorders>
            <w:shd w:val="clear" w:color="auto" w:fill="DBDBDB"/>
          </w:tcPr>
          <w:p>
            <w:pPr>
              <w:jc w:val="right"/>
              <w:ind w:right="91"/>
              <w:spacing w:after="0" w:line="121" w:lineRule="exact"/>
              <w:rPr>
                <w:sz w:val="20"/>
                <w:szCs w:val="20"/>
                <w:color w:val="auto"/>
              </w:rPr>
            </w:pPr>
            <w:r>
              <w:rPr>
                <w:rFonts w:ascii="Calibri" w:cs="Calibri" w:eastAsia="Calibri" w:hAnsi="Calibri"/>
                <w:sz w:val="10"/>
                <w:szCs w:val="10"/>
                <w:color w:val="auto"/>
              </w:rPr>
              <w:t>$</w:t>
            </w:r>
          </w:p>
        </w:tc>
        <w:tc>
          <w:tcPr>
            <w:tcW w:w="420" w:type="dxa"/>
            <w:vAlign w:val="bottom"/>
            <w:tcBorders>
              <w:bottom w:val="single" w:sz="8" w:color="DBDBDB"/>
            </w:tcBorders>
            <w:shd w:val="clear" w:color="auto" w:fill="DBDBDB"/>
          </w:tcPr>
          <w:p>
            <w:pPr>
              <w:jc w:val="right"/>
              <w:spacing w:after="0" w:line="121" w:lineRule="exact"/>
              <w:rPr>
                <w:sz w:val="20"/>
                <w:szCs w:val="20"/>
                <w:color w:val="auto"/>
              </w:rPr>
            </w:pPr>
            <w:r>
              <w:rPr>
                <w:rFonts w:ascii="Calibri" w:cs="Calibri" w:eastAsia="Calibri" w:hAnsi="Calibri"/>
                <w:sz w:val="10"/>
                <w:szCs w:val="10"/>
                <w:color w:val="auto"/>
              </w:rPr>
              <w:t>862.3</w:t>
            </w: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Supplemental sales informaton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jc w:val="right"/>
              <w:ind w:right="143"/>
              <w:spacing w:after="0"/>
              <w:rPr>
                <w:sz w:val="20"/>
                <w:szCs w:val="20"/>
                <w:color w:val="auto"/>
              </w:rPr>
            </w:pPr>
            <w:r>
              <w:rPr>
                <w:rFonts w:ascii="Calibri" w:cs="Calibri" w:eastAsia="Calibri" w:hAnsi="Calibri"/>
                <w:sz w:val="11"/>
                <w:szCs w:val="11"/>
                <w:b w:val="1"/>
                <w:bCs w:val="1"/>
                <w:color w:val="auto"/>
              </w:rPr>
              <w:t>Years ended October 31,</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2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jc w:val="right"/>
              <w:ind w:right="163"/>
              <w:spacing w:after="0" w:line="126" w:lineRule="exact"/>
              <w:rPr>
                <w:sz w:val="20"/>
                <w:szCs w:val="20"/>
                <w:color w:val="auto"/>
              </w:rPr>
            </w:pPr>
            <w:r>
              <w:rPr>
                <w:rFonts w:ascii="Calibri" w:cs="Calibri" w:eastAsia="Calibri" w:hAnsi="Calibri"/>
                <w:sz w:val="11"/>
                <w:szCs w:val="11"/>
                <w:b w:val="1"/>
                <w:bCs w:val="1"/>
                <w:color w:val="auto"/>
              </w:rPr>
              <w:t>2022</w:t>
            </w:r>
          </w:p>
        </w:tc>
        <w:tc>
          <w:tcPr>
            <w:tcW w:w="240" w:type="dxa"/>
            <w:vAlign w:val="bottom"/>
          </w:tcPr>
          <w:p>
            <w:pPr>
              <w:spacing w:after="0"/>
              <w:rPr>
                <w:sz w:val="10"/>
                <w:szCs w:val="10"/>
                <w:color w:val="auto"/>
              </w:rPr>
            </w:pPr>
          </w:p>
        </w:tc>
        <w:tc>
          <w:tcPr>
            <w:tcW w:w="1360" w:type="dxa"/>
            <w:vAlign w:val="bottom"/>
          </w:tcPr>
          <w:p>
            <w:pPr>
              <w:jc w:val="right"/>
              <w:ind w:right="163"/>
              <w:spacing w:after="0" w:line="126" w:lineRule="exact"/>
              <w:rPr>
                <w:sz w:val="20"/>
                <w:szCs w:val="20"/>
                <w:color w:val="auto"/>
              </w:rPr>
            </w:pPr>
            <w:r>
              <w:rPr>
                <w:rFonts w:ascii="Calibri" w:cs="Calibri" w:eastAsia="Calibri" w:hAnsi="Calibri"/>
                <w:sz w:val="11"/>
                <w:szCs w:val="11"/>
                <w:b w:val="1"/>
                <w:bCs w:val="1"/>
                <w:color w:val="auto"/>
              </w:rPr>
              <w:t>2021</w:t>
            </w:r>
          </w:p>
        </w:tc>
        <w:tc>
          <w:tcPr>
            <w:tcW w:w="70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2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i w:val="1"/>
                <w:iCs w:val="1"/>
                <w:color w:val="auto"/>
              </w:rPr>
              <w:t>By type</w:t>
            </w:r>
          </w:p>
        </w:tc>
        <w:tc>
          <w:tcPr>
            <w:tcW w:w="5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spacing w:after="0"/>
              <w:rPr>
                <w:sz w:val="13"/>
                <w:szCs w:val="13"/>
                <w:color w:val="auto"/>
              </w:rPr>
            </w:pPr>
          </w:p>
        </w:tc>
        <w:tc>
          <w:tcPr>
            <w:tcW w:w="24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spacing w:after="0"/>
              <w:rPr>
                <w:sz w:val="13"/>
                <w:szCs w:val="13"/>
                <w:color w:val="auto"/>
              </w:rPr>
            </w:pPr>
          </w:p>
        </w:tc>
        <w:tc>
          <w:tcPr>
            <w:tcW w:w="70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rPr>
                <w:sz w:val="20"/>
                <w:szCs w:val="20"/>
                <w:color w:val="auto"/>
              </w:rPr>
            </w:pPr>
            <w:r>
              <w:rPr>
                <w:rFonts w:ascii="Calibri" w:cs="Calibri" w:eastAsia="Calibri" w:hAnsi="Calibri"/>
                <w:sz w:val="11"/>
                <w:szCs w:val="11"/>
                <w:color w:val="auto"/>
              </w:rPr>
              <w:t>Avocado</w:t>
            </w:r>
          </w:p>
        </w:tc>
        <w:tc>
          <w:tcPr>
            <w:tcW w:w="520" w:type="dxa"/>
            <w:vAlign w:val="bottom"/>
          </w:tcPr>
          <w:p>
            <w:pPr>
              <w:jc w:val="right"/>
              <w:ind w:right="383"/>
              <w:spacing w:after="0"/>
              <w:rPr>
                <w:sz w:val="20"/>
                <w:szCs w:val="20"/>
                <w:color w:val="auto"/>
              </w:rPr>
            </w:pPr>
            <w:r>
              <w:rPr>
                <w:rFonts w:ascii="Calibri" w:cs="Calibri" w:eastAsia="Calibri" w:hAnsi="Calibri"/>
                <w:sz w:val="11"/>
                <w:szCs w:val="11"/>
                <w:color w:val="auto"/>
              </w:rPr>
              <w:t>$</w:t>
            </w: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998.4</w:t>
            </w:r>
          </w:p>
        </w:tc>
        <w:tc>
          <w:tcPr>
            <w:tcW w:w="240" w:type="dxa"/>
            <w:vAlign w:val="bottom"/>
          </w:tcPr>
          <w:p>
            <w:pPr>
              <w:jc w:val="right"/>
              <w:spacing w:after="0"/>
              <w:rPr>
                <w:sz w:val="20"/>
                <w:szCs w:val="20"/>
                <w:color w:val="auto"/>
              </w:rPr>
            </w:pPr>
            <w:r>
              <w:rPr>
                <w:rFonts w:ascii="Calibri" w:cs="Calibri" w:eastAsia="Calibri" w:hAnsi="Calibri"/>
                <w:sz w:val="11"/>
                <w:szCs w:val="11"/>
                <w:color w:val="auto"/>
              </w:rPr>
              <w:t>$</w:t>
            </w: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864.5</w:t>
            </w:r>
          </w:p>
        </w:tc>
        <w:tc>
          <w:tcPr>
            <w:tcW w:w="700" w:type="dxa"/>
            <w:vAlign w:val="bottom"/>
          </w:tcPr>
          <w:p>
            <w:pPr>
              <w:jc w:val="right"/>
              <w:ind w:right="403"/>
              <w:spacing w:after="0"/>
              <w:rPr>
                <w:sz w:val="20"/>
                <w:szCs w:val="20"/>
                <w:color w:val="auto"/>
              </w:rPr>
            </w:pPr>
            <w:r>
              <w:rPr>
                <w:rFonts w:ascii="Calibri" w:cs="Calibri" w:eastAsia="Calibri" w:hAnsi="Calibri"/>
                <w:sz w:val="11"/>
                <w:szCs w:val="11"/>
                <w:color w:val="auto"/>
              </w:rPr>
              <w:t>$</w:t>
            </w:r>
          </w:p>
        </w:tc>
        <w:tc>
          <w:tcPr>
            <w:tcW w:w="800" w:type="dxa"/>
            <w:vAlign w:val="bottom"/>
          </w:tcPr>
          <w:p>
            <w:pPr>
              <w:jc w:val="right"/>
              <w:spacing w:after="0"/>
              <w:rPr>
                <w:sz w:val="20"/>
                <w:szCs w:val="20"/>
                <w:color w:val="auto"/>
              </w:rPr>
            </w:pPr>
            <w:r>
              <w:rPr>
                <w:rFonts w:ascii="Calibri" w:cs="Calibri" w:eastAsia="Calibri" w:hAnsi="Calibri"/>
                <w:sz w:val="11"/>
                <w:szCs w:val="11"/>
                <w:color w:val="auto"/>
              </w:rPr>
              <w:t>845.7</w:t>
            </w:r>
          </w:p>
        </w:tc>
        <w:tc>
          <w:tcPr>
            <w:tcW w:w="0" w:type="dxa"/>
            <w:vAlign w:val="bottom"/>
          </w:tcPr>
          <w:p>
            <w:pPr>
              <w:spacing w:after="0"/>
              <w:rPr>
                <w:sz w:val="1"/>
                <w:szCs w:val="1"/>
                <w:color w:val="auto"/>
              </w:rPr>
            </w:pPr>
          </w:p>
        </w:tc>
      </w:tr>
      <w:tr>
        <w:trPr>
          <w:trHeight w:val="46"/>
        </w:trPr>
        <w:tc>
          <w:tcPr>
            <w:tcW w:w="6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720" w:type="dxa"/>
            <w:vAlign w:val="bottom"/>
            <w:shd w:val="clear" w:color="auto" w:fill="DBDBDB"/>
          </w:tcPr>
          <w:p>
            <w:pPr>
              <w:ind w:left="180"/>
              <w:spacing w:after="0"/>
              <w:rPr>
                <w:sz w:val="20"/>
                <w:szCs w:val="20"/>
                <w:color w:val="auto"/>
              </w:rPr>
            </w:pPr>
            <w:r>
              <w:rPr>
                <w:rFonts w:ascii="Calibri" w:cs="Calibri" w:eastAsia="Calibri" w:hAnsi="Calibri"/>
                <w:sz w:val="11"/>
                <w:szCs w:val="11"/>
                <w:color w:val="auto"/>
              </w:rPr>
              <w:t>Blueberry</w:t>
            </w:r>
            <w:r>
              <w:rPr>
                <w:rFonts w:ascii="Calibri" w:cs="Calibri" w:eastAsia="Calibri" w:hAnsi="Calibri"/>
                <w:sz w:val="14"/>
                <w:szCs w:val="14"/>
                <w:color w:val="auto"/>
                <w:vertAlign w:val="superscript"/>
              </w:rPr>
              <w:t>(1)</w:t>
            </w:r>
          </w:p>
        </w:tc>
        <w:tc>
          <w:tcPr>
            <w:tcW w:w="520" w:type="dxa"/>
            <w:vAlign w:val="bottom"/>
            <w:shd w:val="clear" w:color="auto" w:fill="DBDBDB"/>
          </w:tcPr>
          <w:p>
            <w:pPr>
              <w:spacing w:after="0"/>
              <w:rPr>
                <w:sz w:val="15"/>
                <w:szCs w:val="15"/>
                <w:color w:val="auto"/>
              </w:rPr>
            </w:pPr>
          </w:p>
        </w:tc>
        <w:tc>
          <w:tcPr>
            <w:tcW w:w="940" w:type="dxa"/>
            <w:vAlign w:val="bottom"/>
            <w:shd w:val="clear" w:color="auto" w:fill="DBDBDB"/>
          </w:tcPr>
          <w:p>
            <w:pPr>
              <w:jc w:val="right"/>
              <w:ind w:right="103"/>
              <w:spacing w:after="0"/>
              <w:rPr>
                <w:sz w:val="20"/>
                <w:szCs w:val="20"/>
                <w:color w:val="auto"/>
              </w:rPr>
            </w:pPr>
            <w:r>
              <w:rPr>
                <w:rFonts w:ascii="Calibri" w:cs="Calibri" w:eastAsia="Calibri" w:hAnsi="Calibri"/>
                <w:sz w:val="11"/>
                <w:szCs w:val="11"/>
                <w:color w:val="auto"/>
              </w:rPr>
              <w:t>10.8</w:t>
            </w:r>
          </w:p>
        </w:tc>
        <w:tc>
          <w:tcPr>
            <w:tcW w:w="240" w:type="dxa"/>
            <w:vAlign w:val="bottom"/>
            <w:shd w:val="clear" w:color="auto" w:fill="DBDBDB"/>
          </w:tcPr>
          <w:p>
            <w:pPr>
              <w:spacing w:after="0"/>
              <w:rPr>
                <w:sz w:val="15"/>
                <w:szCs w:val="15"/>
                <w:color w:val="auto"/>
              </w:rPr>
            </w:pPr>
          </w:p>
        </w:tc>
        <w:tc>
          <w:tcPr>
            <w:tcW w:w="1360" w:type="dxa"/>
            <w:vAlign w:val="bottom"/>
            <w:shd w:val="clear" w:color="auto" w:fill="DBDBDB"/>
          </w:tcPr>
          <w:p>
            <w:pPr>
              <w:jc w:val="right"/>
              <w:ind w:right="103"/>
              <w:spacing w:after="0"/>
              <w:rPr>
                <w:sz w:val="20"/>
                <w:szCs w:val="20"/>
                <w:color w:val="auto"/>
              </w:rPr>
            </w:pPr>
            <w:r>
              <w:rPr>
                <w:rFonts w:ascii="Calibri" w:cs="Calibri" w:eastAsia="Calibri" w:hAnsi="Calibri"/>
                <w:sz w:val="11"/>
                <w:szCs w:val="11"/>
                <w:color w:val="auto"/>
              </w:rPr>
              <w:t>—</w:t>
            </w:r>
          </w:p>
        </w:tc>
        <w:tc>
          <w:tcPr>
            <w:tcW w:w="7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rPr>
                <w:sz w:val="20"/>
                <w:szCs w:val="20"/>
                <w:color w:val="auto"/>
              </w:rPr>
            </w:pPr>
            <w:r>
              <w:rPr>
                <w:rFonts w:ascii="Calibri" w:cs="Calibri" w:eastAsia="Calibri" w:hAnsi="Calibri"/>
                <w:sz w:val="11"/>
                <w:szCs w:val="11"/>
                <w:color w:val="auto"/>
              </w:rPr>
              <w:t>Mango</w:t>
            </w:r>
          </w:p>
        </w:tc>
        <w:tc>
          <w:tcPr>
            <w:tcW w:w="52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17.5</w:t>
            </w:r>
          </w:p>
        </w:tc>
        <w:tc>
          <w:tcPr>
            <w:tcW w:w="24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6.0</w:t>
            </w:r>
          </w:p>
        </w:tc>
        <w:tc>
          <w:tcPr>
            <w:tcW w:w="7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0.3</w:t>
            </w:r>
          </w:p>
        </w:tc>
        <w:tc>
          <w:tcPr>
            <w:tcW w:w="0" w:type="dxa"/>
            <w:vAlign w:val="bottom"/>
          </w:tcPr>
          <w:p>
            <w:pPr>
              <w:spacing w:after="0"/>
              <w:rPr>
                <w:sz w:val="1"/>
                <w:szCs w:val="1"/>
                <w:color w:val="auto"/>
              </w:rPr>
            </w:pPr>
          </w:p>
        </w:tc>
      </w:tr>
      <w:tr>
        <w:trPr>
          <w:trHeight w:val="46"/>
        </w:trPr>
        <w:tc>
          <w:tcPr>
            <w:tcW w:w="6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20" w:type="dxa"/>
            <w:vAlign w:val="bottom"/>
            <w:tcBorders>
              <w:bottom w:val="single" w:sz="8" w:color="DBDBDB"/>
            </w:tcBorders>
            <w:shd w:val="clear" w:color="auto" w:fill="DBDBDB"/>
          </w:tcPr>
          <w:p>
            <w:pPr>
              <w:ind w:left="180"/>
              <w:spacing w:after="0"/>
              <w:rPr>
                <w:sz w:val="20"/>
                <w:szCs w:val="20"/>
                <w:color w:val="auto"/>
              </w:rPr>
            </w:pPr>
            <w:r>
              <w:rPr>
                <w:rFonts w:ascii="Calibri" w:cs="Calibri" w:eastAsia="Calibri" w:hAnsi="Calibri"/>
                <w:sz w:val="11"/>
                <w:szCs w:val="11"/>
                <w:color w:val="auto"/>
              </w:rPr>
              <w:t>Other</w:t>
            </w:r>
          </w:p>
        </w:tc>
        <w:tc>
          <w:tcPr>
            <w:tcW w:w="5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19.2</w:t>
            </w:r>
          </w:p>
        </w:tc>
        <w:tc>
          <w:tcPr>
            <w:tcW w:w="24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21.2</w:t>
            </w:r>
          </w:p>
        </w:tc>
        <w:tc>
          <w:tcPr>
            <w:tcW w:w="70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16.3</w:t>
            </w:r>
          </w:p>
        </w:tc>
        <w:tc>
          <w:tcPr>
            <w:tcW w:w="0" w:type="dxa"/>
            <w:vAlign w:val="bottom"/>
          </w:tcPr>
          <w:p>
            <w:pPr>
              <w:spacing w:after="0"/>
              <w:rPr>
                <w:sz w:val="1"/>
                <w:szCs w:val="1"/>
                <w:color w:val="auto"/>
              </w:rPr>
            </w:pPr>
          </w:p>
        </w:tc>
      </w:tr>
      <w:tr>
        <w:trPr>
          <w:trHeight w:val="125"/>
        </w:trPr>
        <w:tc>
          <w:tcPr>
            <w:tcW w:w="672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net sales</w:t>
            </w:r>
          </w:p>
        </w:tc>
        <w:tc>
          <w:tcPr>
            <w:tcW w:w="520" w:type="dxa"/>
            <w:vAlign w:val="bottom"/>
            <w:tcBorders>
              <w:top w:val="single" w:sz="8" w:color="auto"/>
            </w:tcBorders>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1,045.9</w:t>
            </w:r>
          </w:p>
        </w:tc>
        <w:tc>
          <w:tcPr>
            <w:tcW w:w="24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891.7</w:t>
            </w:r>
          </w:p>
        </w:tc>
        <w:tc>
          <w:tcPr>
            <w:tcW w:w="70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862.3</w:t>
            </w:r>
          </w:p>
        </w:tc>
        <w:tc>
          <w:tcPr>
            <w:tcW w:w="0" w:type="dxa"/>
            <w:vAlign w:val="bottom"/>
          </w:tcPr>
          <w:p>
            <w:pPr>
              <w:spacing w:after="0"/>
              <w:rPr>
                <w:sz w:val="1"/>
                <w:szCs w:val="1"/>
                <w:color w:val="auto"/>
              </w:rPr>
            </w:pPr>
          </w:p>
        </w:tc>
      </w:tr>
      <w:tr>
        <w:trPr>
          <w:trHeight w:val="46"/>
        </w:trPr>
        <w:tc>
          <w:tcPr>
            <w:tcW w:w="6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i w:val="1"/>
                <w:iCs w:val="1"/>
                <w:color w:val="auto"/>
              </w:rPr>
              <w:t>By customer locaton</w:t>
            </w:r>
          </w:p>
        </w:tc>
        <w:tc>
          <w:tcPr>
            <w:tcW w:w="52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spacing w:after="0"/>
              <w:rPr>
                <w:sz w:val="13"/>
                <w:szCs w:val="13"/>
                <w:color w:val="auto"/>
              </w:rPr>
            </w:pPr>
          </w:p>
        </w:tc>
        <w:tc>
          <w:tcPr>
            <w:tcW w:w="240" w:type="dxa"/>
            <w:vAlign w:val="bottom"/>
            <w:tcBorders>
              <w:bottom w:val="single" w:sz="8" w:color="DBDBDB"/>
            </w:tcBorders>
            <w:shd w:val="clear" w:color="auto" w:fill="DBDBDB"/>
          </w:tcPr>
          <w:p>
            <w:pPr>
              <w:spacing w:after="0"/>
              <w:rPr>
                <w:sz w:val="13"/>
                <w:szCs w:val="13"/>
                <w:color w:val="auto"/>
              </w:rPr>
            </w:pPr>
          </w:p>
        </w:tc>
        <w:tc>
          <w:tcPr>
            <w:tcW w:w="1360" w:type="dxa"/>
            <w:vAlign w:val="bottom"/>
            <w:tcBorders>
              <w:bottom w:val="single" w:sz="8" w:color="DBDBDB"/>
            </w:tcBorders>
            <w:shd w:val="clear" w:color="auto" w:fill="DBDBDB"/>
          </w:tcPr>
          <w:p>
            <w:pPr>
              <w:spacing w:after="0"/>
              <w:rPr>
                <w:sz w:val="13"/>
                <w:szCs w:val="13"/>
                <w:color w:val="auto"/>
              </w:rPr>
            </w:pPr>
          </w:p>
        </w:tc>
        <w:tc>
          <w:tcPr>
            <w:tcW w:w="70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rPr>
                <w:sz w:val="20"/>
                <w:szCs w:val="20"/>
                <w:color w:val="auto"/>
              </w:rPr>
            </w:pPr>
            <w:r>
              <w:rPr>
                <w:rFonts w:ascii="Calibri" w:cs="Calibri" w:eastAsia="Calibri" w:hAnsi="Calibri"/>
                <w:sz w:val="11"/>
                <w:szCs w:val="11"/>
                <w:color w:val="auto"/>
              </w:rPr>
              <w:t>United States</w:t>
            </w:r>
          </w:p>
        </w:tc>
        <w:tc>
          <w:tcPr>
            <w:tcW w:w="52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854.7</w:t>
            </w:r>
          </w:p>
        </w:tc>
        <w:tc>
          <w:tcPr>
            <w:tcW w:w="240" w:type="dxa"/>
            <w:vAlign w:val="bottom"/>
          </w:tcPr>
          <w:p>
            <w:pPr>
              <w:spacing w:after="0"/>
              <w:rPr>
                <w:sz w:val="11"/>
                <w:szCs w:val="11"/>
                <w:color w:val="auto"/>
              </w:rPr>
            </w:pPr>
          </w:p>
        </w:tc>
        <w:tc>
          <w:tcPr>
            <w:tcW w:w="1360" w:type="dxa"/>
            <w:vAlign w:val="bottom"/>
          </w:tcPr>
          <w:p>
            <w:pPr>
              <w:jc w:val="right"/>
              <w:ind w:right="103"/>
              <w:spacing w:after="0"/>
              <w:rPr>
                <w:sz w:val="20"/>
                <w:szCs w:val="20"/>
                <w:color w:val="auto"/>
              </w:rPr>
            </w:pPr>
            <w:r>
              <w:rPr>
                <w:rFonts w:ascii="Calibri" w:cs="Calibri" w:eastAsia="Calibri" w:hAnsi="Calibri"/>
                <w:sz w:val="11"/>
                <w:szCs w:val="11"/>
                <w:color w:val="auto"/>
              </w:rPr>
              <w:t>674.7</w:t>
            </w:r>
          </w:p>
        </w:tc>
        <w:tc>
          <w:tcPr>
            <w:tcW w:w="7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659.5</w:t>
            </w:r>
          </w:p>
        </w:tc>
        <w:tc>
          <w:tcPr>
            <w:tcW w:w="0" w:type="dxa"/>
            <w:vAlign w:val="bottom"/>
          </w:tcPr>
          <w:p>
            <w:pPr>
              <w:spacing w:after="0"/>
              <w:rPr>
                <w:sz w:val="1"/>
                <w:szCs w:val="1"/>
                <w:color w:val="auto"/>
              </w:rPr>
            </w:pPr>
          </w:p>
        </w:tc>
      </w:tr>
      <w:tr>
        <w:trPr>
          <w:trHeight w:val="46"/>
        </w:trPr>
        <w:tc>
          <w:tcPr>
            <w:tcW w:w="6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20" w:type="dxa"/>
            <w:vAlign w:val="bottom"/>
            <w:tcBorders>
              <w:bottom w:val="single" w:sz="8" w:color="DBDBDB"/>
            </w:tcBorders>
            <w:shd w:val="clear" w:color="auto" w:fill="DBDBDB"/>
          </w:tcPr>
          <w:p>
            <w:pPr>
              <w:ind w:left="180"/>
              <w:spacing w:after="0"/>
              <w:rPr>
                <w:sz w:val="20"/>
                <w:szCs w:val="20"/>
                <w:color w:val="auto"/>
              </w:rPr>
            </w:pPr>
            <w:r>
              <w:rPr>
                <w:rFonts w:ascii="Calibri" w:cs="Calibri" w:eastAsia="Calibri" w:hAnsi="Calibri"/>
                <w:sz w:val="11"/>
                <w:szCs w:val="11"/>
                <w:color w:val="auto"/>
              </w:rPr>
              <w:t>Rest of world</w:t>
            </w:r>
          </w:p>
        </w:tc>
        <w:tc>
          <w:tcPr>
            <w:tcW w:w="5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191.2</w:t>
            </w:r>
          </w:p>
        </w:tc>
        <w:tc>
          <w:tcPr>
            <w:tcW w:w="24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217.0</w:t>
            </w:r>
          </w:p>
        </w:tc>
        <w:tc>
          <w:tcPr>
            <w:tcW w:w="70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202.8</w:t>
            </w:r>
          </w:p>
        </w:tc>
        <w:tc>
          <w:tcPr>
            <w:tcW w:w="0" w:type="dxa"/>
            <w:vAlign w:val="bottom"/>
          </w:tcPr>
          <w:p>
            <w:pPr>
              <w:spacing w:after="0"/>
              <w:rPr>
                <w:sz w:val="1"/>
                <w:szCs w:val="1"/>
                <w:color w:val="auto"/>
              </w:rPr>
            </w:pPr>
          </w:p>
        </w:tc>
      </w:tr>
      <w:tr>
        <w:trPr>
          <w:trHeight w:val="125"/>
        </w:trPr>
        <w:tc>
          <w:tcPr>
            <w:tcW w:w="672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net sales</w:t>
            </w:r>
          </w:p>
        </w:tc>
        <w:tc>
          <w:tcPr>
            <w:tcW w:w="520" w:type="dxa"/>
            <w:vAlign w:val="bottom"/>
            <w:tcBorders>
              <w:top w:val="single" w:sz="8" w:color="auto"/>
            </w:tcBorders>
          </w:tcPr>
          <w:p>
            <w:pPr>
              <w:jc w:val="right"/>
              <w:ind w:right="38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1,045.9</w:t>
            </w:r>
          </w:p>
        </w:tc>
        <w:tc>
          <w:tcPr>
            <w:tcW w:w="24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36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891.7</w:t>
            </w:r>
          </w:p>
        </w:tc>
        <w:tc>
          <w:tcPr>
            <w:tcW w:w="70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862.3</w:t>
            </w:r>
          </w:p>
        </w:tc>
        <w:tc>
          <w:tcPr>
            <w:tcW w:w="0" w:type="dxa"/>
            <w:vAlign w:val="bottom"/>
          </w:tcPr>
          <w:p>
            <w:pPr>
              <w:spacing w:after="0"/>
              <w:rPr>
                <w:sz w:val="1"/>
                <w:szCs w:val="1"/>
                <w:color w:val="auto"/>
              </w:rPr>
            </w:pPr>
          </w:p>
        </w:tc>
      </w:tr>
      <w:tr>
        <w:trPr>
          <w:trHeight w:val="46"/>
        </w:trPr>
        <w:tc>
          <w:tcPr>
            <w:tcW w:w="67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20" w:hanging="115"/>
        <w:spacing w:after="0"/>
        <w:tabs>
          <w:tab w:leader="none" w:pos="120" w:val="left"/>
        </w:tabs>
        <w:numPr>
          <w:ilvl w:val="0"/>
          <w:numId w:val="33"/>
        </w:numPr>
        <w:rPr>
          <w:rFonts w:ascii="Calibri" w:cs="Calibri" w:eastAsia="Calibri" w:hAnsi="Calibri"/>
          <w:sz w:val="13"/>
          <w:szCs w:val="13"/>
          <w:color w:val="auto"/>
          <w:vertAlign w:val="superscript"/>
        </w:rPr>
      </w:pPr>
      <w:r>
        <w:rPr>
          <w:rFonts w:ascii="Calibri" w:cs="Calibri" w:eastAsia="Calibri" w:hAnsi="Calibri"/>
          <w:sz w:val="10"/>
          <w:szCs w:val="10"/>
          <w:color w:val="auto"/>
        </w:rPr>
        <w:t>Blueberry sales are generated entrely by our Blueberries segment, and are therefore reported prospectvely from May 1,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48895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 w:right="319" w:bottom="1440" w:gutter="0" w:footer="0" w:header="0"/>
        </w:sectPr>
      </w:pPr>
    </w:p>
    <w:bookmarkStart w:id="72" w:name="page73"/>
    <w:bookmarkEnd w:id="72"/>
    <w:p>
      <w:pPr>
        <w:jc w:val="center"/>
        <w:spacing w:after="0"/>
        <w:rPr>
          <w:sz w:val="20"/>
          <w:szCs w:val="20"/>
          <w:color w:val="auto"/>
        </w:rPr>
      </w:pPr>
      <w:r>
        <w:rPr>
          <w:rFonts w:ascii="Calibri" w:cs="Calibri" w:eastAsia="Calibri" w:hAnsi="Calibri"/>
          <w:sz w:val="18"/>
          <w:szCs w:val="18"/>
          <w:b w:val="1"/>
          <w:bCs w:val="1"/>
          <w:color w:val="auto"/>
        </w:rPr>
        <w:t>MISSION PRODUCE, INC.</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Adjusted EBITDA for each of our reportable segments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jc w:val="right"/>
              <w:ind w:right="183"/>
              <w:spacing w:after="0"/>
              <w:rPr>
                <w:sz w:val="20"/>
                <w:szCs w:val="20"/>
                <w:color w:val="auto"/>
              </w:rPr>
            </w:pPr>
            <w:r>
              <w:rPr>
                <w:rFonts w:ascii="Calibri" w:cs="Calibri" w:eastAsia="Calibri" w:hAnsi="Calibri"/>
                <w:sz w:val="11"/>
                <w:szCs w:val="11"/>
                <w:b w:val="1"/>
                <w:bCs w:val="1"/>
                <w:color w:val="auto"/>
              </w:rPr>
              <w:t>Years ended October 31,</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670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67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jc w:val="right"/>
              <w:ind w:right="183"/>
              <w:spacing w:after="0" w:line="126" w:lineRule="exact"/>
              <w:rPr>
                <w:sz w:val="20"/>
                <w:szCs w:val="20"/>
                <w:color w:val="auto"/>
              </w:rPr>
            </w:pPr>
            <w:r>
              <w:rPr>
                <w:rFonts w:ascii="Calibri" w:cs="Calibri" w:eastAsia="Calibri" w:hAnsi="Calibri"/>
                <w:sz w:val="11"/>
                <w:szCs w:val="11"/>
                <w:b w:val="1"/>
                <w:bCs w:val="1"/>
                <w:color w:val="auto"/>
              </w:rPr>
              <w:t>2022</w:t>
            </w:r>
          </w:p>
        </w:tc>
        <w:tc>
          <w:tcPr>
            <w:tcW w:w="220" w:type="dxa"/>
            <w:vAlign w:val="bottom"/>
          </w:tcPr>
          <w:p>
            <w:pPr>
              <w:spacing w:after="0"/>
              <w:rPr>
                <w:sz w:val="10"/>
                <w:szCs w:val="10"/>
                <w:color w:val="auto"/>
              </w:rPr>
            </w:pPr>
          </w:p>
        </w:tc>
        <w:tc>
          <w:tcPr>
            <w:tcW w:w="1400" w:type="dxa"/>
            <w:vAlign w:val="bottom"/>
          </w:tcPr>
          <w:p>
            <w:pPr>
              <w:jc w:val="right"/>
              <w:ind w:right="183"/>
              <w:spacing w:after="0" w:line="126" w:lineRule="exact"/>
              <w:rPr>
                <w:sz w:val="20"/>
                <w:szCs w:val="20"/>
                <w:color w:val="auto"/>
              </w:rPr>
            </w:pPr>
            <w:r>
              <w:rPr>
                <w:rFonts w:ascii="Calibri" w:cs="Calibri" w:eastAsia="Calibri" w:hAnsi="Calibri"/>
                <w:sz w:val="11"/>
                <w:szCs w:val="11"/>
                <w:b w:val="1"/>
                <w:bCs w:val="1"/>
                <w:color w:val="auto"/>
              </w:rPr>
              <w:t>2021</w:t>
            </w:r>
          </w:p>
        </w:tc>
        <w:tc>
          <w:tcPr>
            <w:tcW w:w="680" w:type="dxa"/>
            <w:vAlign w:val="bottom"/>
          </w:tcPr>
          <w:p>
            <w:pPr>
              <w:spacing w:after="0"/>
              <w:rPr>
                <w:sz w:val="10"/>
                <w:szCs w:val="10"/>
                <w:color w:val="auto"/>
              </w:rPr>
            </w:pPr>
          </w:p>
        </w:tc>
        <w:tc>
          <w:tcPr>
            <w:tcW w:w="80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2020</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Marketng &amp; Distributon adjusted EBITDA</w:t>
            </w:r>
          </w:p>
        </w:tc>
        <w:tc>
          <w:tcPr>
            <w:tcW w:w="54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bottom w:val="single" w:sz="8" w:color="DBDBDB"/>
            </w:tcBorders>
            <w:shd w:val="clear" w:color="auto" w:fill="DBDBDB"/>
          </w:tcPr>
          <w:p>
            <w:pPr>
              <w:jc w:val="right"/>
              <w:ind w:right="143"/>
              <w:spacing w:after="0" w:line="126" w:lineRule="exact"/>
              <w:rPr>
                <w:sz w:val="20"/>
                <w:szCs w:val="20"/>
                <w:color w:val="auto"/>
              </w:rPr>
            </w:pPr>
            <w:r>
              <w:rPr>
                <w:rFonts w:ascii="Calibri" w:cs="Calibri" w:eastAsia="Calibri" w:hAnsi="Calibri"/>
                <w:sz w:val="11"/>
                <w:szCs w:val="11"/>
                <w:color w:val="auto"/>
              </w:rPr>
              <w:t>23.5</w:t>
            </w:r>
          </w:p>
        </w:tc>
        <w:tc>
          <w:tcPr>
            <w:tcW w:w="22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51.4</w:t>
            </w:r>
          </w:p>
        </w:tc>
        <w:tc>
          <w:tcPr>
            <w:tcW w:w="680" w:type="dxa"/>
            <w:vAlign w:val="bottom"/>
            <w:tcBorders>
              <w:bottom w:val="single" w:sz="8" w:color="DBDBDB"/>
            </w:tcBorders>
            <w:shd w:val="clear" w:color="auto" w:fill="DBDBDB"/>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68.2</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Internatonal Farming adjusted EBITDA</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23.3</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33.9</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23.3</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Blueberries adjusted EBITDA</w:t>
            </w:r>
          </w:p>
        </w:tc>
        <w:tc>
          <w:tcPr>
            <w:tcW w:w="54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0.8</w:t>
            </w:r>
          </w:p>
        </w:tc>
        <w:tc>
          <w:tcPr>
            <w:tcW w:w="22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25"/>
        </w:trPr>
        <w:tc>
          <w:tcPr>
            <w:tcW w:w="670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Total reportable segment adjusted EBITDA</w:t>
            </w:r>
          </w:p>
        </w:tc>
        <w:tc>
          <w:tcPr>
            <w:tcW w:w="54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940" w:type="dxa"/>
            <w:vAlign w:val="bottom"/>
            <w:tcBorders>
              <w:top w:val="single" w:sz="8" w:color="auto"/>
            </w:tcBorders>
          </w:tcPr>
          <w:p>
            <w:pPr>
              <w:jc w:val="right"/>
              <w:ind w:right="143"/>
              <w:spacing w:after="0" w:line="126" w:lineRule="exact"/>
              <w:rPr>
                <w:sz w:val="20"/>
                <w:szCs w:val="20"/>
                <w:color w:val="auto"/>
              </w:rPr>
            </w:pPr>
            <w:r>
              <w:rPr>
                <w:rFonts w:ascii="Calibri" w:cs="Calibri" w:eastAsia="Calibri" w:hAnsi="Calibri"/>
                <w:sz w:val="11"/>
                <w:szCs w:val="11"/>
                <w:color w:val="auto"/>
              </w:rPr>
              <w:t>47.6</w:t>
            </w:r>
          </w:p>
        </w:tc>
        <w:tc>
          <w:tcPr>
            <w:tcW w:w="22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w:t>
            </w:r>
          </w:p>
        </w:tc>
        <w:tc>
          <w:tcPr>
            <w:tcW w:w="1400" w:type="dxa"/>
            <w:vAlign w:val="bottom"/>
            <w:tcBorders>
              <w:top w:val="single" w:sz="8" w:color="auto"/>
            </w:tcBorders>
          </w:tcPr>
          <w:p>
            <w:pPr>
              <w:jc w:val="right"/>
              <w:ind w:right="123"/>
              <w:spacing w:after="0" w:line="126" w:lineRule="exact"/>
              <w:rPr>
                <w:sz w:val="20"/>
                <w:szCs w:val="20"/>
                <w:color w:val="auto"/>
              </w:rPr>
            </w:pPr>
            <w:r>
              <w:rPr>
                <w:rFonts w:ascii="Calibri" w:cs="Calibri" w:eastAsia="Calibri" w:hAnsi="Calibri"/>
                <w:sz w:val="11"/>
                <w:szCs w:val="11"/>
                <w:color w:val="auto"/>
              </w:rPr>
              <w:t>85.3</w:t>
            </w:r>
          </w:p>
        </w:tc>
        <w:tc>
          <w:tcPr>
            <w:tcW w:w="680" w:type="dxa"/>
            <w:vAlign w:val="bottom"/>
            <w:tcBorders>
              <w:top w:val="single" w:sz="8" w:color="auto"/>
            </w:tcBorders>
          </w:tcPr>
          <w:p>
            <w:pPr>
              <w:jc w:val="right"/>
              <w:ind w:right="403"/>
              <w:spacing w:after="0" w:line="126" w:lineRule="exact"/>
              <w:rPr>
                <w:sz w:val="20"/>
                <w:szCs w:val="20"/>
                <w:color w:val="auto"/>
              </w:rPr>
            </w:pPr>
            <w:r>
              <w:rPr>
                <w:rFonts w:ascii="Calibri" w:cs="Calibri" w:eastAsia="Calibri" w:hAnsi="Calibri"/>
                <w:sz w:val="11"/>
                <w:szCs w:val="11"/>
                <w:color w:val="auto"/>
              </w:rPr>
              <w:t>$</w:t>
            </w:r>
          </w:p>
        </w:tc>
        <w:tc>
          <w:tcPr>
            <w:tcW w:w="80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91.5</w:t>
            </w:r>
          </w:p>
        </w:tc>
        <w:tc>
          <w:tcPr>
            <w:tcW w:w="0" w:type="dxa"/>
            <w:vAlign w:val="bottom"/>
          </w:tcPr>
          <w:p>
            <w:pPr>
              <w:spacing w:after="0"/>
              <w:rPr>
                <w:sz w:val="1"/>
                <w:szCs w:val="1"/>
                <w:color w:val="auto"/>
              </w:rPr>
            </w:pPr>
          </w:p>
        </w:tc>
      </w:tr>
      <w:tr>
        <w:trPr>
          <w:trHeight w:val="46"/>
        </w:trPr>
        <w:tc>
          <w:tcPr>
            <w:tcW w:w="67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70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Net (loss) income</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(34.9)</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line="126" w:lineRule="exact"/>
              <w:rPr>
                <w:sz w:val="20"/>
                <w:szCs w:val="20"/>
                <w:color w:val="auto"/>
              </w:rPr>
            </w:pPr>
            <w:r>
              <w:rPr>
                <w:rFonts w:ascii="Calibri" w:cs="Calibri" w:eastAsia="Calibri" w:hAnsi="Calibri"/>
                <w:sz w:val="11"/>
                <w:szCs w:val="11"/>
                <w:color w:val="auto"/>
              </w:rPr>
              <w:t>44.9</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28.8</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Interest expense</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5.5</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3.7</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6.7</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Provision for income taxes</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3.7</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21.1</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15.0</w:t>
            </w:r>
          </w:p>
        </w:tc>
        <w:tc>
          <w:tcPr>
            <w:tcW w:w="0" w:type="dxa"/>
            <w:vAlign w:val="bottom"/>
          </w:tcPr>
          <w:p>
            <w:pPr>
              <w:spacing w:after="0"/>
              <w:rPr>
                <w:sz w:val="1"/>
                <w:szCs w:val="1"/>
                <w:color w:val="auto"/>
              </w:rPr>
            </w:pPr>
          </w:p>
        </w:tc>
      </w:tr>
      <w:tr>
        <w:trPr>
          <w:trHeight w:val="175"/>
        </w:trPr>
        <w:tc>
          <w:tcPr>
            <w:tcW w:w="6700" w:type="dxa"/>
            <w:vAlign w:val="bottom"/>
          </w:tcPr>
          <w:p>
            <w:pPr>
              <w:ind w:left="20"/>
              <w:spacing w:after="0" w:line="170" w:lineRule="exact"/>
              <w:rPr>
                <w:sz w:val="20"/>
                <w:szCs w:val="20"/>
                <w:color w:val="auto"/>
              </w:rPr>
            </w:pPr>
            <w:r>
              <w:rPr>
                <w:rFonts w:ascii="Calibri" w:cs="Calibri" w:eastAsia="Calibri" w:hAnsi="Calibri"/>
                <w:sz w:val="11"/>
                <w:szCs w:val="11"/>
                <w:color w:val="auto"/>
              </w:rPr>
              <w:t>Depreciaton and amortzaton</w:t>
            </w:r>
            <w:r>
              <w:rPr>
                <w:rFonts w:ascii="Calibri" w:cs="Calibri" w:eastAsia="Calibri" w:hAnsi="Calibri"/>
                <w:sz w:val="14"/>
                <w:szCs w:val="14"/>
                <w:color w:val="auto"/>
                <w:vertAlign w:val="superscript"/>
              </w:rPr>
              <w:t>(1)</w:t>
            </w:r>
          </w:p>
        </w:tc>
        <w:tc>
          <w:tcPr>
            <w:tcW w:w="540" w:type="dxa"/>
            <w:vAlign w:val="bottom"/>
          </w:tcPr>
          <w:p>
            <w:pPr>
              <w:spacing w:after="0"/>
              <w:rPr>
                <w:sz w:val="15"/>
                <w:szCs w:val="15"/>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24.8</w:t>
            </w:r>
          </w:p>
        </w:tc>
        <w:tc>
          <w:tcPr>
            <w:tcW w:w="220" w:type="dxa"/>
            <w:vAlign w:val="bottom"/>
          </w:tcPr>
          <w:p>
            <w:pPr>
              <w:spacing w:after="0"/>
              <w:rPr>
                <w:sz w:val="15"/>
                <w:szCs w:val="15"/>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20.4</w:t>
            </w:r>
          </w:p>
        </w:tc>
        <w:tc>
          <w:tcPr>
            <w:tcW w:w="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18.1</w:t>
            </w:r>
          </w:p>
        </w:tc>
        <w:tc>
          <w:tcPr>
            <w:tcW w:w="0" w:type="dxa"/>
            <w:vAlign w:val="bottom"/>
          </w:tcPr>
          <w:p>
            <w:pPr>
              <w:spacing w:after="0"/>
              <w:rPr>
                <w:sz w:val="1"/>
                <w:szCs w:val="1"/>
                <w:color w:val="auto"/>
              </w:rPr>
            </w:pPr>
          </w:p>
        </w:tc>
      </w:tr>
      <w:tr>
        <w:trPr>
          <w:trHeight w:val="166"/>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Equity method income</w:t>
            </w:r>
          </w:p>
        </w:tc>
        <w:tc>
          <w:tcPr>
            <w:tcW w:w="54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(5.1)</w:t>
            </w:r>
          </w:p>
        </w:tc>
        <w:tc>
          <w:tcPr>
            <w:tcW w:w="220" w:type="dxa"/>
            <w:vAlign w:val="bottom"/>
            <w:tcBorders>
              <w:bottom w:val="single" w:sz="8" w:color="DBDBDB"/>
            </w:tcBorders>
            <w:shd w:val="clear" w:color="auto" w:fill="DBDBDB"/>
          </w:tcPr>
          <w:p>
            <w:pPr>
              <w:spacing w:after="0"/>
              <w:rPr>
                <w:sz w:val="14"/>
                <w:szCs w:val="14"/>
                <w:color w:val="auto"/>
              </w:rPr>
            </w:pPr>
          </w:p>
        </w:tc>
        <w:tc>
          <w:tcPr>
            <w:tcW w:w="14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(7.5)</w:t>
            </w:r>
          </w:p>
        </w:tc>
        <w:tc>
          <w:tcPr>
            <w:tcW w:w="680" w:type="dxa"/>
            <w:vAlign w:val="bottom"/>
            <w:tcBorders>
              <w:bottom w:val="single" w:sz="8" w:color="DBDBDB"/>
            </w:tcBorders>
            <w:shd w:val="clear" w:color="auto" w:fill="DBDBDB"/>
          </w:tcPr>
          <w:p>
            <w:pPr>
              <w:spacing w:after="0"/>
              <w:rPr>
                <w:sz w:val="14"/>
                <w:szCs w:val="14"/>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(4.0)</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Stock-based compensaton</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3.6</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2.6</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5.0</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Other (income) expense, net</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(4.4)</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(1.3)</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0.7</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Legal setlement</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0.8</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Asset impairment and disposals, net of insurance recoveries</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0.4</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(0.2)</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Farming costs for nonproductve orchards</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1.5</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0.8</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700" w:type="dxa"/>
            <w:vAlign w:val="bottom"/>
            <w:shd w:val="clear" w:color="auto" w:fill="DBDBDB"/>
          </w:tcPr>
          <w:p>
            <w:pPr>
              <w:ind w:left="20"/>
              <w:spacing w:after="0" w:line="170" w:lineRule="exact"/>
              <w:rPr>
                <w:sz w:val="20"/>
                <w:szCs w:val="20"/>
                <w:color w:val="auto"/>
              </w:rPr>
            </w:pPr>
            <w:r>
              <w:rPr>
                <w:rFonts w:ascii="Calibri" w:cs="Calibri" w:eastAsia="Calibri" w:hAnsi="Calibri"/>
                <w:sz w:val="11"/>
                <w:szCs w:val="11"/>
                <w:color w:val="auto"/>
              </w:rPr>
              <w:t>ERP costs</w:t>
            </w:r>
            <w:r>
              <w:rPr>
                <w:rFonts w:ascii="Calibri" w:cs="Calibri" w:eastAsia="Calibri" w:hAnsi="Calibri"/>
                <w:sz w:val="14"/>
                <w:szCs w:val="14"/>
                <w:color w:val="auto"/>
                <w:vertAlign w:val="superscript"/>
              </w:rPr>
              <w:t>(2)</w:t>
            </w:r>
          </w:p>
        </w:tc>
        <w:tc>
          <w:tcPr>
            <w:tcW w:w="540" w:type="dxa"/>
            <w:vAlign w:val="bottom"/>
            <w:shd w:val="clear" w:color="auto" w:fill="DBDBDB"/>
          </w:tcPr>
          <w:p>
            <w:pPr>
              <w:spacing w:after="0"/>
              <w:rPr>
                <w:sz w:val="15"/>
                <w:szCs w:val="15"/>
                <w:color w:val="auto"/>
              </w:rPr>
            </w:pPr>
          </w:p>
        </w:tc>
        <w:tc>
          <w:tcPr>
            <w:tcW w:w="940" w:type="dxa"/>
            <w:vAlign w:val="bottom"/>
            <w:shd w:val="clear" w:color="auto" w:fill="DBDBDB"/>
          </w:tcPr>
          <w:p>
            <w:pPr>
              <w:jc w:val="right"/>
              <w:ind w:right="143"/>
              <w:spacing w:after="0"/>
              <w:rPr>
                <w:sz w:val="20"/>
                <w:szCs w:val="20"/>
                <w:color w:val="auto"/>
              </w:rPr>
            </w:pPr>
            <w:r>
              <w:rPr>
                <w:rFonts w:ascii="Calibri" w:cs="Calibri" w:eastAsia="Calibri" w:hAnsi="Calibri"/>
                <w:sz w:val="11"/>
                <w:szCs w:val="11"/>
                <w:color w:val="auto"/>
              </w:rPr>
              <w:t>4.6</w:t>
            </w:r>
          </w:p>
        </w:tc>
        <w:tc>
          <w:tcPr>
            <w:tcW w:w="220" w:type="dxa"/>
            <w:vAlign w:val="bottom"/>
            <w:shd w:val="clear" w:color="auto" w:fill="DBDBDB"/>
          </w:tcPr>
          <w:p>
            <w:pPr>
              <w:spacing w:after="0"/>
              <w:rPr>
                <w:sz w:val="15"/>
                <w:szCs w:val="15"/>
                <w:color w:val="auto"/>
              </w:rPr>
            </w:pPr>
          </w:p>
        </w:tc>
        <w:tc>
          <w:tcPr>
            <w:tcW w:w="1400" w:type="dxa"/>
            <w:vAlign w:val="bottom"/>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Amortzaton of inventory adjustment recognized from business combinaton</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0.4</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Goodwill impairment</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49.5</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Remeasurement gain on business combinaton with Moruga</w:t>
            </w:r>
          </w:p>
        </w:tc>
        <w:tc>
          <w:tcPr>
            <w:tcW w:w="540" w:type="dxa"/>
            <w:vAlign w:val="bottom"/>
          </w:tcPr>
          <w:p>
            <w:pPr>
              <w:spacing w:after="0"/>
              <w:rPr>
                <w:sz w:val="11"/>
                <w:szCs w:val="11"/>
                <w:color w:val="auto"/>
              </w:rPr>
            </w:pPr>
          </w:p>
        </w:tc>
        <w:tc>
          <w:tcPr>
            <w:tcW w:w="940" w:type="dxa"/>
            <w:vAlign w:val="bottom"/>
          </w:tcPr>
          <w:p>
            <w:pPr>
              <w:jc w:val="right"/>
              <w:ind w:right="103"/>
              <w:spacing w:after="0"/>
              <w:rPr>
                <w:sz w:val="20"/>
                <w:szCs w:val="20"/>
                <w:color w:val="auto"/>
              </w:rPr>
            </w:pPr>
            <w:r>
              <w:rPr>
                <w:rFonts w:ascii="Calibri" w:cs="Calibri" w:eastAsia="Calibri" w:hAnsi="Calibri"/>
                <w:sz w:val="11"/>
                <w:szCs w:val="11"/>
                <w:color w:val="auto"/>
              </w:rPr>
              <w:t>(2.0)</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7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Impairment on equity method investment</w:t>
            </w:r>
          </w:p>
        </w:tc>
        <w:tc>
          <w:tcPr>
            <w:tcW w:w="54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143"/>
              <w:spacing w:after="0"/>
              <w:rPr>
                <w:sz w:val="20"/>
                <w:szCs w:val="20"/>
                <w:color w:val="auto"/>
              </w:rPr>
            </w:pPr>
            <w:r>
              <w:rPr>
                <w:rFonts w:ascii="Calibri" w:cs="Calibri" w:eastAsia="Calibri" w:hAnsi="Calibri"/>
                <w:sz w:val="11"/>
                <w:szCs w:val="11"/>
                <w:color w:val="auto"/>
              </w:rPr>
              <w:t>—</w:t>
            </w:r>
          </w:p>
        </w:tc>
        <w:tc>
          <w:tcPr>
            <w:tcW w:w="220" w:type="dxa"/>
            <w:vAlign w:val="bottom"/>
            <w:tcBorders>
              <w:bottom w:val="single" w:sz="8" w:color="DBDBDB"/>
            </w:tcBorders>
            <w:shd w:val="clear" w:color="auto" w:fill="DBDBDB"/>
          </w:tcPr>
          <w:p>
            <w:pPr>
              <w:spacing w:after="0"/>
              <w:rPr>
                <w:sz w:val="13"/>
                <w:szCs w:val="13"/>
                <w:color w:val="auto"/>
              </w:rPr>
            </w:pPr>
          </w:p>
        </w:tc>
        <w:tc>
          <w:tcPr>
            <w:tcW w:w="1400" w:type="dxa"/>
            <w:vAlign w:val="bottom"/>
            <w:tcBorders>
              <w:bottom w:val="single" w:sz="8" w:color="DBDBDB"/>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21.2</w:t>
            </w:r>
          </w:p>
        </w:tc>
        <w:tc>
          <w:tcPr>
            <w:tcW w:w="0" w:type="dxa"/>
            <w:vAlign w:val="bottom"/>
          </w:tcPr>
          <w:p>
            <w:pPr>
              <w:spacing w:after="0"/>
              <w:rPr>
                <w:sz w:val="1"/>
                <w:szCs w:val="1"/>
                <w:color w:val="auto"/>
              </w:rPr>
            </w:pPr>
          </w:p>
        </w:tc>
      </w:tr>
      <w:tr>
        <w:trPr>
          <w:trHeight w:val="135"/>
        </w:trPr>
        <w:tc>
          <w:tcPr>
            <w:tcW w:w="6700" w:type="dxa"/>
            <w:vAlign w:val="bottom"/>
          </w:tcPr>
          <w:p>
            <w:pPr>
              <w:ind w:left="20"/>
              <w:spacing w:after="0"/>
              <w:rPr>
                <w:sz w:val="20"/>
                <w:szCs w:val="20"/>
                <w:color w:val="auto"/>
              </w:rPr>
            </w:pPr>
            <w:r>
              <w:rPr>
                <w:rFonts w:ascii="Calibri" w:cs="Calibri" w:eastAsia="Calibri" w:hAnsi="Calibri"/>
                <w:sz w:val="11"/>
                <w:szCs w:val="11"/>
                <w:color w:val="auto"/>
              </w:rPr>
              <w:t>Transacton costs</w:t>
            </w:r>
          </w:p>
        </w:tc>
        <w:tc>
          <w:tcPr>
            <w:tcW w:w="540" w:type="dxa"/>
            <w:vAlign w:val="bottom"/>
          </w:tcPr>
          <w:p>
            <w:pPr>
              <w:spacing w:after="0"/>
              <w:rPr>
                <w:sz w:val="11"/>
                <w:szCs w:val="11"/>
                <w:color w:val="auto"/>
              </w:rPr>
            </w:pPr>
          </w:p>
        </w:tc>
        <w:tc>
          <w:tcPr>
            <w:tcW w:w="940" w:type="dxa"/>
            <w:vAlign w:val="bottom"/>
          </w:tcPr>
          <w:p>
            <w:pPr>
              <w:jc w:val="right"/>
              <w:ind w:right="143"/>
              <w:spacing w:after="0"/>
              <w:rPr>
                <w:sz w:val="20"/>
                <w:szCs w:val="20"/>
                <w:color w:val="auto"/>
              </w:rPr>
            </w:pPr>
            <w:r>
              <w:rPr>
                <w:rFonts w:ascii="Calibri" w:cs="Calibri" w:eastAsia="Calibri" w:hAnsi="Calibri"/>
                <w:sz w:val="11"/>
                <w:szCs w:val="11"/>
                <w:color w:val="auto"/>
              </w:rPr>
              <w:t>0.6</w:t>
            </w:r>
          </w:p>
        </w:tc>
        <w:tc>
          <w:tcPr>
            <w:tcW w:w="220" w:type="dxa"/>
            <w:vAlign w:val="bottom"/>
          </w:tcPr>
          <w:p>
            <w:pPr>
              <w:spacing w:after="0"/>
              <w:rPr>
                <w:sz w:val="11"/>
                <w:szCs w:val="11"/>
                <w:color w:val="auto"/>
              </w:rPr>
            </w:pPr>
          </w:p>
        </w:tc>
        <w:tc>
          <w:tcPr>
            <w:tcW w:w="1400" w:type="dxa"/>
            <w:vAlign w:val="bottom"/>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46"/>
        </w:trPr>
        <w:tc>
          <w:tcPr>
            <w:tcW w:w="6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700" w:type="dxa"/>
            <w:vAlign w:val="bottom"/>
            <w:tcBorders>
              <w:bottom w:val="single" w:sz="8" w:color="auto"/>
            </w:tcBorders>
            <w:shd w:val="clear" w:color="auto" w:fill="DBDBDB"/>
          </w:tcPr>
          <w:p>
            <w:pPr>
              <w:ind w:left="20"/>
              <w:spacing w:after="0" w:line="170" w:lineRule="exact"/>
              <w:rPr>
                <w:sz w:val="20"/>
                <w:szCs w:val="20"/>
                <w:color w:val="auto"/>
              </w:rPr>
            </w:pPr>
            <w:r>
              <w:rPr>
                <w:rFonts w:ascii="Calibri" w:cs="Calibri" w:eastAsia="Calibri" w:hAnsi="Calibri"/>
                <w:sz w:val="11"/>
                <w:szCs w:val="11"/>
                <w:color w:val="auto"/>
              </w:rPr>
              <w:t>Noncontrolling interest</w:t>
            </w:r>
            <w:r>
              <w:rPr>
                <w:rFonts w:ascii="Calibri" w:cs="Calibri" w:eastAsia="Calibri" w:hAnsi="Calibri"/>
                <w:sz w:val="14"/>
                <w:szCs w:val="14"/>
                <w:color w:val="auto"/>
                <w:vertAlign w:val="superscript"/>
              </w:rPr>
              <w:t>(3)</w:t>
            </w:r>
          </w:p>
        </w:tc>
        <w:tc>
          <w:tcPr>
            <w:tcW w:w="54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(0.6)</w:t>
            </w:r>
          </w:p>
        </w:tc>
        <w:tc>
          <w:tcPr>
            <w:tcW w:w="220" w:type="dxa"/>
            <w:vAlign w:val="bottom"/>
            <w:tcBorders>
              <w:bottom w:val="single" w:sz="8" w:color="auto"/>
            </w:tcBorders>
            <w:shd w:val="clear" w:color="auto" w:fill="DBDBDB"/>
          </w:tcPr>
          <w:p>
            <w:pPr>
              <w:spacing w:after="0"/>
              <w:rPr>
                <w:sz w:val="15"/>
                <w:szCs w:val="15"/>
                <w:color w:val="auto"/>
              </w:rPr>
            </w:pPr>
          </w:p>
        </w:tc>
        <w:tc>
          <w:tcPr>
            <w:tcW w:w="1400" w:type="dxa"/>
            <w:vAlign w:val="bottom"/>
            <w:tcBorders>
              <w:bottom w:val="single" w:sz="8" w:color="auto"/>
            </w:tcBorders>
            <w:shd w:val="clear" w:color="auto" w:fill="DBDBDB"/>
          </w:tcPr>
          <w:p>
            <w:pPr>
              <w:jc w:val="right"/>
              <w:ind w:right="123"/>
              <w:spacing w:after="0"/>
              <w:rPr>
                <w:sz w:val="20"/>
                <w:szCs w:val="20"/>
                <w:color w:val="auto"/>
              </w:rPr>
            </w:pPr>
            <w:r>
              <w:rPr>
                <w:rFonts w:ascii="Calibri" w:cs="Calibri" w:eastAsia="Calibri" w:hAnsi="Calibri"/>
                <w:sz w:val="11"/>
                <w:szCs w:val="11"/>
                <w:color w:val="auto"/>
              </w:rPr>
              <w:t>—</w:t>
            </w:r>
          </w:p>
        </w:tc>
        <w:tc>
          <w:tcPr>
            <w:tcW w:w="68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Calibri" w:cs="Calibri" w:eastAsia="Calibri" w:hAnsi="Calibri"/>
                <w:sz w:val="11"/>
                <w:szCs w:val="11"/>
                <w:color w:val="auto"/>
              </w:rPr>
              <w:t>—</w:t>
            </w:r>
          </w:p>
        </w:tc>
        <w:tc>
          <w:tcPr>
            <w:tcW w:w="0" w:type="dxa"/>
            <w:vAlign w:val="bottom"/>
          </w:tcPr>
          <w:p>
            <w:pPr>
              <w:spacing w:after="0"/>
              <w:rPr>
                <w:sz w:val="1"/>
                <w:szCs w:val="1"/>
                <w:color w:val="auto"/>
              </w:rPr>
            </w:pPr>
          </w:p>
        </w:tc>
      </w:tr>
      <w:tr>
        <w:trPr>
          <w:trHeight w:val="131"/>
        </w:trPr>
        <w:tc>
          <w:tcPr>
            <w:tcW w:w="6700" w:type="dxa"/>
            <w:vAlign w:val="bottom"/>
          </w:tcPr>
          <w:p>
            <w:pPr>
              <w:ind w:left="20"/>
              <w:spacing w:after="0" w:line="131" w:lineRule="exact"/>
              <w:rPr>
                <w:sz w:val="20"/>
                <w:szCs w:val="20"/>
                <w:color w:val="auto"/>
              </w:rPr>
            </w:pPr>
            <w:r>
              <w:rPr>
                <w:rFonts w:ascii="Calibri" w:cs="Calibri" w:eastAsia="Calibri" w:hAnsi="Calibri"/>
                <w:sz w:val="11"/>
                <w:szCs w:val="11"/>
                <w:color w:val="auto"/>
              </w:rPr>
              <w:t>Total adjusted EBITDA</w:t>
            </w:r>
          </w:p>
        </w:tc>
        <w:tc>
          <w:tcPr>
            <w:tcW w:w="540" w:type="dxa"/>
            <w:vAlign w:val="bottom"/>
          </w:tcPr>
          <w:p>
            <w:pPr>
              <w:jc w:val="right"/>
              <w:ind w:right="403"/>
              <w:spacing w:after="0" w:line="131" w:lineRule="exact"/>
              <w:rPr>
                <w:sz w:val="20"/>
                <w:szCs w:val="20"/>
                <w:color w:val="auto"/>
              </w:rPr>
            </w:pPr>
            <w:r>
              <w:rPr>
                <w:rFonts w:ascii="Calibri" w:cs="Calibri" w:eastAsia="Calibri" w:hAnsi="Calibri"/>
                <w:sz w:val="11"/>
                <w:szCs w:val="11"/>
                <w:color w:val="auto"/>
              </w:rPr>
              <w:t>$</w:t>
            </w:r>
          </w:p>
        </w:tc>
        <w:tc>
          <w:tcPr>
            <w:tcW w:w="940" w:type="dxa"/>
            <w:vAlign w:val="bottom"/>
          </w:tcPr>
          <w:p>
            <w:pPr>
              <w:jc w:val="right"/>
              <w:ind w:right="143"/>
              <w:spacing w:after="0" w:line="131" w:lineRule="exact"/>
              <w:rPr>
                <w:sz w:val="20"/>
                <w:szCs w:val="20"/>
                <w:color w:val="auto"/>
              </w:rPr>
            </w:pPr>
            <w:r>
              <w:rPr>
                <w:rFonts w:ascii="Calibri" w:cs="Calibri" w:eastAsia="Calibri" w:hAnsi="Calibri"/>
                <w:sz w:val="11"/>
                <w:szCs w:val="11"/>
                <w:color w:val="auto"/>
              </w:rPr>
              <w:t>47.6</w:t>
            </w:r>
          </w:p>
        </w:tc>
        <w:tc>
          <w:tcPr>
            <w:tcW w:w="220" w:type="dxa"/>
            <w:vAlign w:val="bottom"/>
          </w:tcPr>
          <w:p>
            <w:pPr>
              <w:jc w:val="right"/>
              <w:spacing w:after="0" w:line="131" w:lineRule="exact"/>
              <w:rPr>
                <w:sz w:val="20"/>
                <w:szCs w:val="20"/>
                <w:color w:val="auto"/>
              </w:rPr>
            </w:pPr>
            <w:r>
              <w:rPr>
                <w:rFonts w:ascii="Calibri" w:cs="Calibri" w:eastAsia="Calibri" w:hAnsi="Calibri"/>
                <w:sz w:val="11"/>
                <w:szCs w:val="11"/>
                <w:color w:val="auto"/>
              </w:rPr>
              <w:t>$</w:t>
            </w:r>
          </w:p>
        </w:tc>
        <w:tc>
          <w:tcPr>
            <w:tcW w:w="1400" w:type="dxa"/>
            <w:vAlign w:val="bottom"/>
          </w:tcPr>
          <w:p>
            <w:pPr>
              <w:jc w:val="right"/>
              <w:ind w:right="123"/>
              <w:spacing w:after="0" w:line="131" w:lineRule="exact"/>
              <w:rPr>
                <w:sz w:val="20"/>
                <w:szCs w:val="20"/>
                <w:color w:val="auto"/>
              </w:rPr>
            </w:pPr>
            <w:r>
              <w:rPr>
                <w:rFonts w:ascii="Calibri" w:cs="Calibri" w:eastAsia="Calibri" w:hAnsi="Calibri"/>
                <w:sz w:val="11"/>
                <w:szCs w:val="11"/>
                <w:color w:val="auto"/>
              </w:rPr>
              <w:t>85.3</w:t>
            </w:r>
          </w:p>
        </w:tc>
        <w:tc>
          <w:tcPr>
            <w:tcW w:w="680" w:type="dxa"/>
            <w:vAlign w:val="bottom"/>
          </w:tcPr>
          <w:p>
            <w:pPr>
              <w:jc w:val="right"/>
              <w:ind w:right="403"/>
              <w:spacing w:after="0" w:line="131" w:lineRule="exact"/>
              <w:rPr>
                <w:sz w:val="20"/>
                <w:szCs w:val="20"/>
                <w:color w:val="auto"/>
              </w:rPr>
            </w:pPr>
            <w:r>
              <w:rPr>
                <w:rFonts w:ascii="Calibri" w:cs="Calibri" w:eastAsia="Calibri" w:hAnsi="Calibri"/>
                <w:sz w:val="11"/>
                <w:szCs w:val="11"/>
                <w:color w:val="auto"/>
              </w:rPr>
              <w:t>$</w:t>
            </w:r>
          </w:p>
        </w:tc>
        <w:tc>
          <w:tcPr>
            <w:tcW w:w="800" w:type="dxa"/>
            <w:vAlign w:val="bottom"/>
          </w:tcPr>
          <w:p>
            <w:pPr>
              <w:jc w:val="right"/>
              <w:spacing w:after="0" w:line="131" w:lineRule="exact"/>
              <w:rPr>
                <w:sz w:val="20"/>
                <w:szCs w:val="20"/>
                <w:color w:val="auto"/>
              </w:rPr>
            </w:pPr>
            <w:r>
              <w:rPr>
                <w:rFonts w:ascii="Calibri" w:cs="Calibri" w:eastAsia="Calibri" w:hAnsi="Calibri"/>
                <w:sz w:val="11"/>
                <w:szCs w:val="11"/>
                <w:color w:val="auto"/>
              </w:rPr>
              <w:t>91.5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6153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9" w:lineRule="exact"/>
        <w:rPr>
          <w:sz w:val="20"/>
          <w:szCs w:val="20"/>
          <w:color w:val="auto"/>
        </w:rPr>
      </w:pPr>
    </w:p>
    <w:p>
      <w:pPr>
        <w:ind w:left="120" w:hanging="115"/>
        <w:spacing w:after="0"/>
        <w:tabs>
          <w:tab w:leader="none" w:pos="120" w:val="left"/>
        </w:tabs>
        <w:numPr>
          <w:ilvl w:val="0"/>
          <w:numId w:val="34"/>
        </w:numPr>
        <w:rPr>
          <w:rFonts w:ascii="Calibri" w:cs="Calibri" w:eastAsia="Calibri" w:hAnsi="Calibri"/>
          <w:sz w:val="13"/>
          <w:szCs w:val="13"/>
          <w:color w:val="auto"/>
          <w:vertAlign w:val="superscript"/>
        </w:rPr>
      </w:pPr>
      <w:r>
        <w:rPr>
          <w:rFonts w:ascii="Calibri" w:cs="Calibri" w:eastAsia="Calibri" w:hAnsi="Calibri"/>
          <w:sz w:val="10"/>
          <w:szCs w:val="10"/>
          <w:color w:val="auto"/>
        </w:rPr>
        <w:t>Includes $1.4 million of depreciaton and amortzaton on purchase accountng assets including property, plant and equipment step-up and an intangible asset for the year ended October 31, 2022.</w:t>
      </w:r>
    </w:p>
    <w:p>
      <w:pPr>
        <w:spacing w:after="0" w:line="32" w:lineRule="exact"/>
        <w:rPr>
          <w:rFonts w:ascii="Calibri" w:cs="Calibri" w:eastAsia="Calibri" w:hAnsi="Calibri"/>
          <w:sz w:val="13"/>
          <w:szCs w:val="13"/>
          <w:color w:val="auto"/>
          <w:vertAlign w:val="superscript"/>
        </w:rPr>
      </w:pPr>
    </w:p>
    <w:p>
      <w:pPr>
        <w:ind w:left="120" w:hanging="115"/>
        <w:spacing w:after="0" w:line="207" w:lineRule="auto"/>
        <w:tabs>
          <w:tab w:leader="none" w:pos="120" w:val="left"/>
        </w:tabs>
        <w:numPr>
          <w:ilvl w:val="0"/>
          <w:numId w:val="34"/>
        </w:numPr>
        <w:rPr>
          <w:rFonts w:ascii="Calibri" w:cs="Calibri" w:eastAsia="Calibri" w:hAnsi="Calibri"/>
          <w:sz w:val="13"/>
          <w:szCs w:val="13"/>
          <w:color w:val="auto"/>
          <w:vertAlign w:val="superscript"/>
        </w:rPr>
      </w:pPr>
      <w:r>
        <w:rPr>
          <w:rFonts w:ascii="Calibri" w:cs="Calibri" w:eastAsia="Calibri" w:hAnsi="Calibri"/>
          <w:sz w:val="10"/>
          <w:szCs w:val="10"/>
          <w:color w:val="auto"/>
        </w:rPr>
        <w:t>Includes recogniton of deferred implementaton costs and non-recurring post-implementaton process reengineering costs.</w:t>
      </w:r>
    </w:p>
    <w:p>
      <w:pPr>
        <w:spacing w:after="0" w:line="32" w:lineRule="exact"/>
        <w:rPr>
          <w:rFonts w:ascii="Calibri" w:cs="Calibri" w:eastAsia="Calibri" w:hAnsi="Calibri"/>
          <w:sz w:val="13"/>
          <w:szCs w:val="13"/>
          <w:color w:val="auto"/>
          <w:vertAlign w:val="superscript"/>
        </w:rPr>
      </w:pPr>
    </w:p>
    <w:p>
      <w:pPr>
        <w:ind w:left="120" w:hanging="115"/>
        <w:spacing w:after="0" w:line="191" w:lineRule="auto"/>
        <w:tabs>
          <w:tab w:leader="none" w:pos="120" w:val="left"/>
        </w:tabs>
        <w:numPr>
          <w:ilvl w:val="0"/>
          <w:numId w:val="34"/>
        </w:numPr>
        <w:rPr>
          <w:rFonts w:ascii="Calibri" w:cs="Calibri" w:eastAsia="Calibri" w:hAnsi="Calibri"/>
          <w:sz w:val="13"/>
          <w:szCs w:val="13"/>
          <w:color w:val="auto"/>
          <w:vertAlign w:val="superscript"/>
        </w:rPr>
      </w:pPr>
      <w:r>
        <w:rPr>
          <w:rFonts w:ascii="Calibri" w:cs="Calibri" w:eastAsia="Calibri" w:hAnsi="Calibri"/>
          <w:sz w:val="10"/>
          <w:szCs w:val="10"/>
          <w:color w:val="auto"/>
        </w:rPr>
        <w:t>Represents net loss atributable to noncontrolling interest plus the impact of non-GAAP adjustments, allocable to the noncontrolling owner based on their percentage of ownership interest.</w:t>
      </w:r>
    </w:p>
    <w:p>
      <w:pPr>
        <w:spacing w:after="0" w:line="145" w:lineRule="exact"/>
        <w:rPr>
          <w:sz w:val="20"/>
          <w:szCs w:val="20"/>
          <w:color w:val="auto"/>
        </w:rPr>
      </w:pPr>
    </w:p>
    <w:p>
      <w:pPr>
        <w:ind w:left="520"/>
        <w:spacing w:after="0"/>
        <w:rPr>
          <w:sz w:val="20"/>
          <w:szCs w:val="20"/>
          <w:color w:val="auto"/>
        </w:rPr>
      </w:pPr>
      <w:r>
        <w:rPr>
          <w:rFonts w:ascii="Calibri" w:cs="Calibri" w:eastAsia="Calibri" w:hAnsi="Calibri"/>
          <w:sz w:val="13"/>
          <w:szCs w:val="13"/>
          <w:color w:val="auto"/>
        </w:rPr>
        <w:t>Property, plant and equipment, net atributed to geographic areas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0" w:type="dxa"/>
            <w:vAlign w:val="bottom"/>
            <w:gridSpan w:val="2"/>
          </w:tcPr>
          <w:p>
            <w:pPr>
              <w:jc w:val="right"/>
              <w:ind w:right="363"/>
              <w:spacing w:after="0"/>
              <w:rPr>
                <w:sz w:val="20"/>
                <w:szCs w:val="20"/>
                <w:color w:val="auto"/>
              </w:rPr>
            </w:pPr>
            <w:r>
              <w:rPr>
                <w:rFonts w:ascii="Calibri" w:cs="Calibri" w:eastAsia="Calibri" w:hAnsi="Calibri"/>
                <w:sz w:val="11"/>
                <w:szCs w:val="11"/>
                <w:b w:val="1"/>
                <w:bCs w:val="1"/>
                <w:color w:val="auto"/>
              </w:rPr>
              <w:t>October 31,</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8380" w:type="dxa"/>
            <w:vAlign w:val="bottom"/>
            <w:vMerge w:val="restart"/>
          </w:tcPr>
          <w:p>
            <w:pPr>
              <w:ind w:left="20"/>
              <w:spacing w:after="0"/>
              <w:rPr>
                <w:sz w:val="20"/>
                <w:szCs w:val="20"/>
                <w:color w:val="auto"/>
              </w:rPr>
            </w:pPr>
            <w:r>
              <w:rPr>
                <w:rFonts w:ascii="Calibri" w:cs="Calibri" w:eastAsia="Calibri" w:hAnsi="Calibri"/>
                <w:sz w:val="11"/>
                <w:szCs w:val="11"/>
                <w:b w:val="1"/>
                <w:bCs w:val="1"/>
                <w:color w:val="auto"/>
              </w:rPr>
              <w:t>(In millions)</w:t>
            </w: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83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ind w:right="143"/>
              <w:spacing w:after="0" w:line="126" w:lineRule="exact"/>
              <w:rPr>
                <w:sz w:val="20"/>
                <w:szCs w:val="20"/>
                <w:color w:val="auto"/>
              </w:rPr>
            </w:pPr>
            <w:r>
              <w:rPr>
                <w:rFonts w:ascii="Calibri" w:cs="Calibri" w:eastAsia="Calibri" w:hAnsi="Calibri"/>
                <w:sz w:val="11"/>
                <w:szCs w:val="11"/>
                <w:b w:val="1"/>
                <w:bCs w:val="1"/>
                <w:color w:val="auto"/>
              </w:rPr>
              <w:t>2022</w:t>
            </w:r>
          </w:p>
        </w:tc>
        <w:tc>
          <w:tcPr>
            <w:tcW w:w="700" w:type="dxa"/>
            <w:vAlign w:val="bottom"/>
          </w:tcPr>
          <w:p>
            <w:pPr>
              <w:spacing w:after="0"/>
              <w:rPr>
                <w:sz w:val="10"/>
                <w:szCs w:val="10"/>
                <w:color w:val="auto"/>
              </w:rPr>
            </w:pPr>
          </w:p>
        </w:tc>
        <w:tc>
          <w:tcPr>
            <w:tcW w:w="760" w:type="dxa"/>
            <w:vAlign w:val="bottom"/>
          </w:tcPr>
          <w:p>
            <w:pPr>
              <w:jc w:val="right"/>
              <w:ind w:right="43"/>
              <w:spacing w:after="0" w:line="126" w:lineRule="exact"/>
              <w:rPr>
                <w:sz w:val="20"/>
                <w:szCs w:val="20"/>
                <w:color w:val="auto"/>
              </w:rPr>
            </w:pPr>
            <w:r>
              <w:rPr>
                <w:rFonts w:ascii="Calibri" w:cs="Calibri" w:eastAsia="Calibri" w:hAnsi="Calibri"/>
                <w:sz w:val="11"/>
                <w:szCs w:val="11"/>
                <w:b w:val="1"/>
                <w:bCs w:val="1"/>
                <w:color w:val="auto"/>
              </w:rPr>
              <w:t>2021</w:t>
            </w:r>
          </w:p>
        </w:tc>
        <w:tc>
          <w:tcPr>
            <w:tcW w:w="0" w:type="dxa"/>
            <w:vAlign w:val="bottom"/>
          </w:tcPr>
          <w:p>
            <w:pPr>
              <w:spacing w:after="0"/>
              <w:rPr>
                <w:sz w:val="1"/>
                <w:szCs w:val="1"/>
                <w:color w:val="auto"/>
              </w:rPr>
            </w:pPr>
          </w:p>
        </w:tc>
      </w:tr>
      <w:tr>
        <w:trPr>
          <w:trHeight w:val="46"/>
        </w:trPr>
        <w:tc>
          <w:tcPr>
            <w:tcW w:w="83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38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North America</w:t>
            </w:r>
          </w:p>
        </w:tc>
        <w:tc>
          <w:tcPr>
            <w:tcW w:w="540" w:type="dxa"/>
            <w:vAlign w:val="bottom"/>
            <w:tcBorders>
              <w:bottom w:val="single" w:sz="8" w:color="DBDBDB"/>
            </w:tcBorders>
            <w:shd w:val="clear" w:color="auto" w:fill="DBDBDB"/>
          </w:tcPr>
          <w:p>
            <w:pPr>
              <w:jc w:val="right"/>
              <w:ind w:right="423"/>
              <w:spacing w:after="0" w:line="126" w:lineRule="exact"/>
              <w:rPr>
                <w:sz w:val="20"/>
                <w:szCs w:val="20"/>
                <w:color w:val="auto"/>
              </w:rPr>
            </w:pPr>
            <w:r>
              <w:rPr>
                <w:rFonts w:ascii="Calibri" w:cs="Calibri" w:eastAsia="Calibri" w:hAnsi="Calibri"/>
                <w:sz w:val="11"/>
                <w:szCs w:val="11"/>
                <w:color w:val="auto"/>
                <w:w w:val="70"/>
              </w:rPr>
              <w:t>$</w:t>
            </w:r>
          </w:p>
        </w:tc>
        <w:tc>
          <w:tcPr>
            <w:tcW w:w="900" w:type="dxa"/>
            <w:vAlign w:val="bottom"/>
            <w:tcBorders>
              <w:bottom w:val="single" w:sz="8" w:color="DBDBDB"/>
            </w:tcBorders>
            <w:shd w:val="clear" w:color="auto" w:fill="DBDBDB"/>
          </w:tcPr>
          <w:p>
            <w:pPr>
              <w:jc w:val="right"/>
              <w:ind w:right="103"/>
              <w:spacing w:after="0" w:line="126" w:lineRule="exact"/>
              <w:rPr>
                <w:sz w:val="20"/>
                <w:szCs w:val="20"/>
                <w:color w:val="auto"/>
              </w:rPr>
            </w:pPr>
            <w:r>
              <w:rPr>
                <w:rFonts w:ascii="Calibri" w:cs="Calibri" w:eastAsia="Calibri" w:hAnsi="Calibri"/>
                <w:sz w:val="11"/>
                <w:szCs w:val="11"/>
                <w:color w:val="auto"/>
              </w:rPr>
              <w:t>153.0</w:t>
            </w:r>
          </w:p>
        </w:tc>
        <w:tc>
          <w:tcPr>
            <w:tcW w:w="700" w:type="dxa"/>
            <w:vAlign w:val="bottom"/>
            <w:tcBorders>
              <w:bottom w:val="single" w:sz="8" w:color="DBDBDB"/>
            </w:tcBorders>
            <w:shd w:val="clear" w:color="auto" w:fill="DBDBDB"/>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bottom w:val="single" w:sz="8" w:color="DBDBDB"/>
            </w:tcBorders>
            <w:shd w:val="clear" w:color="auto" w:fill="DBDBDB"/>
          </w:tcPr>
          <w:p>
            <w:pPr>
              <w:jc w:val="right"/>
              <w:spacing w:after="0" w:line="126" w:lineRule="exact"/>
              <w:rPr>
                <w:sz w:val="20"/>
                <w:szCs w:val="20"/>
                <w:color w:val="auto"/>
              </w:rPr>
            </w:pPr>
            <w:r>
              <w:rPr>
                <w:rFonts w:ascii="Calibri" w:cs="Calibri" w:eastAsia="Calibri" w:hAnsi="Calibri"/>
                <w:sz w:val="11"/>
                <w:szCs w:val="11"/>
                <w:color w:val="auto"/>
              </w:rPr>
              <w:t>161.7</w:t>
            </w:r>
          </w:p>
        </w:tc>
        <w:tc>
          <w:tcPr>
            <w:tcW w:w="0" w:type="dxa"/>
            <w:vAlign w:val="bottom"/>
          </w:tcPr>
          <w:p>
            <w:pPr>
              <w:spacing w:after="0"/>
              <w:rPr>
                <w:sz w:val="1"/>
                <w:szCs w:val="1"/>
                <w:color w:val="auto"/>
              </w:rPr>
            </w:pPr>
          </w:p>
        </w:tc>
      </w:tr>
      <w:tr>
        <w:trPr>
          <w:trHeight w:val="135"/>
        </w:trPr>
        <w:tc>
          <w:tcPr>
            <w:tcW w:w="8380" w:type="dxa"/>
            <w:vAlign w:val="bottom"/>
          </w:tcPr>
          <w:p>
            <w:pPr>
              <w:ind w:left="20"/>
              <w:spacing w:after="0"/>
              <w:rPr>
                <w:sz w:val="20"/>
                <w:szCs w:val="20"/>
                <w:color w:val="auto"/>
              </w:rPr>
            </w:pPr>
            <w:r>
              <w:rPr>
                <w:rFonts w:ascii="Calibri" w:cs="Calibri" w:eastAsia="Calibri" w:hAnsi="Calibri"/>
                <w:sz w:val="11"/>
                <w:szCs w:val="11"/>
                <w:color w:val="auto"/>
              </w:rPr>
              <w:t>South America</w:t>
            </w:r>
          </w:p>
        </w:tc>
        <w:tc>
          <w:tcPr>
            <w:tcW w:w="540" w:type="dxa"/>
            <w:vAlign w:val="bottom"/>
          </w:tcPr>
          <w:p>
            <w:pPr>
              <w:spacing w:after="0"/>
              <w:rPr>
                <w:sz w:val="11"/>
                <w:szCs w:val="11"/>
                <w:color w:val="auto"/>
              </w:rPr>
            </w:pPr>
          </w:p>
        </w:tc>
        <w:tc>
          <w:tcPr>
            <w:tcW w:w="900" w:type="dxa"/>
            <w:vAlign w:val="bottom"/>
          </w:tcPr>
          <w:p>
            <w:pPr>
              <w:jc w:val="right"/>
              <w:ind w:right="103"/>
              <w:spacing w:after="0"/>
              <w:rPr>
                <w:sz w:val="20"/>
                <w:szCs w:val="20"/>
                <w:color w:val="auto"/>
              </w:rPr>
            </w:pPr>
            <w:r>
              <w:rPr>
                <w:rFonts w:ascii="Calibri" w:cs="Calibri" w:eastAsia="Calibri" w:hAnsi="Calibri"/>
                <w:sz w:val="11"/>
                <w:szCs w:val="11"/>
                <w:color w:val="auto"/>
              </w:rPr>
              <w:t>331.9</w:t>
            </w:r>
          </w:p>
        </w:tc>
        <w:tc>
          <w:tcPr>
            <w:tcW w:w="7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Calibri" w:cs="Calibri" w:eastAsia="Calibri" w:hAnsi="Calibri"/>
                <w:sz w:val="11"/>
                <w:szCs w:val="11"/>
                <w:color w:val="auto"/>
              </w:rPr>
              <w:t>261.7</w:t>
            </w:r>
          </w:p>
        </w:tc>
        <w:tc>
          <w:tcPr>
            <w:tcW w:w="0" w:type="dxa"/>
            <w:vAlign w:val="bottom"/>
          </w:tcPr>
          <w:p>
            <w:pPr>
              <w:spacing w:after="0"/>
              <w:rPr>
                <w:sz w:val="1"/>
                <w:szCs w:val="1"/>
                <w:color w:val="auto"/>
              </w:rPr>
            </w:pPr>
          </w:p>
        </w:tc>
      </w:tr>
      <w:tr>
        <w:trPr>
          <w:trHeight w:val="46"/>
        </w:trPr>
        <w:tc>
          <w:tcPr>
            <w:tcW w:w="8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38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Europe</w:t>
            </w:r>
          </w:p>
        </w:tc>
        <w:tc>
          <w:tcPr>
            <w:tcW w:w="54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ind w:right="103"/>
              <w:spacing w:after="0"/>
              <w:rPr>
                <w:sz w:val="20"/>
                <w:szCs w:val="20"/>
                <w:color w:val="auto"/>
              </w:rPr>
            </w:pPr>
            <w:r>
              <w:rPr>
                <w:rFonts w:ascii="Calibri" w:cs="Calibri" w:eastAsia="Calibri" w:hAnsi="Calibri"/>
                <w:sz w:val="11"/>
                <w:szCs w:val="11"/>
                <w:color w:val="auto"/>
              </w:rPr>
              <w:t>4.8</w:t>
            </w:r>
          </w:p>
        </w:tc>
        <w:tc>
          <w:tcPr>
            <w:tcW w:w="700" w:type="dxa"/>
            <w:vAlign w:val="bottom"/>
            <w:tcBorders>
              <w:bottom w:val="single" w:sz="8" w:color="DBDBDB"/>
            </w:tcBorders>
            <w:shd w:val="clear" w:color="auto" w:fill="DBDBDB"/>
          </w:tcPr>
          <w:p>
            <w:pPr>
              <w:spacing w:after="0"/>
              <w:rPr>
                <w:sz w:val="15"/>
                <w:szCs w:val="15"/>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1"/>
                <w:szCs w:val="11"/>
                <w:color w:val="auto"/>
              </w:rPr>
              <w:t>0.8</w:t>
            </w:r>
          </w:p>
        </w:tc>
        <w:tc>
          <w:tcPr>
            <w:tcW w:w="0" w:type="dxa"/>
            <w:vAlign w:val="bottom"/>
          </w:tcPr>
          <w:p>
            <w:pPr>
              <w:spacing w:after="0"/>
              <w:rPr>
                <w:sz w:val="1"/>
                <w:szCs w:val="1"/>
                <w:color w:val="auto"/>
              </w:rPr>
            </w:pPr>
          </w:p>
        </w:tc>
      </w:tr>
      <w:tr>
        <w:trPr>
          <w:trHeight w:val="125"/>
        </w:trPr>
        <w:tc>
          <w:tcPr>
            <w:tcW w:w="8380" w:type="dxa"/>
            <w:vAlign w:val="bottom"/>
            <w:tcBorders>
              <w:top w:val="single" w:sz="8" w:color="auto"/>
            </w:tcBorders>
          </w:tcPr>
          <w:p>
            <w:pPr>
              <w:ind w:left="20"/>
              <w:spacing w:after="0" w:line="126" w:lineRule="exact"/>
              <w:rPr>
                <w:sz w:val="20"/>
                <w:szCs w:val="20"/>
                <w:color w:val="auto"/>
              </w:rPr>
            </w:pPr>
            <w:r>
              <w:rPr>
                <w:rFonts w:ascii="Calibri" w:cs="Calibri" w:eastAsia="Calibri" w:hAnsi="Calibri"/>
                <w:sz w:val="11"/>
                <w:szCs w:val="11"/>
                <w:color w:val="auto"/>
              </w:rPr>
              <w:t>Property, plant and equipment, net</w:t>
            </w:r>
          </w:p>
        </w:tc>
        <w:tc>
          <w:tcPr>
            <w:tcW w:w="540" w:type="dxa"/>
            <w:vAlign w:val="bottom"/>
            <w:tcBorders>
              <w:top w:val="single" w:sz="8" w:color="auto"/>
            </w:tcBorders>
          </w:tcPr>
          <w:p>
            <w:pPr>
              <w:jc w:val="right"/>
              <w:ind w:right="423"/>
              <w:spacing w:after="0" w:line="126" w:lineRule="exact"/>
              <w:rPr>
                <w:sz w:val="20"/>
                <w:szCs w:val="20"/>
                <w:color w:val="auto"/>
              </w:rPr>
            </w:pPr>
            <w:r>
              <w:rPr>
                <w:rFonts w:ascii="Calibri" w:cs="Calibri" w:eastAsia="Calibri" w:hAnsi="Calibri"/>
                <w:sz w:val="11"/>
                <w:szCs w:val="11"/>
                <w:color w:val="auto"/>
                <w:w w:val="70"/>
              </w:rPr>
              <w:t>$</w:t>
            </w:r>
          </w:p>
        </w:tc>
        <w:tc>
          <w:tcPr>
            <w:tcW w:w="900" w:type="dxa"/>
            <w:vAlign w:val="bottom"/>
            <w:tcBorders>
              <w:top w:val="single" w:sz="8" w:color="auto"/>
            </w:tcBorders>
          </w:tcPr>
          <w:p>
            <w:pPr>
              <w:jc w:val="right"/>
              <w:ind w:right="103"/>
              <w:spacing w:after="0" w:line="126" w:lineRule="exact"/>
              <w:rPr>
                <w:sz w:val="20"/>
                <w:szCs w:val="20"/>
                <w:color w:val="auto"/>
              </w:rPr>
            </w:pPr>
            <w:r>
              <w:rPr>
                <w:rFonts w:ascii="Calibri" w:cs="Calibri" w:eastAsia="Calibri" w:hAnsi="Calibri"/>
                <w:sz w:val="11"/>
                <w:szCs w:val="11"/>
                <w:color w:val="auto"/>
              </w:rPr>
              <w:t>489.7</w:t>
            </w:r>
          </w:p>
        </w:tc>
        <w:tc>
          <w:tcPr>
            <w:tcW w:w="700" w:type="dxa"/>
            <w:vAlign w:val="bottom"/>
            <w:tcBorders>
              <w:top w:val="single" w:sz="8" w:color="auto"/>
            </w:tcBorders>
          </w:tcPr>
          <w:p>
            <w:pPr>
              <w:jc w:val="right"/>
              <w:ind w:right="443"/>
              <w:spacing w:after="0" w:line="126" w:lineRule="exact"/>
              <w:rPr>
                <w:sz w:val="20"/>
                <w:szCs w:val="20"/>
                <w:color w:val="auto"/>
              </w:rPr>
            </w:pPr>
            <w:r>
              <w:rPr>
                <w:rFonts w:ascii="Calibri" w:cs="Calibri" w:eastAsia="Calibri" w:hAnsi="Calibri"/>
                <w:sz w:val="11"/>
                <w:szCs w:val="11"/>
                <w:color w:val="auto"/>
              </w:rPr>
              <w:t>$</w:t>
            </w:r>
          </w:p>
        </w:tc>
        <w:tc>
          <w:tcPr>
            <w:tcW w:w="7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1"/>
                <w:szCs w:val="11"/>
                <w:color w:val="auto"/>
              </w:rPr>
              <w:t>424.2</w:t>
            </w:r>
          </w:p>
        </w:tc>
        <w:tc>
          <w:tcPr>
            <w:tcW w:w="0" w:type="dxa"/>
            <w:vAlign w:val="bottom"/>
          </w:tcPr>
          <w:p>
            <w:pPr>
              <w:spacing w:after="0"/>
              <w:rPr>
                <w:sz w:val="1"/>
                <w:szCs w:val="1"/>
                <w:color w:val="auto"/>
              </w:rPr>
            </w:pPr>
          </w:p>
        </w:tc>
      </w:tr>
      <w:tr>
        <w:trPr>
          <w:trHeight w:val="46"/>
        </w:trPr>
        <w:tc>
          <w:tcPr>
            <w:tcW w:w="83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0" w:hanging="415"/>
        <w:spacing w:after="0"/>
        <w:tabs>
          <w:tab w:leader="none" w:pos="420" w:val="left"/>
        </w:tabs>
        <w:numPr>
          <w:ilvl w:val="0"/>
          <w:numId w:val="35"/>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Subsequent Event</w:t>
      </w:r>
    </w:p>
    <w:p>
      <w:pPr>
        <w:spacing w:after="0" w:line="171" w:lineRule="exact"/>
        <w:rPr>
          <w:sz w:val="20"/>
          <w:szCs w:val="20"/>
          <w:color w:val="auto"/>
        </w:rPr>
      </w:pPr>
    </w:p>
    <w:p>
      <w:pPr>
        <w:ind w:right="80" w:firstLine="509"/>
        <w:spacing w:after="0" w:line="233" w:lineRule="auto"/>
        <w:rPr>
          <w:sz w:val="20"/>
          <w:szCs w:val="20"/>
          <w:color w:val="auto"/>
        </w:rPr>
      </w:pPr>
      <w:r>
        <w:rPr>
          <w:rFonts w:ascii="Calibri" w:cs="Calibri" w:eastAsia="Calibri" w:hAnsi="Calibri"/>
          <w:sz w:val="13"/>
          <w:szCs w:val="13"/>
          <w:color w:val="auto"/>
        </w:rPr>
        <w:t>In November 2022, Moruga entered into a 25-year lease agreement with a company owned by one of our directors for approximately 1,500 acres of land in Chao, Peru. The land lease was secured for the new capital project approved by the shareholders of Moruga in May 2022 (see Note 3). Approximately two-thirds of the area was delivered upon executon of the lease, with the remainder expected to be delivered at the start of fscal 2024. Total undiscounted lease payments associated with the lease agreement are approximately $60 million. The rental rate in the lease was comparable to market rates and refectve of an arms-length transacton.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F-35</w:t>
      </w:r>
    </w:p>
    <w:p>
      <w:pPr>
        <w:sectPr>
          <w:pgSz w:w="11900" w:h="16838" w:orient="portrait"/>
          <w:cols w:equalWidth="0" w:num="1">
            <w:col w:w="11280"/>
          </w:cols>
          <w:pgMar w:left="300" w:top="112" w:right="3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MISSION PRODUCE, INC.</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2020 INCENTIVE AWARD PLAN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PERFORMANCE-VESTING RESTRICTED STOCK UNIT GRANT NOTICE (20XX – 20XX)</w:t>
      </w:r>
    </w:p>
    <w:p>
      <w:pPr>
        <w:spacing w:after="0" w:line="147" w:lineRule="exact"/>
        <w:rPr>
          <w:sz w:val="20"/>
          <w:szCs w:val="20"/>
          <w:color w:val="auto"/>
        </w:rPr>
      </w:pPr>
    </w:p>
    <w:p>
      <w:pPr>
        <w:ind w:firstLine="347"/>
        <w:spacing w:after="0" w:line="226" w:lineRule="auto"/>
        <w:rPr>
          <w:sz w:val="20"/>
          <w:szCs w:val="20"/>
          <w:color w:val="auto"/>
        </w:rPr>
      </w:pPr>
      <w:r>
        <w:rPr>
          <w:rFonts w:ascii="Times New Roman" w:cs="Times New Roman" w:eastAsia="Times New Roman" w:hAnsi="Times New Roman"/>
          <w:sz w:val="14"/>
          <w:szCs w:val="14"/>
          <w:color w:val="auto"/>
        </w:rPr>
        <w:t>Mission Produce,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has granted to the participant listed below (“</w:t>
      </w:r>
      <w:r>
        <w:rPr>
          <w:rFonts w:ascii="Times New Roman" w:cs="Times New Roman" w:eastAsia="Times New Roman" w:hAnsi="Times New Roman"/>
          <w:sz w:val="14"/>
          <w:szCs w:val="14"/>
          <w:b w:val="1"/>
          <w:bCs w:val="1"/>
          <w:i w:val="1"/>
          <w:iCs w:val="1"/>
          <w:color w:val="auto"/>
        </w:rPr>
        <w:t>Participant</w:t>
      </w:r>
      <w:r>
        <w:rPr>
          <w:rFonts w:ascii="Times New Roman" w:cs="Times New Roman" w:eastAsia="Times New Roman" w:hAnsi="Times New Roman"/>
          <w:sz w:val="14"/>
          <w:szCs w:val="14"/>
          <w:color w:val="auto"/>
        </w:rPr>
        <w:t>”) the performance-vesting Restricted Stock Units (the “</w:t>
      </w:r>
      <w:r>
        <w:rPr>
          <w:rFonts w:ascii="Times New Roman" w:cs="Times New Roman" w:eastAsia="Times New Roman" w:hAnsi="Times New Roman"/>
          <w:sz w:val="14"/>
          <w:szCs w:val="14"/>
          <w:b w:val="1"/>
          <w:bCs w:val="1"/>
          <w:i w:val="1"/>
          <w:iCs w:val="1"/>
          <w:color w:val="auto"/>
        </w:rPr>
        <w:t>PSUs</w:t>
      </w:r>
      <w:r>
        <w:rPr>
          <w:rFonts w:ascii="Times New Roman" w:cs="Times New Roman" w:eastAsia="Times New Roman" w:hAnsi="Times New Roman"/>
          <w:sz w:val="14"/>
          <w:szCs w:val="14"/>
          <w:color w:val="auto"/>
        </w:rPr>
        <w:t>”) described in this Performance-Vesting Restricted Stock Unit Grant Notice (this “</w:t>
      </w:r>
      <w:r>
        <w:rPr>
          <w:rFonts w:ascii="Times New Roman" w:cs="Times New Roman" w:eastAsia="Times New Roman" w:hAnsi="Times New Roman"/>
          <w:sz w:val="14"/>
          <w:szCs w:val="14"/>
          <w:b w:val="1"/>
          <w:bCs w:val="1"/>
          <w:i w:val="1"/>
          <w:iCs w:val="1"/>
          <w:color w:val="auto"/>
        </w:rPr>
        <w:t>Grant Notice</w:t>
      </w:r>
      <w:r>
        <w:rPr>
          <w:rFonts w:ascii="Times New Roman" w:cs="Times New Roman" w:eastAsia="Times New Roman" w:hAnsi="Times New Roman"/>
          <w:sz w:val="14"/>
          <w:szCs w:val="14"/>
          <w:color w:val="auto"/>
        </w:rPr>
        <w:t>”), subject to the terms and conditions of the Mission Produce, Inc. 2020 Incentive Award Plan (as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amended from time to time, the “</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xml:space="preserve">”) and the Performance-Vesting Restricted Stock Unit Agreement attached hereto as </w:t>
      </w:r>
      <w:r>
        <w:rPr>
          <w:rFonts w:ascii="Times New Roman" w:cs="Times New Roman" w:eastAsia="Times New Roman" w:hAnsi="Times New Roman"/>
          <w:sz w:val="14"/>
          <w:szCs w:val="14"/>
          <w:b w:val="1"/>
          <w:bCs w:val="1"/>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1280"/>
          </w:cols>
          <w:pgMar w:left="300" w:top="123" w:right="3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Insert Participant Name</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sectPr>
          <w:pgSz w:w="11900" w:h="16838" w:orient="portrait"/>
          <w:cols w:equalWidth="0" w:num="2">
            <w:col w:w="3280" w:space="720"/>
            <w:col w:w="7280"/>
          </w:cols>
          <w:pgMar w:left="300" w:top="123" w:right="3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Insert Grant Date</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sectPr>
          <w:pgSz w:w="11900" w:h="16838" w:orient="portrait"/>
          <w:cols w:equalWidth="0" w:num="2">
            <w:col w:w="3280" w:space="720"/>
            <w:col w:w="7280"/>
          </w:cols>
          <w:pgMar w:left="300" w:top="123" w:right="3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3"/>
          <w:szCs w:val="13"/>
          <w:b w:val="1"/>
          <w:bCs w:val="1"/>
          <w:color w:val="auto"/>
        </w:rPr>
        <w:t>Target Number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Insert Target Number of PSUs</w:t>
      </w:r>
      <w:r>
        <w:rPr>
          <w:rFonts w:ascii="Times New Roman" w:cs="Times New Roman" w:eastAsia="Times New Roman" w:hAnsi="Times New Roman"/>
          <w:sz w:val="13"/>
          <w:szCs w:val="13"/>
          <w:color w:val="auto"/>
        </w:rPr>
        <w:t>]</w:t>
      </w:r>
    </w:p>
    <w:p>
      <w:pPr>
        <w:spacing w:after="0" w:line="116" w:lineRule="exact"/>
        <w:rPr>
          <w:sz w:val="20"/>
          <w:szCs w:val="20"/>
          <w:color w:val="auto"/>
        </w:rPr>
      </w:pPr>
    </w:p>
    <w:p>
      <w:pPr>
        <w:sectPr>
          <w:pgSz w:w="11900" w:h="16838" w:orient="portrait"/>
          <w:cols w:equalWidth="0" w:num="2">
            <w:col w:w="3280" w:space="720"/>
            <w:col w:w="7280"/>
          </w:cols>
          <w:pgMar w:left="300" w:top="123" w:right="3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b w:val="1"/>
          <w:bCs w:val="1"/>
          <w:color w:val="auto"/>
        </w:rPr>
        <w:t>Maximum Number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Insert 200% of Target Number of PSUs</w:t>
      </w:r>
      <w:r>
        <w:rPr>
          <w:rFonts w:ascii="Times New Roman" w:cs="Times New Roman" w:eastAsia="Times New Roman" w:hAnsi="Times New Roman"/>
          <w:sz w:val="13"/>
          <w:szCs w:val="13"/>
          <w:color w:val="auto"/>
        </w:rPr>
        <w:t>]</w:t>
      </w:r>
    </w:p>
    <w:p>
      <w:pPr>
        <w:spacing w:after="0" w:line="211" w:lineRule="exact"/>
        <w:rPr>
          <w:sz w:val="20"/>
          <w:szCs w:val="20"/>
          <w:color w:val="auto"/>
        </w:rPr>
      </w:pPr>
    </w:p>
    <w:p>
      <w:pPr>
        <w:sectPr>
          <w:pgSz w:w="11900" w:h="16838" w:orient="portrait"/>
          <w:cols w:equalWidth="0" w:num="2">
            <w:col w:w="3280" w:space="720"/>
            <w:col w:w="7280"/>
          </w:cols>
          <w:pgMar w:left="300" w:top="123" w:right="319" w:bottom="1440" w:gutter="0" w:footer="0" w:header="0"/>
          <w:type w:val="continuous"/>
        </w:sectPr>
      </w:pP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Vesting Schedule: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PSUs shall vest as provided in Article II of the Agreement.</w:t>
      </w:r>
    </w:p>
    <w:p>
      <w:pPr>
        <w:spacing w:after="0" w:line="200" w:lineRule="exact"/>
        <w:rPr>
          <w:sz w:val="20"/>
          <w:szCs w:val="20"/>
          <w:color w:val="auto"/>
        </w:rPr>
      </w:pPr>
    </w:p>
    <w:p>
      <w:pPr>
        <w:sectPr>
          <w:pgSz w:w="11900" w:h="16838" w:orient="portrait"/>
          <w:cols w:equalWidth="0" w:num="2">
            <w:col w:w="3280" w:space="720"/>
            <w:col w:w="7280"/>
          </w:cols>
          <w:pgMar w:left="300" w:top="123" w:right="319" w:bottom="1440" w:gutter="0" w:footer="0" w:header="0"/>
          <w:type w:val="continuous"/>
        </w:sectPr>
      </w:pPr>
    </w:p>
    <w:p>
      <w:pPr>
        <w:spacing w:after="0" w:line="1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By accepting (whether in writing, electronically or otherwise) the PSUs, Participant agrees to be bound by the terms of this Grant Notice, the Plan and the Agreement. Participant has reviewed</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6" w:lineRule="exact"/>
        <w:rPr>
          <w:sz w:val="20"/>
          <w:szCs w:val="20"/>
          <w:color w:val="auto"/>
        </w:rPr>
      </w:pPr>
    </w:p>
    <w:p>
      <w:pPr>
        <w:ind w:left="20"/>
        <w:spacing w:after="0"/>
        <w:tabs>
          <w:tab w:leader="none" w:pos="6940" w:val="left"/>
        </w:tabs>
        <w:rPr>
          <w:sz w:val="20"/>
          <w:szCs w:val="20"/>
          <w:color w:val="auto"/>
        </w:rPr>
      </w:pPr>
      <w:r>
        <w:rPr>
          <w:rFonts w:ascii="Times New Roman" w:cs="Times New Roman" w:eastAsia="Times New Roman" w:hAnsi="Times New Roman"/>
          <w:sz w:val="14"/>
          <w:szCs w:val="14"/>
          <w:b w:val="1"/>
          <w:bCs w:val="1"/>
          <w:color w:val="auto"/>
        </w:rPr>
        <w:t>MISSION PRODUCE, INC.</w:t>
      </w:r>
      <w:r>
        <w:rPr>
          <w:sz w:val="20"/>
          <w:szCs w:val="20"/>
          <w:color w:val="auto"/>
        </w:rPr>
        <w:tab/>
      </w:r>
      <w:r>
        <w:rPr>
          <w:rFonts w:ascii="Times New Roman" w:cs="Times New Roman" w:eastAsia="Times New Roman" w:hAnsi="Times New Roman"/>
          <w:sz w:val="13"/>
          <w:szCs w:val="13"/>
          <w:b w:val="1"/>
          <w:bCs w:val="1"/>
          <w:color w:val="auto"/>
        </w:rPr>
        <w:t>PARTICIPANT</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20"/>
        <w:spacing w:after="0"/>
        <w:tabs>
          <w:tab w:leader="none" w:pos="694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-101600</wp:posOffset>
            </wp:positionV>
            <wp:extent cx="65887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658876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19050</wp:posOffset>
            </wp:positionV>
            <wp:extent cx="30314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3031490" cy="698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-101600</wp:posOffset>
            </wp:positionV>
            <wp:extent cx="30314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30314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3" w:right="319"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A</w:t>
      </w:r>
    </w:p>
    <w:p>
      <w:pPr>
        <w:jc w:val="center"/>
        <w:spacing w:after="0"/>
        <w:rPr>
          <w:sz w:val="20"/>
          <w:szCs w:val="20"/>
          <w:color w:val="auto"/>
        </w:rPr>
      </w:pPr>
      <w:r>
        <w:rPr>
          <w:rFonts w:ascii="Times New Roman" w:cs="Times New Roman" w:eastAsia="Times New Roman" w:hAnsi="Times New Roman"/>
          <w:sz w:val="14"/>
          <w:szCs w:val="14"/>
          <w:b w:val="1"/>
          <w:bCs w:val="1"/>
          <w:color w:val="auto"/>
        </w:rPr>
        <w:t>PERFORMANCE-VESTING RESTRICTED STOCK UNIT AGREEMENT</w:t>
      </w:r>
    </w:p>
    <w:p>
      <w:pPr>
        <w:spacing w:after="0" w:line="139" w:lineRule="exact"/>
        <w:rPr>
          <w:sz w:val="20"/>
          <w:szCs w:val="20"/>
          <w:color w:val="auto"/>
        </w:rPr>
      </w:pPr>
    </w:p>
    <w:p>
      <w:pPr>
        <w:ind w:firstLine="347"/>
        <w:spacing w:after="0" w:line="219" w:lineRule="auto"/>
        <w:rPr>
          <w:sz w:val="20"/>
          <w:szCs w:val="20"/>
          <w:color w:val="auto"/>
        </w:rPr>
      </w:pPr>
      <w:r>
        <w:rPr>
          <w:rFonts w:ascii="Times New Roman" w:cs="Times New Roman" w:eastAsia="Times New Roman" w:hAnsi="Times New Roman"/>
          <w:sz w:val="14"/>
          <w:szCs w:val="14"/>
          <w:color w:val="auto"/>
        </w:rPr>
        <w:t>Capitalized terms not specifically defined in this Performance-Vesting Restricted Stock Unit Agreement (this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have the meanings specified in the Grant Notice or, if not defined in the Grant Notice, in the Plan. Except as the context may otherwise require, references to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shall be deemed to include its Subsidiaries and affiliates.</w:t>
      </w:r>
    </w:p>
    <w:p>
      <w:pPr>
        <w:ind w:left="5140"/>
        <w:spacing w:after="0" w:line="221" w:lineRule="auto"/>
        <w:rPr>
          <w:sz w:val="20"/>
          <w:szCs w:val="20"/>
          <w:color w:val="auto"/>
        </w:rPr>
      </w:pPr>
      <w:r>
        <w:rPr>
          <w:rFonts w:ascii="Times New Roman" w:cs="Times New Roman" w:eastAsia="Times New Roman" w:hAnsi="Times New Roman"/>
          <w:sz w:val="14"/>
          <w:szCs w:val="14"/>
          <w:b w:val="1"/>
          <w:bCs w:val="1"/>
          <w:color w:val="auto"/>
        </w:rPr>
        <w:t>Article 1.</w:t>
      </w:r>
    </w:p>
    <w:p>
      <w:pPr>
        <w:ind w:left="5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 xml:space="preserve">1.a </w:t>
      </w:r>
      <w:r>
        <w:rPr>
          <w:rFonts w:ascii="Times New Roman" w:cs="Times New Roman" w:eastAsia="Times New Roman" w:hAnsi="Times New Roman"/>
          <w:sz w:val="14"/>
          <w:szCs w:val="14"/>
          <w:u w:val="single" w:color="auto"/>
          <w:color w:val="auto"/>
        </w:rPr>
        <w:t>Award of PSUs</w:t>
      </w:r>
      <w:r>
        <w:rPr>
          <w:rFonts w:ascii="Times New Roman" w:cs="Times New Roman" w:eastAsia="Times New Roman" w:hAnsi="Times New Roman"/>
          <w:sz w:val="14"/>
          <w:szCs w:val="14"/>
          <w:color w:val="auto"/>
        </w:rPr>
        <w:t>. The Company has granted the PSUs to Participant effective as of the Grant Date set forth in the Grant Notice (the “</w:t>
      </w:r>
      <w:r>
        <w:rPr>
          <w:rFonts w:ascii="Times New Roman" w:cs="Times New Roman" w:eastAsia="Times New Roman" w:hAnsi="Times New Roman"/>
          <w:sz w:val="14"/>
          <w:szCs w:val="14"/>
          <w:b w:val="1"/>
          <w:bCs w:val="1"/>
          <w:i w:val="1"/>
          <w:iCs w:val="1"/>
          <w:color w:val="auto"/>
        </w:rPr>
        <w:t>Grant Date</w:t>
      </w:r>
      <w:r>
        <w:rPr>
          <w:rFonts w:ascii="Times New Roman" w:cs="Times New Roman" w:eastAsia="Times New Roman" w:hAnsi="Times New Roman"/>
          <w:sz w:val="14"/>
          <w:szCs w:val="14"/>
          <w:color w:val="auto"/>
        </w:rPr>
        <w:t>”). Each PSU represents the right to receive one Share as set forth in this Agreement. Participant will have no right to the distribution of any Shares until the time (if ever) the PSUs have vested.</w:t>
      </w:r>
    </w:p>
    <w:p>
      <w:pPr>
        <w:spacing w:after="0" w:line="13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 xml:space="preserve">1.b </w:t>
      </w:r>
      <w:r>
        <w:rPr>
          <w:rFonts w:ascii="Times New Roman" w:cs="Times New Roman" w:eastAsia="Times New Roman" w:hAnsi="Times New Roman"/>
          <w:sz w:val="14"/>
          <w:szCs w:val="14"/>
          <w:u w:val="single" w:color="auto"/>
          <w:color w:val="auto"/>
        </w:rPr>
        <w:t>Incorporation of Terms of Plan</w:t>
      </w:r>
      <w:r>
        <w:rPr>
          <w:rFonts w:ascii="Times New Roman" w:cs="Times New Roman" w:eastAsia="Times New Roman" w:hAnsi="Times New Roman"/>
          <w:sz w:val="14"/>
          <w:szCs w:val="14"/>
          <w:color w:val="auto"/>
        </w:rPr>
        <w:t>. The PSUs are subject to the terms and conditions set forth in this Agreement and the Plan, which is incorporated herein by reference. In the event of any inconsistency between the Plan and this Agreement, the terms of the Plan will control.</w:t>
      </w:r>
    </w:p>
    <w:p>
      <w:pPr>
        <w:spacing w:after="0" w:line="125"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1.c</w:t>
      </w:r>
      <w:r>
        <w:rPr>
          <w:sz w:val="20"/>
          <w:szCs w:val="20"/>
          <w:color w:val="auto"/>
        </w:rPr>
        <w:tab/>
      </w:r>
      <w:r>
        <w:rPr>
          <w:rFonts w:ascii="Times New Roman" w:cs="Times New Roman" w:eastAsia="Times New Roman" w:hAnsi="Times New Roman"/>
          <w:sz w:val="14"/>
          <w:szCs w:val="14"/>
          <w:u w:val="single" w:color="auto"/>
          <w:color w:val="auto"/>
        </w:rPr>
        <w:t>Unsecured Promise</w:t>
      </w:r>
      <w:r>
        <w:rPr>
          <w:rFonts w:ascii="Times New Roman" w:cs="Times New Roman" w:eastAsia="Times New Roman" w:hAnsi="Times New Roman"/>
          <w:sz w:val="14"/>
          <w:szCs w:val="14"/>
          <w:color w:val="auto"/>
        </w:rPr>
        <w:t>. The PSUs will at all times prior to settlement represent an unsecured Company obligation payable only from the Company’s general assets.</w:t>
      </w:r>
    </w:p>
    <w:p>
      <w:pPr>
        <w:spacing w:after="0" w:line="15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1.d</w:t>
      </w:r>
      <w:r>
        <w:rPr>
          <w:sz w:val="20"/>
          <w:szCs w:val="20"/>
          <w:color w:val="auto"/>
        </w:rPr>
        <w:tab/>
      </w: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520" w:firstLine="376"/>
        <w:spacing w:after="0" w:line="226" w:lineRule="auto"/>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i w:val="1"/>
          <w:iCs w:val="1"/>
          <w:color w:val="auto"/>
        </w:rPr>
        <w:t>Adjusted Net Income per Share</w:t>
      </w:r>
      <w:r>
        <w:rPr>
          <w:rFonts w:ascii="Times New Roman" w:cs="Times New Roman" w:eastAsia="Times New Roman" w:hAnsi="Times New Roman"/>
          <w:sz w:val="14"/>
          <w:szCs w:val="14"/>
          <w:color w:val="auto"/>
        </w:rPr>
        <w:t>” means the Company’s net income on a per share basis, as determined pursuant to U.S. Generally Accepted Accounting Principles (“</w:t>
      </w:r>
      <w:r>
        <w:rPr>
          <w:rFonts w:ascii="Times New Roman" w:cs="Times New Roman" w:eastAsia="Times New Roman" w:hAnsi="Times New Roman"/>
          <w:sz w:val="14"/>
          <w:szCs w:val="14"/>
          <w:b w:val="1"/>
          <w:bCs w:val="1"/>
          <w:i w:val="1"/>
          <w:iCs w:val="1"/>
          <w:color w:val="auto"/>
        </w:rPr>
        <w:t>GAAP</w:t>
      </w:r>
      <w:r>
        <w:rPr>
          <w:rFonts w:ascii="Times New Roman" w:cs="Times New Roman" w:eastAsia="Times New Roman" w:hAnsi="Times New Roman"/>
          <w:sz w:val="14"/>
          <w:szCs w:val="14"/>
          <w:color w:val="auto"/>
        </w:rPr>
        <w:t>”) issued by the Financial Accounting Standard Board, adjusted to mitigate the impact of each of the following: (i) gains or losses on interest rate swaps, (ii) foreign currency exchange rates,</w:t>
      </w:r>
    </w:p>
    <w:p>
      <w:pPr>
        <w:spacing w:after="0" w:line="1" w:lineRule="exact"/>
        <w:rPr>
          <w:sz w:val="20"/>
          <w:szCs w:val="20"/>
          <w:color w:val="auto"/>
        </w:rPr>
      </w:pPr>
    </w:p>
    <w:p>
      <w:pPr>
        <w:ind w:left="520" w:hanging="6"/>
        <w:spacing w:after="0" w:line="228" w:lineRule="auto"/>
        <w:tabs>
          <w:tab w:leader="none" w:pos="76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 (iv) changes to tax rates, GAAP or Applicable Laws during the Performance Period, (v) settlements and expenses of non-ordinary course litigation or administrative proceedings, and (vi) other non-recurring events that are unusual or extraordinary in nature, in each case, as determined in the good faith discretion of the Board.</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(ii)“</w:t>
      </w:r>
      <w:r>
        <w:rPr>
          <w:rFonts w:ascii="Times New Roman" w:cs="Times New Roman" w:eastAsia="Times New Roman" w:hAnsi="Times New Roman"/>
          <w:sz w:val="14"/>
          <w:szCs w:val="14"/>
          <w:b w:val="1"/>
          <w:bCs w:val="1"/>
          <w:i w:val="1"/>
          <w:iCs w:val="1"/>
          <w:color w:val="auto"/>
        </w:rPr>
        <w:t>Cause</w:t>
      </w:r>
      <w:r>
        <w:rPr>
          <w:rFonts w:ascii="Times New Roman" w:cs="Times New Roman" w:eastAsia="Times New Roman" w:hAnsi="Times New Roman"/>
          <w:sz w:val="14"/>
          <w:szCs w:val="14"/>
          <w:color w:val="auto"/>
        </w:rPr>
        <w:t>” means the occurrence of any of the following events, as determined by the Board in good faith: (i) Participant’s failure to substantially perform Participant’s duties (other</w:t>
      </w:r>
    </w:p>
    <w:p>
      <w:pPr>
        <w:spacing w:after="0" w:line="6" w:lineRule="exact"/>
        <w:rPr>
          <w:sz w:val="20"/>
          <w:szCs w:val="20"/>
          <w:color w:val="auto"/>
        </w:rPr>
      </w:pPr>
    </w:p>
    <w:p>
      <w:pPr>
        <w:jc w:val="both"/>
        <w:ind w:left="520"/>
        <w:spacing w:after="0" w:line="210" w:lineRule="auto"/>
        <w:rPr>
          <w:sz w:val="20"/>
          <w:szCs w:val="20"/>
          <w:color w:val="auto"/>
        </w:rPr>
      </w:pPr>
      <w:r>
        <w:rPr>
          <w:rFonts w:ascii="Times New Roman" w:cs="Times New Roman" w:eastAsia="Times New Roman" w:hAnsi="Times New Roman"/>
          <w:sz w:val="14"/>
          <w:szCs w:val="14"/>
          <w:color w:val="auto"/>
        </w:rPr>
        <w:t>than a failure resulting from Participant’s Disability), including Participant’s failure to follow any lawful directive from the Board or Participant’s immediate supervisor; (ii) Participant’s material breach of any employment or other written agreement with the Company or its affiliate, or material violation of any code or standard of behavior generally applicable to Employees or executives of the Company; (iii) engaging in conduct that may reasonably result in reputational, economic or financial injury to the Company or its affiliates; (iv) Participant’s commission</w:t>
      </w:r>
    </w:p>
    <w:p>
      <w:pPr>
        <w:spacing w:after="0" w:line="2" w:lineRule="exact"/>
        <w:rPr>
          <w:sz w:val="20"/>
          <w:szCs w:val="20"/>
          <w:color w:val="auto"/>
        </w:rPr>
      </w:pPr>
    </w:p>
    <w:p>
      <w:pPr>
        <w:jc w:val="both"/>
        <w:ind w:left="520"/>
        <w:spacing w:after="0" w:line="210" w:lineRule="auto"/>
        <w:rPr>
          <w:sz w:val="20"/>
          <w:szCs w:val="20"/>
          <w:color w:val="auto"/>
        </w:rPr>
      </w:pPr>
      <w:r>
        <w:rPr>
          <w:rFonts w:ascii="Times New Roman" w:cs="Times New Roman" w:eastAsia="Times New Roman" w:hAnsi="Times New Roman"/>
          <w:sz w:val="14"/>
          <w:szCs w:val="14"/>
          <w:color w:val="auto"/>
        </w:rPr>
        <w:t>of, indictment for or plea of nolo contendere to a felony, any crime involving fraud or embezzlement under federal, state or local laws or a crime involving moral turpitude; (v) Participant’s failure to devote substantially all of Participant’s working time to the business of the Company and its affiliates; (vi) Participant’s unlawful use (including being under the influence) or possession of illegal drugs on the premises of the Company or any of its affiliates or while performing Participant’s duties and responsibilities for the Company or any of its affiliates; (vii)</w:t>
      </w:r>
    </w:p>
    <w:p>
      <w:pPr>
        <w:spacing w:after="0" w:line="2" w:lineRule="exact"/>
        <w:rPr>
          <w:sz w:val="20"/>
          <w:szCs w:val="20"/>
          <w:color w:val="auto"/>
        </w:rPr>
      </w:pPr>
    </w:p>
    <w:p>
      <w:pPr>
        <w:jc w:val="both"/>
        <w:ind w:left="520"/>
        <w:spacing w:after="0" w:line="210" w:lineRule="auto"/>
        <w:rPr>
          <w:sz w:val="20"/>
          <w:szCs w:val="20"/>
          <w:color w:val="auto"/>
        </w:rPr>
      </w:pPr>
      <w:r>
        <w:rPr>
          <w:rFonts w:ascii="Times New Roman" w:cs="Times New Roman" w:eastAsia="Times New Roman" w:hAnsi="Times New Roman"/>
          <w:sz w:val="14"/>
          <w:szCs w:val="14"/>
          <w:color w:val="auto"/>
        </w:rPr>
        <w:t>Participant’s commission of an act of fraud, willful misconduct or gross negligence with respect to the Company or its affiliates, or Participant’s material breach of fiduciary duty against the Company or any of its affiliates; (viii) Participant’s engaging in misconduct in connection with the performance of any of Participant’s duties, including by embezzlement or theft from the Company or its affiliates, misappropriating funds from the Company or its affiliates or securing or attempting to secure personally any profit in connection with any transaction entered into</w:t>
      </w:r>
    </w:p>
    <w:p>
      <w:pPr>
        <w:spacing w:after="0" w:line="2" w:lineRule="exact"/>
        <w:rPr>
          <w:sz w:val="20"/>
          <w:szCs w:val="20"/>
          <w:color w:val="auto"/>
        </w:rPr>
      </w:pPr>
    </w:p>
    <w:p>
      <w:pPr>
        <w:jc w:val="both"/>
        <w:ind w:left="520"/>
        <w:spacing w:after="0" w:line="228" w:lineRule="auto"/>
        <w:rPr>
          <w:sz w:val="20"/>
          <w:szCs w:val="20"/>
          <w:color w:val="auto"/>
        </w:rPr>
      </w:pPr>
      <w:r>
        <w:rPr>
          <w:rFonts w:ascii="Times New Roman" w:cs="Times New Roman" w:eastAsia="Times New Roman" w:hAnsi="Times New Roman"/>
          <w:sz w:val="14"/>
          <w:szCs w:val="14"/>
          <w:color w:val="auto"/>
        </w:rPr>
        <w:t>on behalf of the Company or its affiliates; or (ix) Participant’s disloyalty to the Company or its affiliates, including willfully aiding a competitor or improperly disclosing confidential information.</w:t>
      </w:r>
    </w:p>
    <w:p>
      <w:pPr>
        <w:spacing w:after="0" w:line="122" w:lineRule="exact"/>
        <w:rPr>
          <w:sz w:val="20"/>
          <w:szCs w:val="20"/>
          <w:color w:val="auto"/>
        </w:rPr>
      </w:pPr>
    </w:p>
    <w:p>
      <w:pPr>
        <w:jc w:val="both"/>
        <w:ind w:left="520" w:firstLine="297"/>
        <w:spacing w:after="0" w:line="258" w:lineRule="auto"/>
        <w:rPr>
          <w:sz w:val="20"/>
          <w:szCs w:val="20"/>
          <w:color w:val="auto"/>
        </w:rPr>
      </w:pPr>
      <w:r>
        <w:rPr>
          <w:rFonts w:ascii="Times New Roman" w:cs="Times New Roman" w:eastAsia="Times New Roman" w:hAnsi="Times New Roman"/>
          <w:sz w:val="14"/>
          <w:szCs w:val="14"/>
          <w:color w:val="auto"/>
        </w:rPr>
        <w:t>(iii)“</w:t>
      </w:r>
      <w:r>
        <w:rPr>
          <w:rFonts w:ascii="Times New Roman" w:cs="Times New Roman" w:eastAsia="Times New Roman" w:hAnsi="Times New Roman"/>
          <w:sz w:val="14"/>
          <w:szCs w:val="14"/>
          <w:b w:val="1"/>
          <w:bCs w:val="1"/>
          <w:i w:val="1"/>
          <w:iCs w:val="1"/>
          <w:color w:val="auto"/>
        </w:rPr>
        <w:t>Cumulative Adjusted Net Income per Share</w:t>
      </w:r>
      <w:r>
        <w:rPr>
          <w:rFonts w:ascii="Times New Roman" w:cs="Times New Roman" w:eastAsia="Times New Roman" w:hAnsi="Times New Roman"/>
          <w:sz w:val="14"/>
          <w:szCs w:val="14"/>
          <w:color w:val="auto"/>
        </w:rPr>
        <w:t>” means the sum of the Company’s Adjusted Net Income per Share for each of the three years, or such shorter period due to the occurrence of a Change in Control as provided in Section 2.2 hereof, comprising the Performance Period.</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(iv)“</w:t>
      </w:r>
      <w:r>
        <w:rPr>
          <w:rFonts w:ascii="Times New Roman" w:cs="Times New Roman" w:eastAsia="Times New Roman" w:hAnsi="Times New Roman"/>
          <w:sz w:val="14"/>
          <w:szCs w:val="14"/>
          <w:b w:val="1"/>
          <w:bCs w:val="1"/>
          <w:i w:val="1"/>
          <w:iCs w:val="1"/>
          <w:color w:val="auto"/>
        </w:rPr>
        <w:t>Disability</w:t>
      </w:r>
      <w:r>
        <w:rPr>
          <w:rFonts w:ascii="Times New Roman" w:cs="Times New Roman" w:eastAsia="Times New Roman" w:hAnsi="Times New Roman"/>
          <w:sz w:val="14"/>
          <w:szCs w:val="14"/>
          <w:color w:val="auto"/>
        </w:rPr>
        <w:t>” means Participant is considered “disabled” as such term is defined in Treasury Regulation Section 1.409A-3(i)(4) and any successor provision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23" w:right="3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520" w:firstLine="344"/>
        <w:spacing w:after="0" w:line="226" w:lineRule="auto"/>
        <w:rPr>
          <w:sz w:val="20"/>
          <w:szCs w:val="20"/>
          <w:color w:val="auto"/>
        </w:rPr>
      </w:pPr>
      <w:r>
        <w:rPr>
          <w:rFonts w:ascii="Times New Roman" w:cs="Times New Roman" w:eastAsia="Times New Roman" w:hAnsi="Times New Roman"/>
          <w:sz w:val="14"/>
          <w:szCs w:val="14"/>
          <w:color w:val="auto"/>
        </w:rPr>
        <w:t>(v)“</w:t>
      </w:r>
      <w:r>
        <w:rPr>
          <w:rFonts w:ascii="Times New Roman" w:cs="Times New Roman" w:eastAsia="Times New Roman" w:hAnsi="Times New Roman"/>
          <w:sz w:val="14"/>
          <w:szCs w:val="14"/>
          <w:b w:val="1"/>
          <w:bCs w:val="1"/>
          <w:i w:val="1"/>
          <w:iCs w:val="1"/>
          <w:color w:val="auto"/>
        </w:rPr>
        <w:t>Good Reason</w:t>
      </w:r>
      <w:r>
        <w:rPr>
          <w:rFonts w:ascii="Times New Roman" w:cs="Times New Roman" w:eastAsia="Times New Roman" w:hAnsi="Times New Roman"/>
          <w:sz w:val="14"/>
          <w:szCs w:val="14"/>
          <w:color w:val="auto"/>
        </w:rPr>
        <w:t>” means any of the following actions taken without Cause by the Company and without Participant’s consent: (i) material reduction of Participant’s base compensation; or (ii) material reduction of Participant’s authority, duties, or responsibilities; provided, however, that a change in job position (including a change in title) will not be deemed</w:t>
      </w:r>
    </w:p>
    <w:p>
      <w:pPr>
        <w:spacing w:after="0" w:line="1" w:lineRule="exact"/>
        <w:rPr>
          <w:sz w:val="20"/>
          <w:szCs w:val="20"/>
          <w:color w:val="auto"/>
        </w:rPr>
      </w:pPr>
    </w:p>
    <w:p>
      <w:pPr>
        <w:jc w:val="both"/>
        <w:ind w:left="520"/>
        <w:spacing w:after="0" w:line="210" w:lineRule="auto"/>
        <w:rPr>
          <w:sz w:val="20"/>
          <w:szCs w:val="20"/>
          <w:color w:val="auto"/>
        </w:rPr>
      </w:pPr>
      <w:r>
        <w:rPr>
          <w:rFonts w:ascii="Times New Roman" w:cs="Times New Roman" w:eastAsia="Times New Roman" w:hAnsi="Times New Roman"/>
          <w:sz w:val="14"/>
          <w:szCs w:val="14"/>
          <w:color w:val="auto"/>
        </w:rPr>
        <w:t>a “material reduction” unless Participant’s new authority, duties, or responsibilities are materially reduced from the prior authority, duties, or responsibilities and, for clarity, in no event shall a Change in Control as a result of which the Company becomes a subsidiary or division of a larger organization and/or ceases to be a Publicly-Listed Company, in and of itself, constitute Good Reason, if Participant’s authority, duties and responsibilities within the Company (however the Company may be held following such Change in Control) are not materially reduced. In</w:t>
      </w:r>
    </w:p>
    <w:p>
      <w:pPr>
        <w:spacing w:after="0" w:line="2" w:lineRule="exact"/>
        <w:rPr>
          <w:sz w:val="20"/>
          <w:szCs w:val="20"/>
          <w:color w:val="auto"/>
        </w:rPr>
      </w:pPr>
    </w:p>
    <w:p>
      <w:pPr>
        <w:jc w:val="both"/>
        <w:ind w:left="520"/>
        <w:spacing w:after="0" w:line="220" w:lineRule="auto"/>
        <w:rPr>
          <w:sz w:val="20"/>
          <w:szCs w:val="20"/>
          <w:color w:val="auto"/>
        </w:rPr>
      </w:pPr>
      <w:r>
        <w:rPr>
          <w:rFonts w:ascii="Times New Roman" w:cs="Times New Roman" w:eastAsia="Times New Roman" w:hAnsi="Times New Roman"/>
          <w:sz w:val="14"/>
          <w:szCs w:val="14"/>
          <w:color w:val="auto"/>
        </w:rPr>
        <w:t>order to resign for Good Reason, Participant must notify the Company of the condition that Participant believes constitutes Good Reason no more than 60 days after the condition arose, and allow the Company 30 days to cure such condition. If the Company fails to cure the condition within such period, then Participant’s resignation from all positions Participant then holds with the Company must be effective no later than 60 days after the end of the cure period.</w:t>
      </w:r>
    </w:p>
    <w:p>
      <w:pPr>
        <w:spacing w:after="0" w:line="1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(vi)“</w:t>
      </w:r>
      <w:r>
        <w:rPr>
          <w:rFonts w:ascii="Times New Roman" w:cs="Times New Roman" w:eastAsia="Times New Roman" w:hAnsi="Times New Roman"/>
          <w:sz w:val="14"/>
          <w:szCs w:val="14"/>
          <w:b w:val="1"/>
          <w:bCs w:val="1"/>
          <w:i w:val="1"/>
          <w:iCs w:val="1"/>
          <w:color w:val="auto"/>
        </w:rPr>
        <w:t>Performance Period</w:t>
      </w:r>
      <w:r>
        <w:rPr>
          <w:rFonts w:ascii="Times New Roman" w:cs="Times New Roman" w:eastAsia="Times New Roman" w:hAnsi="Times New Roman"/>
          <w:sz w:val="14"/>
          <w:szCs w:val="14"/>
          <w:color w:val="auto"/>
        </w:rPr>
        <w:t>” means the period commencing on November 1, 20[XX] and ending on October 31, 20[XX] (or, if earlier, upon the consummation of a Change in Control).</w:t>
      </w:r>
    </w:p>
    <w:p>
      <w:pPr>
        <w:spacing w:after="0" w:line="1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(vii)“</w:t>
      </w:r>
      <w:r>
        <w:rPr>
          <w:rFonts w:ascii="Times New Roman" w:cs="Times New Roman" w:eastAsia="Times New Roman" w:hAnsi="Times New Roman"/>
          <w:sz w:val="14"/>
          <w:szCs w:val="14"/>
          <w:b w:val="1"/>
          <w:bCs w:val="1"/>
          <w:i w:val="1"/>
          <w:iCs w:val="1"/>
          <w:color w:val="auto"/>
        </w:rPr>
        <w:t>Qualifying Termination</w:t>
      </w:r>
      <w:r>
        <w:rPr>
          <w:rFonts w:ascii="Times New Roman" w:cs="Times New Roman" w:eastAsia="Times New Roman" w:hAnsi="Times New Roman"/>
          <w:sz w:val="14"/>
          <w:szCs w:val="14"/>
          <w:color w:val="auto"/>
        </w:rPr>
        <w:t>” means a Termination of Service by the Company without Cause or by Participant for Good Reason.</w:t>
      </w:r>
    </w:p>
    <w:p>
      <w:pPr>
        <w:spacing w:after="0" w:line="1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VESTING; FORFEITURE AND SETTLEMENT</w:t>
      </w:r>
    </w:p>
    <w:p>
      <w:pPr>
        <w:spacing w:after="0" w:line="131"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 xml:space="preserve">1.a </w:t>
      </w:r>
      <w:r>
        <w:rPr>
          <w:rFonts w:ascii="Times New Roman" w:cs="Times New Roman" w:eastAsia="Times New Roman" w:hAnsi="Times New Roman"/>
          <w:sz w:val="14"/>
          <w:szCs w:val="14"/>
          <w:u w:val="single" w:color="auto"/>
          <w:color w:val="auto"/>
        </w:rPr>
        <w:t>Performance Vesting</w:t>
      </w:r>
      <w:r>
        <w:rPr>
          <w:rFonts w:ascii="Times New Roman" w:cs="Times New Roman" w:eastAsia="Times New Roman" w:hAnsi="Times New Roman"/>
          <w:sz w:val="14"/>
          <w:szCs w:val="14"/>
          <w:color w:val="auto"/>
        </w:rPr>
        <w:t>. Subject to Sections 2.2 and 2.3 hereof, a number of PSUs shall vest on the Determination Date (as defined below) equal to (i) the Target Number of PSUs, multiplied by (ii) the “Earning Percentage” set forth in the table below based on the Company’s Cumulative Adjusted Net Income per Share for the Performance Period. As soon as reasonably</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practicable after the completion of the Performance Period, but in no event later than 90 days following the end of the Performance Period (including upon the consummation of a Change in Control, as applicable), the Administrator shall determine the Company’s Cumulative Adjusted Net Income per Share for the Performance Period (such date of determination, the “</w:t>
      </w:r>
      <w:r>
        <w:rPr>
          <w:rFonts w:ascii="Times New Roman" w:cs="Times New Roman" w:eastAsia="Times New Roman" w:hAnsi="Times New Roman"/>
          <w:sz w:val="14"/>
          <w:szCs w:val="14"/>
          <w:b w:val="1"/>
          <w:bCs w:val="1"/>
          <w:i w:val="1"/>
          <w:iCs w:val="1"/>
          <w:color w:val="auto"/>
        </w:rPr>
        <w:t>Determination Date</w:t>
      </w:r>
      <w:r>
        <w:rPr>
          <w:rFonts w:ascii="Times New Roman" w:cs="Times New Roman" w:eastAsia="Times New Roman" w:hAnsi="Times New Roman"/>
          <w:sz w:val="14"/>
          <w:szCs w:val="14"/>
          <w:color w:val="auto"/>
        </w:rPr>
        <w:t>”). Subject to Sections 2.2 and 2.3 hereof, the number of PSUs that are earned shall be determined and shall vest on the Determination Date, subject to Participant’s continued status as a Service Provider</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with the Company (“</w:t>
      </w:r>
      <w:r>
        <w:rPr>
          <w:rFonts w:ascii="Times New Roman" w:cs="Times New Roman" w:eastAsia="Times New Roman" w:hAnsi="Times New Roman"/>
          <w:sz w:val="14"/>
          <w:szCs w:val="14"/>
          <w:b w:val="1"/>
          <w:bCs w:val="1"/>
          <w:i w:val="1"/>
          <w:iCs w:val="1"/>
          <w:color w:val="auto"/>
        </w:rPr>
        <w:t>Continuous Service</w:t>
      </w:r>
      <w:r>
        <w:rPr>
          <w:rFonts w:ascii="Times New Roman" w:cs="Times New Roman" w:eastAsia="Times New Roman" w:hAnsi="Times New Roman"/>
          <w:sz w:val="14"/>
          <w:szCs w:val="14"/>
          <w:color w:val="auto"/>
        </w:rPr>
        <w:t>”) through the Determination Date (except as otherwise provided below). Any PSUs granted hereby which remain outstanding as of the Determination Date, but do not vest as of the Determination Date, shall automatically be cancelled and forfeited on the Determination Date without payment of any consideration therefor, and Participant shall have no further right to or interest in such PSUs.</w:t>
      </w:r>
    </w:p>
    <w:p>
      <w:pPr>
        <w:spacing w:after="0" w:line="162" w:lineRule="exact"/>
        <w:rPr>
          <w:sz w:val="20"/>
          <w:szCs w:val="20"/>
          <w:color w:val="auto"/>
        </w:rPr>
      </w:pPr>
    </w:p>
    <w:tbl>
      <w:tblPr>
        <w:tblLayout w:type="fixed"/>
        <w:tblInd w:w="430" w:type="dxa"/>
        <w:tblCellMar>
          <w:top w:w="0" w:type="dxa"/>
          <w:left w:w="0" w:type="dxa"/>
          <w:bottom w:w="0" w:type="dxa"/>
          <w:right w:w="0" w:type="dxa"/>
        </w:tblCellMar>
      </w:tblPr>
      <w:tr>
        <w:trPr>
          <w:trHeight w:val="366"/>
        </w:trPr>
        <w:tc>
          <w:tcPr>
            <w:tcW w:w="24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480" w:type="dxa"/>
            <w:vAlign w:val="bottom"/>
            <w:tcBorders>
              <w:top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Cumulative Adjusted Net Income per Share</w:t>
            </w:r>
          </w:p>
        </w:tc>
        <w:tc>
          <w:tcPr>
            <w:tcW w:w="262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Earning Percentage*</w:t>
            </w:r>
          </w:p>
        </w:tc>
        <w:tc>
          <w:tcPr>
            <w:tcW w:w="0" w:type="dxa"/>
            <w:vAlign w:val="bottom"/>
          </w:tcPr>
          <w:p>
            <w:pPr>
              <w:spacing w:after="0"/>
              <w:rPr>
                <w:sz w:val="1"/>
                <w:szCs w:val="1"/>
                <w:color w:val="auto"/>
              </w:rPr>
            </w:pPr>
          </w:p>
        </w:tc>
      </w:tr>
      <w:tr>
        <w:trPr>
          <w:trHeight w:val="346"/>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Below $[_____]</w:t>
            </w:r>
          </w:p>
        </w:tc>
        <w:tc>
          <w:tcPr>
            <w:tcW w:w="2620" w:type="dxa"/>
            <w:vAlign w:val="bottom"/>
            <w:tcBorders>
              <w:bottom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96"/>
              </w:rPr>
              <w:t>0%</w:t>
            </w:r>
          </w:p>
        </w:tc>
        <w:tc>
          <w:tcPr>
            <w:tcW w:w="0" w:type="dxa"/>
            <w:vAlign w:val="bottom"/>
          </w:tcPr>
          <w:p>
            <w:pPr>
              <w:spacing w:after="0"/>
              <w:rPr>
                <w:sz w:val="1"/>
                <w:szCs w:val="1"/>
                <w:color w:val="auto"/>
              </w:rPr>
            </w:pPr>
          </w:p>
        </w:tc>
      </w:tr>
      <w:tr>
        <w:trPr>
          <w:trHeight w:val="256"/>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Threshold</w:t>
            </w:r>
          </w:p>
        </w:tc>
        <w:tc>
          <w:tcPr>
            <w:tcW w:w="448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$[_____]</w:t>
            </w:r>
          </w:p>
        </w:tc>
        <w:tc>
          <w:tcPr>
            <w:tcW w:w="262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4480" w:type="dxa"/>
            <w:vAlign w:val="bottom"/>
            <w:tcBorders>
              <w:bottom w:val="single" w:sz="8" w:color="auto"/>
              <w:right w:val="single" w:sz="8" w:color="auto"/>
            </w:tcBorders>
            <w:vMerge w:val="continue"/>
          </w:tcPr>
          <w:p>
            <w:pPr>
              <w:spacing w:after="0"/>
              <w:rPr>
                <w:sz w:val="7"/>
                <w:szCs w:val="7"/>
                <w:color w:val="auto"/>
              </w:rPr>
            </w:pPr>
          </w:p>
        </w:tc>
        <w:tc>
          <w:tcPr>
            <w:tcW w:w="2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Target</w:t>
            </w:r>
          </w:p>
        </w:tc>
        <w:tc>
          <w:tcPr>
            <w:tcW w:w="448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$[_____]</w:t>
            </w:r>
          </w:p>
        </w:tc>
        <w:tc>
          <w:tcPr>
            <w:tcW w:w="262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4480" w:type="dxa"/>
            <w:vAlign w:val="bottom"/>
            <w:tcBorders>
              <w:bottom w:val="single" w:sz="8" w:color="auto"/>
              <w:right w:val="single" w:sz="8" w:color="auto"/>
            </w:tcBorders>
            <w:vMerge w:val="continue"/>
          </w:tcPr>
          <w:p>
            <w:pPr>
              <w:spacing w:after="0"/>
              <w:rPr>
                <w:sz w:val="7"/>
                <w:szCs w:val="7"/>
                <w:color w:val="auto"/>
              </w:rPr>
            </w:pPr>
          </w:p>
        </w:tc>
        <w:tc>
          <w:tcPr>
            <w:tcW w:w="2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Maximum</w:t>
            </w:r>
          </w:p>
        </w:tc>
        <w:tc>
          <w:tcPr>
            <w:tcW w:w="448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$[_____]</w:t>
            </w:r>
          </w:p>
        </w:tc>
        <w:tc>
          <w:tcPr>
            <w:tcW w:w="2620" w:type="dxa"/>
            <w:vAlign w:val="bottom"/>
            <w:tcBorders>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4480" w:type="dxa"/>
            <w:vAlign w:val="bottom"/>
            <w:tcBorders>
              <w:bottom w:val="single" w:sz="8" w:color="auto"/>
              <w:right w:val="single" w:sz="8" w:color="auto"/>
            </w:tcBorders>
            <w:vMerge w:val="continue"/>
          </w:tcPr>
          <w:p>
            <w:pPr>
              <w:spacing w:after="0"/>
              <w:rPr>
                <w:sz w:val="7"/>
                <w:szCs w:val="7"/>
                <w:color w:val="auto"/>
              </w:rPr>
            </w:pPr>
          </w:p>
        </w:tc>
        <w:tc>
          <w:tcPr>
            <w:tcW w:w="2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500" w:hanging="10"/>
        <w:spacing w:after="0" w:line="255" w:lineRule="auto"/>
        <w:tabs>
          <w:tab w:leader="none" w:pos="57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Company’s Cumulative Adjusted Net Income per Share falls between performance ranges, the applicable Earning Percentage shall be determined by linear interpolation.</w:t>
      </w:r>
    </w:p>
    <w:p>
      <w:pPr>
        <w:spacing w:after="0" w:line="114"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 xml:space="preserve">1.b </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In the event of a Change in Control during the Performance Period, subject to Participant’s Continuous Service until immediately prior to such Change in Control (except as otherwise provided in Section 2.3), the date of the most recent fiscal quarter end shall be the last day of the Performance Period, and the number of PSUs vested hereunder will be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determined as of immediately prior to the Change in Control and will equal the greater of (i) the number of PSUs that Participant would vest in as provided in Section 2.1 hereof based on actual performance of the Company through the most recent fiscal quarter end, as determined and certified by the Administrator and (ii) the Target Number of PSUs. No unvested PSUs as of the date of the Change in Control,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23" w:right="3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taking into account vesting that occurs in connection with such Change in Control pursuant to this Section 2.2, shall thereafter become vested.</w:t>
      </w:r>
    </w:p>
    <w:p>
      <w:pPr>
        <w:spacing w:after="0" w:line="14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1.c</w:t>
      </w:r>
      <w:r>
        <w:rPr>
          <w:sz w:val="20"/>
          <w:szCs w:val="20"/>
          <w:color w:val="auto"/>
        </w:rPr>
        <w:tab/>
      </w:r>
      <w:r>
        <w:rPr>
          <w:rFonts w:ascii="Times New Roman" w:cs="Times New Roman" w:eastAsia="Times New Roman" w:hAnsi="Times New Roman"/>
          <w:sz w:val="14"/>
          <w:szCs w:val="14"/>
          <w:u w:val="single" w:color="auto"/>
          <w:color w:val="auto"/>
        </w:rPr>
        <w:t>Effect of Termination of Service</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jc w:val="both"/>
        <w:ind w:left="520" w:firstLine="376"/>
        <w:spacing w:after="0" w:line="218" w:lineRule="auto"/>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u w:val="single" w:color="auto"/>
          <w:color w:val="auto"/>
        </w:rPr>
        <w:t>Termination of Service</w:t>
      </w:r>
      <w:r>
        <w:rPr>
          <w:rFonts w:ascii="Times New Roman" w:cs="Times New Roman" w:eastAsia="Times New Roman" w:hAnsi="Times New Roman"/>
          <w:sz w:val="14"/>
          <w:szCs w:val="14"/>
          <w:color w:val="auto"/>
        </w:rPr>
        <w:t>. Except as otherwise expressly provided in Sections 2.3(b) and 2.3(c) hereof, in the event of Participant’s Termination of Service for any reason, all unvested PSUs as of the date of such Termination of Service shall automatically and without further action be cancelled and forfeited without payment of any consideration therefor, and Participant shall have no further right to or interest in such PSUs. Except as set forth in Section 2.3(b) hereof, no unvested PSUs as of the date of Participant’s Termination of Service shall thereafter</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become vested.</w:t>
      </w:r>
    </w:p>
    <w:p>
      <w:pPr>
        <w:spacing w:after="0" w:line="131" w:lineRule="exact"/>
        <w:rPr>
          <w:sz w:val="20"/>
          <w:szCs w:val="20"/>
          <w:color w:val="auto"/>
        </w:rPr>
      </w:pPr>
    </w:p>
    <w:p>
      <w:pPr>
        <w:jc w:val="both"/>
        <w:ind w:left="520" w:firstLine="336"/>
        <w:spacing w:after="0" w:line="225" w:lineRule="auto"/>
        <w:rPr>
          <w:sz w:val="20"/>
          <w:szCs w:val="20"/>
          <w:color w:val="auto"/>
        </w:rPr>
      </w:pPr>
      <w:r>
        <w:rPr>
          <w:rFonts w:ascii="Times New Roman" w:cs="Times New Roman" w:eastAsia="Times New Roman" w:hAnsi="Times New Roman"/>
          <w:sz w:val="14"/>
          <w:szCs w:val="14"/>
          <w:color w:val="auto"/>
        </w:rPr>
        <w:t>(ii)</w:t>
      </w:r>
      <w:r>
        <w:rPr>
          <w:rFonts w:ascii="Times New Roman" w:cs="Times New Roman" w:eastAsia="Times New Roman" w:hAnsi="Times New Roman"/>
          <w:sz w:val="14"/>
          <w:szCs w:val="14"/>
          <w:u w:val="single" w:color="auto"/>
          <w:color w:val="auto"/>
        </w:rPr>
        <w:t>Qualifying Termination</w:t>
      </w:r>
      <w:r>
        <w:rPr>
          <w:rFonts w:ascii="Times New Roman" w:cs="Times New Roman" w:eastAsia="Times New Roman" w:hAnsi="Times New Roman"/>
          <w:sz w:val="14"/>
          <w:szCs w:val="14"/>
          <w:color w:val="auto"/>
        </w:rPr>
        <w:t>. If Participant experiences a Qualifying Termination prior to the Determination Date, Participant will vest on the Determination Date in a number of PSUs determined by multiplying (i) the number of PSUs that Participant would vest in as provided in Section 2.1 hereof had he/she not incurred a Termination of Service prior to the Determination</w:t>
      </w:r>
    </w:p>
    <w:p>
      <w:pPr>
        <w:spacing w:after="0" w:line="1" w:lineRule="exact"/>
        <w:rPr>
          <w:sz w:val="20"/>
          <w:szCs w:val="20"/>
          <w:color w:val="auto"/>
        </w:rPr>
      </w:pPr>
    </w:p>
    <w:p>
      <w:pPr>
        <w:jc w:val="both"/>
        <w:ind w:left="520"/>
        <w:spacing w:after="0" w:line="201" w:lineRule="auto"/>
        <w:rPr>
          <w:sz w:val="20"/>
          <w:szCs w:val="20"/>
          <w:color w:val="auto"/>
        </w:rPr>
      </w:pPr>
      <w:r>
        <w:rPr>
          <w:rFonts w:ascii="Times New Roman" w:cs="Times New Roman" w:eastAsia="Times New Roman" w:hAnsi="Times New Roman"/>
          <w:sz w:val="14"/>
          <w:szCs w:val="14"/>
          <w:color w:val="auto"/>
        </w:rPr>
        <w:t>Date, by (ii) (A) the number of full calendar months that have elapsed during the Performance Period through and including the date of termination (not to exceed 36), divided by (B) 36. Partial months shall be rounded to the nearest whole calendar month for purposes of the numerator in this calculation (rounding up for any termination occurring after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the calendar month). If the calculation results in a fractional PSU, any fractional PSU will be rounded to the nearest whole PSU.</w:t>
      </w:r>
    </w:p>
    <w:p>
      <w:pPr>
        <w:spacing w:after="0" w:line="135" w:lineRule="exact"/>
        <w:rPr>
          <w:sz w:val="20"/>
          <w:szCs w:val="20"/>
          <w:color w:val="auto"/>
        </w:rPr>
      </w:pPr>
    </w:p>
    <w:p>
      <w:pPr>
        <w:jc w:val="both"/>
        <w:ind w:left="520" w:firstLine="297"/>
        <w:spacing w:after="0" w:line="214" w:lineRule="auto"/>
        <w:rPr>
          <w:sz w:val="20"/>
          <w:szCs w:val="20"/>
          <w:color w:val="auto"/>
        </w:rPr>
      </w:pPr>
      <w:r>
        <w:rPr>
          <w:rFonts w:ascii="Times New Roman" w:cs="Times New Roman" w:eastAsia="Times New Roman" w:hAnsi="Times New Roman"/>
          <w:sz w:val="14"/>
          <w:szCs w:val="14"/>
          <w:color w:val="auto"/>
        </w:rPr>
        <w:t>(iii)</w:t>
      </w:r>
      <w:r>
        <w:rPr>
          <w:rFonts w:ascii="Times New Roman" w:cs="Times New Roman" w:eastAsia="Times New Roman" w:hAnsi="Times New Roman"/>
          <w:sz w:val="14"/>
          <w:szCs w:val="14"/>
          <w:u w:val="single" w:color="auto"/>
          <w:color w:val="auto"/>
        </w:rPr>
        <w:t>Death or Disability</w:t>
      </w:r>
      <w:r>
        <w:rPr>
          <w:rFonts w:ascii="Times New Roman" w:cs="Times New Roman" w:eastAsia="Times New Roman" w:hAnsi="Times New Roman"/>
          <w:sz w:val="14"/>
          <w:szCs w:val="14"/>
          <w:color w:val="auto"/>
        </w:rPr>
        <w:t>. If Participant experiences a Termination of Service due to death or Disability, in either case, prior to the Determination Date, Participant will vest on the date of termination in a number of PSUs determined by multiplying (i) the Target Number of PSUs, by (ii) (A) the number of full calendar months that have elapsed during the Performance Period through and including the date of termination (not to exceed 36), divided by (B) 36. Partial months shall be rounded to the nearest whole calendar month for purposes of the numerator in this</w:t>
      </w:r>
    </w:p>
    <w:p>
      <w:pPr>
        <w:spacing w:after="0" w:line="1" w:lineRule="exact"/>
        <w:rPr>
          <w:sz w:val="20"/>
          <w:szCs w:val="20"/>
          <w:color w:val="auto"/>
        </w:rPr>
      </w:pPr>
    </w:p>
    <w:p>
      <w:pPr>
        <w:jc w:val="both"/>
        <w:ind w:left="520"/>
        <w:spacing w:after="0" w:line="205" w:lineRule="auto"/>
        <w:rPr>
          <w:sz w:val="20"/>
          <w:szCs w:val="20"/>
          <w:color w:val="auto"/>
        </w:rPr>
      </w:pPr>
      <w:r>
        <w:rPr>
          <w:rFonts w:ascii="Times New Roman" w:cs="Times New Roman" w:eastAsia="Times New Roman" w:hAnsi="Times New Roman"/>
          <w:sz w:val="14"/>
          <w:szCs w:val="14"/>
          <w:color w:val="auto"/>
        </w:rPr>
        <w:t>calculation (rounding up for any termination occurring after the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the calendar month). If the calculation results in a fractional PSU, any fractional PSU will be rounded to the nearest whole PSU.</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1.a</w:t>
      </w:r>
      <w:r>
        <w:rPr>
          <w:sz w:val="20"/>
          <w:szCs w:val="20"/>
          <w:color w:val="auto"/>
        </w:rPr>
        <w:tab/>
      </w:r>
      <w:r>
        <w:rPr>
          <w:rFonts w:ascii="Times New Roman" w:cs="Times New Roman" w:eastAsia="Times New Roman" w:hAnsi="Times New Roman"/>
          <w:sz w:val="14"/>
          <w:szCs w:val="14"/>
          <w:u w:val="single" w:color="auto"/>
          <w:color w:val="auto"/>
        </w:rPr>
        <w:t>Settlement</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jc w:val="both"/>
        <w:ind w:left="520" w:firstLine="305"/>
        <w:spacing w:after="0" w:line="199" w:lineRule="auto"/>
        <w:rPr>
          <w:sz w:val="20"/>
          <w:szCs w:val="20"/>
          <w:color w:val="auto"/>
        </w:rPr>
      </w:pPr>
      <w:r>
        <w:rPr>
          <w:rFonts w:ascii="Times New Roman" w:cs="Times New Roman" w:eastAsia="Times New Roman" w:hAnsi="Times New Roman"/>
          <w:sz w:val="14"/>
          <w:szCs w:val="14"/>
          <w:color w:val="auto"/>
        </w:rPr>
        <w:t>(iv)PSUs that vest and are earned on the Determination Date will be paid in Shares as soon as administratively practicable after the Determination Date, and in no event after the earlier of (i) 90 days after the Determination Date or (ii) March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calendar year following the calendar year in which the Performance Period ends. PSUs that vest and are earned upon a Termination of Service due to death or Disability will be paid in Shares as soon as administratively practicable after the date of Termination of Service, and in any event within 60 days</w:t>
      </w:r>
    </w:p>
    <w:p>
      <w:pPr>
        <w:spacing w:after="0" w:line="2" w:lineRule="exact"/>
        <w:rPr>
          <w:sz w:val="20"/>
          <w:szCs w:val="20"/>
          <w:color w:val="auto"/>
        </w:rPr>
      </w:pPr>
    </w:p>
    <w:p>
      <w:pPr>
        <w:jc w:val="both"/>
        <w:ind w:left="520"/>
        <w:spacing w:after="0" w:line="228" w:lineRule="auto"/>
        <w:rPr>
          <w:sz w:val="20"/>
          <w:szCs w:val="20"/>
          <w:color w:val="auto"/>
        </w:rPr>
      </w:pPr>
      <w:r>
        <w:rPr>
          <w:rFonts w:ascii="Times New Roman" w:cs="Times New Roman" w:eastAsia="Times New Roman" w:hAnsi="Times New Roman"/>
          <w:sz w:val="14"/>
          <w:szCs w:val="14"/>
          <w:color w:val="auto"/>
        </w:rPr>
        <w:t>thereafter. PSUs that vest and are earned upon a Change in Control will be paid in Shares or cash, as the Administrator may determine, as soon as administratively practicable after the Change in Control, and in any event within 30 days thereafter.</w:t>
      </w:r>
    </w:p>
    <w:p>
      <w:pPr>
        <w:spacing w:after="0" w:line="1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(v)Notwithstanding the foregoing, the Company may delay any payment under this Agreement that the Company reasonably determines would violate Applicable Law until the earliest</w:t>
      </w:r>
    </w:p>
    <w:p>
      <w:pPr>
        <w:spacing w:after="0" w:line="4" w:lineRule="exact"/>
        <w:rPr>
          <w:sz w:val="20"/>
          <w:szCs w:val="20"/>
          <w:color w:val="auto"/>
        </w:rPr>
      </w:pPr>
    </w:p>
    <w:p>
      <w:pPr>
        <w:jc w:val="both"/>
        <w:ind w:left="520"/>
        <w:spacing w:after="0" w:line="228" w:lineRule="auto"/>
        <w:rPr>
          <w:sz w:val="20"/>
          <w:szCs w:val="20"/>
          <w:color w:val="auto"/>
        </w:rPr>
      </w:pPr>
      <w:r>
        <w:rPr>
          <w:rFonts w:ascii="Times New Roman" w:cs="Times New Roman" w:eastAsia="Times New Roman" w:hAnsi="Times New Roman"/>
          <w:sz w:val="14"/>
          <w:szCs w:val="14"/>
          <w:color w:val="auto"/>
        </w:rPr>
        <w:t>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TAXATION AND TAX WITHHOLDING</w:t>
      </w:r>
    </w:p>
    <w:p>
      <w:pPr>
        <w:spacing w:after="0" w:line="13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 xml:space="preserve">1.a </w:t>
      </w:r>
      <w:r>
        <w:rPr>
          <w:rFonts w:ascii="Times New Roman" w:cs="Times New Roman" w:eastAsia="Times New Roman" w:hAnsi="Times New Roman"/>
          <w:sz w:val="14"/>
          <w:szCs w:val="14"/>
          <w:u w:val="single" w:color="auto"/>
          <w:color w:val="auto"/>
        </w:rPr>
        <w:t>Representation</w:t>
      </w:r>
      <w:r>
        <w:rPr>
          <w:rFonts w:ascii="Times New Roman" w:cs="Times New Roman" w:eastAsia="Times New Roman" w:hAnsi="Times New Roman"/>
          <w:sz w:val="14"/>
          <w:szCs w:val="14"/>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36"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1.b</w:t>
      </w:r>
      <w:r>
        <w:rPr>
          <w:sz w:val="20"/>
          <w:szCs w:val="20"/>
          <w:color w:val="auto"/>
        </w:rPr>
        <w:tab/>
      </w: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ind w:left="520" w:firstLine="376"/>
        <w:spacing w:after="0" w:line="225" w:lineRule="auto"/>
        <w:rPr>
          <w:sz w:val="20"/>
          <w:szCs w:val="20"/>
          <w:color w:val="auto"/>
        </w:rPr>
      </w:pPr>
      <w:r>
        <w:rPr>
          <w:rFonts w:ascii="Times New Roman" w:cs="Times New Roman" w:eastAsia="Times New Roman" w:hAnsi="Times New Roman"/>
          <w:sz w:val="14"/>
          <w:szCs w:val="14"/>
          <w:color w:val="auto"/>
        </w:rPr>
        <w:t>(i)Unless the Administrator otherwise determines, the Company shall withhold, or cause to be withheld, Shares otherwise vesting or issuable under this Award (including the PSUs) in satisfaction of any applicable withholding tax obligations. The number of Shares which may be so withheld or surrendered shall be limited to the number of Shares which have a Fair Market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Value on the date of withholding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23" w:right="3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520"/>
        <w:spacing w:after="0" w:line="239" w:lineRule="auto"/>
        <w:rPr>
          <w:sz w:val="20"/>
          <w:szCs w:val="20"/>
          <w:color w:val="auto"/>
        </w:rPr>
      </w:pPr>
      <w:r>
        <w:rPr>
          <w:rFonts w:ascii="Times New Roman" w:cs="Times New Roman" w:eastAsia="Times New Roman" w:hAnsi="Times New Roman"/>
          <w:sz w:val="14"/>
          <w:szCs w:val="14"/>
          <w:color w:val="auto"/>
        </w:rPr>
        <w:t>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136" w:lineRule="exact"/>
        <w:rPr>
          <w:sz w:val="20"/>
          <w:szCs w:val="20"/>
          <w:color w:val="auto"/>
        </w:rPr>
      </w:pPr>
    </w:p>
    <w:p>
      <w:pPr>
        <w:jc w:val="both"/>
        <w:ind w:left="520" w:firstLine="336"/>
        <w:spacing w:after="0" w:line="218" w:lineRule="auto"/>
        <w:rPr>
          <w:sz w:val="20"/>
          <w:szCs w:val="20"/>
          <w:color w:val="auto"/>
        </w:rPr>
      </w:pPr>
      <w:r>
        <w:rPr>
          <w:rFonts w:ascii="Times New Roman" w:cs="Times New Roman" w:eastAsia="Times New Roman" w:hAnsi="Times New Roman"/>
          <w:sz w:val="14"/>
          <w:szCs w:val="14"/>
          <w:color w:val="auto"/>
        </w:rPr>
        <w:t>(ii)Participant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its Subsidiaries do not</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commit and are under no obligation to structure the PSUs to reduce or eliminate Participant’s tax liability.</w:t>
      </w:r>
    </w:p>
    <w:p>
      <w:pPr>
        <w:spacing w:after="0" w:line="1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Article 4.</w:t>
      </w:r>
    </w:p>
    <w:p>
      <w:pPr>
        <w:jc w:val="center"/>
        <w:spacing w:after="0"/>
        <w:rPr>
          <w:sz w:val="20"/>
          <w:szCs w:val="20"/>
          <w:color w:val="auto"/>
        </w:rPr>
      </w:pPr>
      <w:r>
        <w:rPr>
          <w:rFonts w:ascii="Times New Roman" w:cs="Times New Roman" w:eastAsia="Times New Roman" w:hAnsi="Times New Roman"/>
          <w:sz w:val="14"/>
          <w:szCs w:val="14"/>
          <w:b w:val="1"/>
          <w:bCs w:val="1"/>
          <w:color w:val="auto"/>
        </w:rPr>
        <w:t>OTHER PROVISIONS</w:t>
      </w:r>
    </w:p>
    <w:p>
      <w:pPr>
        <w:spacing w:after="0" w:line="14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 xml:space="preserve">1.a </w:t>
      </w: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Participant acknowledges that the PSUs and the Shares subject to the PSUs are subject to adjustment, modification and termination in certain events as provided in this Agreement and the Plan.</w:t>
      </w:r>
    </w:p>
    <w:p>
      <w:pPr>
        <w:spacing w:after="0" w:line="125"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1.b</w:t>
      </w:r>
      <w:r>
        <w:rPr>
          <w:sz w:val="20"/>
          <w:szCs w:val="20"/>
          <w:color w:val="auto"/>
        </w:rPr>
        <w:tab/>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to be given under the terms of this Agreement to the Company must be in writing and addressed to the Company in care of the Company’s Secretary at the</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4"/>
          <w:szCs w:val="14"/>
          <w:color w:val="auto"/>
        </w:rPr>
        <w:t>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1.c</w:t>
      </w:r>
      <w:r>
        <w:rPr>
          <w:sz w:val="20"/>
          <w:szCs w:val="20"/>
          <w:color w:val="auto"/>
        </w:rPr>
        <w:tab/>
      </w:r>
      <w:r>
        <w:rPr>
          <w:rFonts w:ascii="Times New Roman" w:cs="Times New Roman" w:eastAsia="Times New Roman" w:hAnsi="Times New Roman"/>
          <w:sz w:val="14"/>
          <w:szCs w:val="14"/>
          <w:u w:val="single" w:color="auto"/>
          <w:color w:val="auto"/>
        </w:rPr>
        <w:t>Titles</w:t>
      </w:r>
      <w:r>
        <w:rPr>
          <w:rFonts w:ascii="Times New Roman" w:cs="Times New Roman" w:eastAsia="Times New Roman" w:hAnsi="Times New Roman"/>
          <w:sz w:val="14"/>
          <w:szCs w:val="14"/>
          <w:color w:val="auto"/>
        </w:rPr>
        <w:t>. Titles are provided herein for convenience only and are not to serve as a basis for interpretation or construction of this Agreement.</w:t>
      </w:r>
    </w:p>
    <w:p>
      <w:pPr>
        <w:spacing w:after="0" w:line="15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 xml:space="preserve">1.d </w:t>
      </w:r>
      <w:r>
        <w:rPr>
          <w:rFonts w:ascii="Times New Roman" w:cs="Times New Roman" w:eastAsia="Times New Roman" w:hAnsi="Times New Roman"/>
          <w:sz w:val="14"/>
          <w:szCs w:val="14"/>
          <w:u w:val="single" w:color="auto"/>
          <w:color w:val="auto"/>
        </w:rPr>
        <w:t>Conformity to Securities Laws</w:t>
      </w:r>
      <w:r>
        <w:rPr>
          <w:rFonts w:ascii="Times New Roman" w:cs="Times New Roman" w:eastAsia="Times New Roman" w:hAnsi="Times New Roman"/>
          <w:sz w:val="14"/>
          <w:szCs w:val="14"/>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25"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1.e</w:t>
      </w:r>
      <w:r>
        <w:rPr>
          <w:sz w:val="20"/>
          <w:szCs w:val="20"/>
          <w:color w:val="auto"/>
        </w:rPr>
        <w:tab/>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The Company may assign any of its rights under this Agreement to single or multiple assignees, and this Agreement will inure to the benefit of the</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1.f</w:t>
      </w:r>
      <w:r>
        <w:rPr>
          <w:sz w:val="20"/>
          <w:szCs w:val="20"/>
          <w:color w:val="auto"/>
        </w:rPr>
        <w:tab/>
      </w:r>
      <w:r>
        <w:rPr>
          <w:rFonts w:ascii="Times New Roman" w:cs="Times New Roman" w:eastAsia="Times New Roman" w:hAnsi="Times New Roman"/>
          <w:sz w:val="14"/>
          <w:szCs w:val="14"/>
          <w:u w:val="single" w:color="auto"/>
          <w:color w:val="auto"/>
        </w:rPr>
        <w:t>Limitations Applicable to Section 16 Persons</w:t>
      </w:r>
      <w:r>
        <w:rPr>
          <w:rFonts w:ascii="Times New Roman" w:cs="Times New Roman" w:eastAsia="Times New Roman" w:hAnsi="Times New Roman"/>
          <w:sz w:val="14"/>
          <w:szCs w:val="14"/>
          <w:color w:val="auto"/>
        </w:rPr>
        <w:t>. Notwithstanding any other provision of the Plan or this Agreement, if Participant is subject to Section 16 of the Exchange Act, the</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Plan, the Grant Notice, this Agreement and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35"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color w:val="auto"/>
        </w:rPr>
        <w:t xml:space="preserve">1.g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 xml:space="preserve">1.h </w:t>
      </w:r>
      <w:r>
        <w:rPr>
          <w:rFonts w:ascii="Times New Roman" w:cs="Times New Roman" w:eastAsia="Times New Roman" w:hAnsi="Times New Roman"/>
          <w:sz w:val="14"/>
          <w:szCs w:val="14"/>
          <w:u w:val="single" w:color="auto"/>
          <w:color w:val="auto"/>
        </w:rPr>
        <w:t>Agreement Severable</w:t>
      </w:r>
      <w:r>
        <w:rPr>
          <w:rFonts w:ascii="Times New Roman" w:cs="Times New Roman" w:eastAsia="Times New Roman" w:hAnsi="Times New Roman"/>
          <w:sz w:val="14"/>
          <w:szCs w:val="14"/>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14" w:lineRule="exact"/>
        <w:rPr>
          <w:sz w:val="20"/>
          <w:szCs w:val="20"/>
          <w:color w:val="auto"/>
        </w:rPr>
      </w:pPr>
    </w:p>
    <w:p>
      <w:pPr>
        <w:jc w:val="both"/>
        <w:ind w:firstLine="509"/>
        <w:spacing w:after="0" w:line="225" w:lineRule="auto"/>
        <w:rPr>
          <w:sz w:val="20"/>
          <w:szCs w:val="20"/>
          <w:color w:val="auto"/>
        </w:rPr>
      </w:pPr>
      <w:r>
        <w:rPr>
          <w:rFonts w:ascii="Times New Roman" w:cs="Times New Roman" w:eastAsia="Times New Roman" w:hAnsi="Times New Roman"/>
          <w:sz w:val="14"/>
          <w:szCs w:val="14"/>
          <w:color w:val="auto"/>
        </w:rPr>
        <w:t xml:space="preserve">1.i </w:t>
      </w:r>
      <w:r>
        <w:rPr>
          <w:rFonts w:ascii="Times New Roman" w:cs="Times New Roman" w:eastAsia="Times New Roman" w:hAnsi="Times New Roman"/>
          <w:sz w:val="14"/>
          <w:szCs w:val="14"/>
          <w:u w:val="single" w:color="auto"/>
          <w:color w:val="auto"/>
        </w:rPr>
        <w:t>Limitation on Participant’s Rights</w:t>
      </w:r>
      <w:r>
        <w:rPr>
          <w:rFonts w:ascii="Times New Roman" w:cs="Times New Roman" w:eastAsia="Times New Roman" w:hAnsi="Times New Roman"/>
          <w:sz w:val="14"/>
          <w:szCs w:val="14"/>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rights of a general unsecured creditor of the Company with respect to amounts credited and benefits payable, if any, with respect to the PSUs, and rights no greater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3" w:right="3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 to receive cash or the Shares as a general unsecured creditor with respect to the PSUs, as and when settled pursuant to the terms of this Agreement.</w:t>
      </w:r>
    </w:p>
    <w:p>
      <w:pPr>
        <w:spacing w:after="0" w:line="14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1.j</w:t>
      </w:r>
      <w:r>
        <w:rPr>
          <w:sz w:val="20"/>
          <w:szCs w:val="20"/>
          <w:color w:val="auto"/>
        </w:rPr>
        <w:tab/>
      </w:r>
      <w:r>
        <w:rPr>
          <w:rFonts w:ascii="Times New Roman" w:cs="Times New Roman" w:eastAsia="Times New Roman" w:hAnsi="Times New Roman"/>
          <w:sz w:val="14"/>
          <w:szCs w:val="14"/>
          <w:u w:val="single" w:color="auto"/>
          <w:color w:val="auto"/>
        </w:rPr>
        <w:t>Not a Contract of Employment</w:t>
      </w:r>
      <w:r>
        <w:rPr>
          <w:rFonts w:ascii="Times New Roman" w:cs="Times New Roman" w:eastAsia="Times New Roman" w:hAnsi="Times New Roman"/>
          <w:sz w:val="14"/>
          <w:szCs w:val="14"/>
          <w:color w:val="auto"/>
        </w:rPr>
        <w:t>. Nothing in the Plan, the Grant Notice or this Agreement confers upon Participant any right to continue in the employ or service of the Company or</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2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 xml:space="preserve">1.k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1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1.l</w:t>
      </w:r>
      <w:r>
        <w:rPr>
          <w:sz w:val="20"/>
          <w:szCs w:val="20"/>
          <w:color w:val="auto"/>
        </w:rPr>
        <w:tab/>
      </w:r>
      <w:r>
        <w:rPr>
          <w:rFonts w:ascii="Times New Roman" w:cs="Times New Roman" w:eastAsia="Times New Roman" w:hAnsi="Times New Roman"/>
          <w:sz w:val="13"/>
          <w:szCs w:val="13"/>
          <w:u w:val="single" w:color="auto"/>
          <w:color w:val="auto"/>
        </w:rPr>
        <w:t>Section 409A</w:t>
      </w:r>
      <w:r>
        <w:rPr>
          <w:rFonts w:ascii="Times New Roman" w:cs="Times New Roman" w:eastAsia="Times New Roman" w:hAnsi="Times New Roman"/>
          <w:sz w:val="13"/>
          <w:szCs w:val="13"/>
          <w:color w:val="auto"/>
        </w:rPr>
        <w:t>.</w:t>
      </w:r>
    </w:p>
    <w:p>
      <w:pPr>
        <w:spacing w:after="0" w:line="1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This Agreement shall be interpreted in accordance with the requirements of Section 409A. Notwithstanding any provision of this Agreement, the Company may adopt such</w:t>
      </w:r>
    </w:p>
    <w:p>
      <w:pPr>
        <w:spacing w:after="0" w:line="4" w:lineRule="exact"/>
        <w:rPr>
          <w:sz w:val="20"/>
          <w:szCs w:val="20"/>
          <w:color w:val="auto"/>
        </w:rPr>
      </w:pPr>
    </w:p>
    <w:p>
      <w:pPr>
        <w:jc w:val="both"/>
        <w:ind w:left="520"/>
        <w:spacing w:after="0" w:line="210" w:lineRule="auto"/>
        <w:rPr>
          <w:sz w:val="20"/>
          <w:szCs w:val="20"/>
          <w:color w:val="auto"/>
        </w:rPr>
      </w:pPr>
      <w:r>
        <w:rPr>
          <w:rFonts w:ascii="Times New Roman" w:cs="Times New Roman" w:eastAsia="Times New Roman" w:hAnsi="Times New Roman"/>
          <w:sz w:val="14"/>
          <w:szCs w:val="14"/>
          <w:color w:val="auto"/>
        </w:rPr>
        <w:t>amendments to this Agreement or adopt other policies and procedures (including amendments, policies and procedures with retroactive effect), or take any other actions, that the Administrator determines are necessary or appropriate to avoid the imposition of taxes under Section 409A, provided, however, that this Section 4.12 shall not create an obligation on the part of the Company to adopt any such amendment, policy or procedure or take any such other action, nor shall the Company have any liability for failing to do so. To the extent that any payment</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window spans two calendar years, Participant shall have no discretion over or ability to control the actual year in which payment is made.</w:t>
      </w:r>
    </w:p>
    <w:p>
      <w:pPr>
        <w:spacing w:after="0" w:line="131" w:lineRule="exact"/>
        <w:rPr>
          <w:sz w:val="20"/>
          <w:szCs w:val="20"/>
          <w:color w:val="auto"/>
        </w:rPr>
      </w:pPr>
    </w:p>
    <w:p>
      <w:pPr>
        <w:jc w:val="both"/>
        <w:ind w:left="520" w:firstLine="336"/>
        <w:spacing w:after="0" w:line="225" w:lineRule="auto"/>
        <w:rPr>
          <w:sz w:val="20"/>
          <w:szCs w:val="20"/>
          <w:color w:val="auto"/>
        </w:rPr>
      </w:pPr>
      <w:r>
        <w:rPr>
          <w:rFonts w:ascii="Times New Roman" w:cs="Times New Roman" w:eastAsia="Times New Roman" w:hAnsi="Times New Roman"/>
          <w:sz w:val="14"/>
          <w:szCs w:val="14"/>
          <w:color w:val="auto"/>
        </w:rPr>
        <w:t>(ii)</w:t>
      </w:r>
      <w:r>
        <w:rPr>
          <w:rFonts w:ascii="Times New Roman" w:cs="Times New Roman" w:eastAsia="Times New Roman" w:hAnsi="Times New Roman"/>
          <w:sz w:val="14"/>
          <w:szCs w:val="14"/>
          <w:u w:val="single" w:color="auto"/>
          <w:color w:val="auto"/>
        </w:rPr>
        <w:t>Potential Six-Month Delay</w:t>
      </w:r>
      <w:r>
        <w:rPr>
          <w:rFonts w:ascii="Times New Roman" w:cs="Times New Roman" w:eastAsia="Times New Roman" w:hAnsi="Times New Roman"/>
          <w:sz w:val="14"/>
          <w:szCs w:val="14"/>
          <w:color w:val="auto"/>
        </w:rPr>
        <w:t>. Notwithstanding anything to the contrary in this Agreement, no amounts shall be paid to Participant under this Agreement during the six-month period following Participant’s “separation from service” to the extent that the Administrator determines that Participant is a “specified employee” (each within the meaning of Section 409A) at the</w:t>
      </w:r>
    </w:p>
    <w:p>
      <w:pPr>
        <w:spacing w:after="0" w:line="1" w:lineRule="exact"/>
        <w:rPr>
          <w:sz w:val="20"/>
          <w:szCs w:val="20"/>
          <w:color w:val="auto"/>
        </w:rPr>
      </w:pPr>
    </w:p>
    <w:p>
      <w:pPr>
        <w:jc w:val="both"/>
        <w:ind w:left="520"/>
        <w:spacing w:after="0" w:line="210" w:lineRule="auto"/>
        <w:rPr>
          <w:sz w:val="20"/>
          <w:szCs w:val="20"/>
          <w:color w:val="auto"/>
        </w:rPr>
      </w:pPr>
      <w:r>
        <w:rPr>
          <w:rFonts w:ascii="Times New Roman" w:cs="Times New Roman" w:eastAsia="Times New Roman" w:hAnsi="Times New Roman"/>
          <w:sz w:val="14"/>
          <w:szCs w:val="14"/>
          <w:color w:val="auto"/>
        </w:rPr>
        <w:t>time of such separation from service and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being subject to such additional taxes), the Company shall pay to Participant in a lump-sum all amounts that would have</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otherwise been payable to Participant during such six-month period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23" w:right="319" w:bottom="1440"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Calibri" w:cs="Calibri" w:eastAsia="Calibri" w:hAnsi="Calibri"/>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LIST OF SUBSIDIARIES OF THE REGISTRANT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b w:val="1"/>
                <w:bCs w:val="1"/>
                <w:color w:val="auto"/>
              </w:rPr>
              <w:t>Subsidiary</w:t>
            </w:r>
          </w:p>
        </w:tc>
        <w:tc>
          <w:tcPr>
            <w:tcW w:w="4240" w:type="dxa"/>
            <w:vAlign w:val="bottom"/>
          </w:tcPr>
          <w:p>
            <w:pPr>
              <w:ind w:left="1360"/>
              <w:spacing w:after="0"/>
              <w:rPr>
                <w:sz w:val="20"/>
                <w:szCs w:val="20"/>
                <w:color w:val="auto"/>
              </w:rPr>
            </w:pPr>
            <w:r>
              <w:rPr>
                <w:rFonts w:ascii="Calibri" w:cs="Calibri" w:eastAsia="Calibri" w:hAnsi="Calibri"/>
                <w:sz w:val="11"/>
                <w:szCs w:val="11"/>
                <w:b w:val="1"/>
                <w:bCs w:val="1"/>
                <w:color w:val="auto"/>
              </w:rPr>
              <w:t>Registered Jurisdicton</w:t>
            </w:r>
          </w:p>
        </w:tc>
      </w:tr>
      <w:tr>
        <w:trPr>
          <w:trHeight w:val="46"/>
        </w:trPr>
        <w:tc>
          <w:tcPr>
            <w:tcW w:w="346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r>
        <w:trPr>
          <w:trHeight w:val="151"/>
        </w:trPr>
        <w:tc>
          <w:tcPr>
            <w:tcW w:w="3460" w:type="dxa"/>
            <w:vAlign w:val="bottom"/>
            <w:tcBorders>
              <w:bottom w:val="single" w:sz="8" w:color="DBDBDB"/>
            </w:tcBorders>
            <w:shd w:val="clear" w:color="auto" w:fill="DBDBDB"/>
          </w:tcPr>
          <w:p>
            <w:pPr>
              <w:ind w:left="20"/>
              <w:spacing w:after="0" w:line="126" w:lineRule="exact"/>
              <w:rPr>
                <w:sz w:val="20"/>
                <w:szCs w:val="20"/>
                <w:color w:val="auto"/>
              </w:rPr>
            </w:pPr>
            <w:r>
              <w:rPr>
                <w:rFonts w:ascii="Calibri" w:cs="Calibri" w:eastAsia="Calibri" w:hAnsi="Calibri"/>
                <w:sz w:val="11"/>
                <w:szCs w:val="11"/>
                <w:color w:val="auto"/>
              </w:rPr>
              <w:t>Advanced Producton Management LLC</w:t>
            </w:r>
          </w:p>
        </w:tc>
        <w:tc>
          <w:tcPr>
            <w:tcW w:w="4240" w:type="dxa"/>
            <w:vAlign w:val="bottom"/>
            <w:tcBorders>
              <w:bottom w:val="single" w:sz="8" w:color="DBDBDB"/>
            </w:tcBorders>
            <w:shd w:val="clear" w:color="auto" w:fill="DBDBDB"/>
          </w:tcPr>
          <w:p>
            <w:pPr>
              <w:ind w:left="1360"/>
              <w:spacing w:after="0" w:line="126" w:lineRule="exact"/>
              <w:rPr>
                <w:sz w:val="20"/>
                <w:szCs w:val="20"/>
                <w:color w:val="auto"/>
              </w:rPr>
            </w:pPr>
            <w:r>
              <w:rPr>
                <w:rFonts w:ascii="Calibri" w:cs="Calibri" w:eastAsia="Calibri" w:hAnsi="Calibri"/>
                <w:sz w:val="11"/>
                <w:szCs w:val="11"/>
                <w:color w:val="auto"/>
              </w:rPr>
              <w:t>California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Arato Peru S.A.</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Peru</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Avocado Packing Company S.A.C.</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Peru</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Avopack Guatemala S.A.</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Guatemala</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Beggie Peru S.A.</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Peru</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Blueberries Peru S.A.C.</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Peru</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Copaltas S.A.S.</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Colombia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Grupo Arato Holding S.A.C.</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Peru</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Guatemala Avocados S.A.</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Guatemala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Henry Avocado Corporaton</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California</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Inversiones Agricolas Olmos S.A.C.</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Peru</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Mission Aguacates, Limitada</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Guatemala</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Mission Canada Ltd.</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Canada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Mission de Mexico, S.A. de C.V.</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Mexico</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Mission Inversiones Agricolas Guatemala S.A.</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Guatemala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Mission Produce Asia Limited</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Hong Kong</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Mission Produce Chile SpA</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Chile</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Mission Produce Europe BV</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Netherlands</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Mission Produce Foundaton</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California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Mission Produce Logistcs, LLC</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California</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Mission Produce UK</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United Kingdom</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Mission South Africa (Pty) Ltd</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South Africa</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Moruga Inc. S.A.C.</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Panama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SamLand I, LLC</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California</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SamLand II, LLC</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California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SamLand III, LLC</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California</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SamLand IV, LLC</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California</w:t>
            </w:r>
          </w:p>
        </w:tc>
      </w:tr>
      <w:tr>
        <w:trPr>
          <w:trHeight w:val="135"/>
        </w:trPr>
        <w:tc>
          <w:tcPr>
            <w:tcW w:w="3460" w:type="dxa"/>
            <w:vAlign w:val="bottom"/>
          </w:tcPr>
          <w:p>
            <w:pPr>
              <w:ind w:left="20"/>
              <w:spacing w:after="0"/>
              <w:rPr>
                <w:sz w:val="20"/>
                <w:szCs w:val="20"/>
                <w:color w:val="auto"/>
              </w:rPr>
            </w:pPr>
            <w:r>
              <w:rPr>
                <w:rFonts w:ascii="Calibri" w:cs="Calibri" w:eastAsia="Calibri" w:hAnsi="Calibri"/>
                <w:sz w:val="11"/>
                <w:szCs w:val="11"/>
                <w:color w:val="auto"/>
              </w:rPr>
              <w:t>Shanghai Mr. Avocado Limited</w:t>
            </w:r>
          </w:p>
        </w:tc>
        <w:tc>
          <w:tcPr>
            <w:tcW w:w="4240" w:type="dxa"/>
            <w:vAlign w:val="bottom"/>
          </w:tcPr>
          <w:p>
            <w:pPr>
              <w:ind w:left="1360"/>
              <w:spacing w:after="0"/>
              <w:rPr>
                <w:sz w:val="20"/>
                <w:szCs w:val="20"/>
                <w:color w:val="auto"/>
              </w:rPr>
            </w:pPr>
            <w:r>
              <w:rPr>
                <w:rFonts w:ascii="Calibri" w:cs="Calibri" w:eastAsia="Calibri" w:hAnsi="Calibri"/>
                <w:sz w:val="11"/>
                <w:szCs w:val="11"/>
                <w:color w:val="auto"/>
              </w:rPr>
              <w:t>China</w:t>
            </w:r>
          </w:p>
        </w:tc>
      </w:tr>
      <w:tr>
        <w:trPr>
          <w:trHeight w:val="46"/>
        </w:trPr>
        <w:tc>
          <w:tcPr>
            <w:tcW w:w="34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0"/>
        </w:trPr>
        <w:tc>
          <w:tcPr>
            <w:tcW w:w="34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1"/>
                <w:szCs w:val="11"/>
                <w:color w:val="auto"/>
              </w:rPr>
              <w:t>Solar MPC, LLC</w:t>
            </w:r>
          </w:p>
        </w:tc>
        <w:tc>
          <w:tcPr>
            <w:tcW w:w="4240" w:type="dxa"/>
            <w:vAlign w:val="bottom"/>
            <w:tcBorders>
              <w:bottom w:val="single" w:sz="8" w:color="DBDBDB"/>
            </w:tcBorders>
            <w:shd w:val="clear" w:color="auto" w:fill="DBDBDB"/>
          </w:tcPr>
          <w:p>
            <w:pPr>
              <w:ind w:left="1360"/>
              <w:spacing w:after="0"/>
              <w:rPr>
                <w:sz w:val="20"/>
                <w:szCs w:val="20"/>
                <w:color w:val="auto"/>
              </w:rPr>
            </w:pPr>
            <w:r>
              <w:rPr>
                <w:rFonts w:ascii="Calibri" w:cs="Calibri" w:eastAsia="Calibri" w:hAnsi="Calibri"/>
                <w:sz w:val="11"/>
                <w:szCs w:val="11"/>
                <w:color w:val="auto"/>
              </w:rPr>
              <w:t>California</w:t>
            </w:r>
          </w:p>
        </w:tc>
      </w:tr>
      <w:tr>
        <w:trPr>
          <w:trHeight w:val="20"/>
        </w:trPr>
        <w:tc>
          <w:tcPr>
            <w:tcW w:w="3460" w:type="dxa"/>
            <w:vAlign w:val="bottom"/>
            <w:shd w:val="clear" w:color="auto" w:fill="000000"/>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80"/>
          </w:cols>
          <w:pgMar w:left="300" w:top="119" w:right="319" w:bottom="1440" w:gutter="0" w:footer="0" w:header="0"/>
        </w:sectPr>
      </w:pPr>
    </w:p>
    <w:bookmarkStart w:id="111" w:name="page112"/>
    <w:bookmarkEnd w:id="111"/>
    <w:p>
      <w:pPr>
        <w:jc w:val="right"/>
        <w:spacing w:after="0"/>
        <w:rPr>
          <w:sz w:val="20"/>
          <w:szCs w:val="20"/>
          <w:color w:val="auto"/>
        </w:rPr>
      </w:pPr>
      <w:r>
        <w:rPr>
          <w:rFonts w:ascii="Calibri" w:cs="Calibri" w:eastAsia="Calibri" w:hAnsi="Calibri"/>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CONSENT OF INDEPENDENT REGISTERED PUBLIC ACCOUNTING FIRM</w:t>
      </w:r>
    </w:p>
    <w:p>
      <w:pPr>
        <w:spacing w:after="0" w:line="183" w:lineRule="exact"/>
        <w:rPr>
          <w:sz w:val="20"/>
          <w:szCs w:val="20"/>
          <w:color w:val="auto"/>
        </w:rPr>
      </w:pPr>
    </w:p>
    <w:p>
      <w:pPr>
        <w:ind w:right="40" w:firstLine="509"/>
        <w:spacing w:after="0" w:line="230" w:lineRule="auto"/>
        <w:rPr>
          <w:sz w:val="20"/>
          <w:szCs w:val="20"/>
          <w:color w:val="auto"/>
        </w:rPr>
      </w:pPr>
      <w:r>
        <w:rPr>
          <w:rFonts w:ascii="Calibri" w:cs="Calibri" w:eastAsia="Calibri" w:hAnsi="Calibri"/>
          <w:sz w:val="13"/>
          <w:szCs w:val="13"/>
          <w:color w:val="auto"/>
        </w:rPr>
        <w:t>We consent to the incorporaton by reference in Registraton Statement No. 333-248596 on Form S-8 of our reports dated December 22, 2022, relatng to the consolidated fnancial statements of Mission Produce, Inc. and subsidiaries (the “Company”) and the efectveness of the Company’s internal control over fnancial reportng appearing in this Annual Report on Form 10-K of the Company for the year ended October 31, 2022.</w:t>
      </w:r>
    </w:p>
    <w:p>
      <w:pPr>
        <w:spacing w:after="0" w:line="150" w:lineRule="exact"/>
        <w:rPr>
          <w:sz w:val="20"/>
          <w:szCs w:val="20"/>
          <w:color w:val="auto"/>
        </w:rPr>
      </w:pPr>
    </w:p>
    <w:p>
      <w:pPr>
        <w:spacing w:after="0"/>
        <w:rPr>
          <w:sz w:val="20"/>
          <w:szCs w:val="20"/>
          <w:color w:val="auto"/>
        </w:rPr>
      </w:pPr>
      <w:r>
        <w:rPr>
          <w:rFonts w:ascii="Calibri" w:cs="Calibri" w:eastAsia="Calibri" w:hAnsi="Calibri"/>
          <w:sz w:val="13"/>
          <w:szCs w:val="13"/>
          <w:color w:val="auto"/>
        </w:rPr>
        <w:t>/s/ Deloite &amp; Touche LLP</w:t>
      </w:r>
    </w:p>
    <w:p>
      <w:pPr>
        <w:spacing w:after="0" w:line="191" w:lineRule="exact"/>
        <w:rPr>
          <w:sz w:val="20"/>
          <w:szCs w:val="20"/>
          <w:color w:val="auto"/>
        </w:rPr>
      </w:pPr>
    </w:p>
    <w:p>
      <w:pPr>
        <w:spacing w:after="0"/>
        <w:rPr>
          <w:sz w:val="20"/>
          <w:szCs w:val="20"/>
          <w:color w:val="auto"/>
        </w:rPr>
      </w:pPr>
      <w:r>
        <w:rPr>
          <w:rFonts w:ascii="Calibri" w:cs="Calibri" w:eastAsia="Calibri" w:hAnsi="Calibri"/>
          <w:sz w:val="13"/>
          <w:szCs w:val="13"/>
          <w:color w:val="auto"/>
        </w:rPr>
        <w:t>Los Angeles, California</w:t>
      </w:r>
    </w:p>
    <w:p>
      <w:pPr>
        <w:spacing w:after="0" w:line="181" w:lineRule="exact"/>
        <w:rPr>
          <w:sz w:val="20"/>
          <w:szCs w:val="20"/>
          <w:color w:val="auto"/>
        </w:rPr>
      </w:pPr>
    </w:p>
    <w:p>
      <w:pPr>
        <w:spacing w:after="0"/>
        <w:rPr>
          <w:sz w:val="20"/>
          <w:szCs w:val="20"/>
          <w:color w:val="auto"/>
        </w:rPr>
      </w:pPr>
      <w:r>
        <w:rPr>
          <w:rFonts w:ascii="Calibri" w:cs="Calibri" w:eastAsia="Calibri" w:hAnsi="Calibri"/>
          <w:sz w:val="13"/>
          <w:szCs w:val="13"/>
          <w:color w:val="auto"/>
        </w:rPr>
        <w:t>December 22, 2022</w:t>
      </w:r>
    </w:p>
    <w:p>
      <w:pPr>
        <w:sectPr>
          <w:pgSz w:w="11900" w:h="16838" w:orient="portrait"/>
          <w:cols w:equalWidth="0" w:num="1">
            <w:col w:w="11280"/>
          </w:cols>
          <w:pgMar w:left="300" w:top="119" w:right="319" w:bottom="1440" w:gutter="0" w:footer="0" w:header="0"/>
        </w:sectPr>
      </w:pPr>
    </w:p>
    <w:bookmarkStart w:id="112" w:name="page113"/>
    <w:bookmarkEnd w:id="112"/>
    <w:p>
      <w:pPr>
        <w:jc w:val="right"/>
        <w:spacing w:after="0"/>
        <w:rPr>
          <w:sz w:val="20"/>
          <w:szCs w:val="20"/>
          <w:color w:val="auto"/>
        </w:rPr>
      </w:pPr>
      <w:r>
        <w:rPr>
          <w:rFonts w:ascii="Calibri" w:cs="Calibri" w:eastAsia="Calibri" w:hAnsi="Calibri"/>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OF CHIEF EXECUTIVE OFFICER</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Calibri" w:cs="Calibri" w:eastAsia="Calibri" w:hAnsi="Calibri"/>
          <w:sz w:val="13"/>
          <w:szCs w:val="13"/>
          <w:color w:val="auto"/>
        </w:rPr>
        <w:t>I, Stephen J. Barnard, certfy that:</w:t>
      </w:r>
    </w:p>
    <w:p>
      <w:pPr>
        <w:spacing w:after="0" w:line="149" w:lineRule="exact"/>
        <w:rPr>
          <w:sz w:val="20"/>
          <w:szCs w:val="20"/>
          <w:color w:val="auto"/>
        </w:rPr>
      </w:pPr>
    </w:p>
    <w:p>
      <w:pPr>
        <w:ind w:left="500" w:hanging="240"/>
        <w:spacing w:after="0"/>
        <w:tabs>
          <w:tab w:leader="none" w:pos="500" w:val="left"/>
        </w:tabs>
        <w:numPr>
          <w:ilvl w:val="0"/>
          <w:numId w:val="38"/>
        </w:numPr>
        <w:rPr>
          <w:rFonts w:ascii="Calibri" w:cs="Calibri" w:eastAsia="Calibri" w:hAnsi="Calibri"/>
          <w:sz w:val="13"/>
          <w:szCs w:val="13"/>
          <w:color w:val="auto"/>
        </w:rPr>
      </w:pPr>
      <w:r>
        <w:rPr>
          <w:rFonts w:ascii="Calibri" w:cs="Calibri" w:eastAsia="Calibri" w:hAnsi="Calibri"/>
          <w:sz w:val="13"/>
          <w:szCs w:val="13"/>
          <w:color w:val="auto"/>
        </w:rPr>
        <w:t>I have reviewed this annual report on Form 10-K of Mission Produce, Inc.;</w:t>
      </w:r>
    </w:p>
    <w:p>
      <w:pPr>
        <w:spacing w:after="0" w:line="158" w:lineRule="exact"/>
        <w:rPr>
          <w:rFonts w:ascii="Calibri" w:cs="Calibri" w:eastAsia="Calibri" w:hAnsi="Calibri"/>
          <w:sz w:val="13"/>
          <w:szCs w:val="13"/>
          <w:color w:val="auto"/>
        </w:rPr>
      </w:pPr>
    </w:p>
    <w:p>
      <w:pPr>
        <w:ind w:left="520" w:right="80" w:hanging="260"/>
        <w:spacing w:after="0" w:line="225" w:lineRule="auto"/>
        <w:tabs>
          <w:tab w:leader="none" w:pos="511" w:val="left"/>
        </w:tabs>
        <w:numPr>
          <w:ilvl w:val="0"/>
          <w:numId w:val="38"/>
        </w:numPr>
        <w:rPr>
          <w:rFonts w:ascii="Calibri" w:cs="Calibri" w:eastAsia="Calibri" w:hAnsi="Calibri"/>
          <w:sz w:val="13"/>
          <w:szCs w:val="13"/>
          <w:color w:val="auto"/>
        </w:rPr>
      </w:pPr>
      <w:r>
        <w:rPr>
          <w:rFonts w:ascii="Calibri" w:cs="Calibri" w:eastAsia="Calibri" w:hAnsi="Calibri"/>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Calibri" w:cs="Calibri" w:eastAsia="Calibri" w:hAnsi="Calibri"/>
          <w:sz w:val="13"/>
          <w:szCs w:val="13"/>
          <w:color w:val="auto"/>
        </w:rPr>
      </w:pPr>
    </w:p>
    <w:p>
      <w:pPr>
        <w:ind w:left="520" w:right="20" w:hanging="260"/>
        <w:spacing w:after="0" w:line="233" w:lineRule="auto"/>
        <w:tabs>
          <w:tab w:leader="none" w:pos="511" w:val="left"/>
        </w:tabs>
        <w:numPr>
          <w:ilvl w:val="0"/>
          <w:numId w:val="38"/>
        </w:numPr>
        <w:rPr>
          <w:rFonts w:ascii="Calibri" w:cs="Calibri" w:eastAsia="Calibri" w:hAnsi="Calibri"/>
          <w:sz w:val="13"/>
          <w:szCs w:val="13"/>
          <w:color w:val="auto"/>
        </w:rPr>
      </w:pPr>
      <w:r>
        <w:rPr>
          <w:rFonts w:ascii="Calibri" w:cs="Calibri" w:eastAsia="Calibri" w:hAnsi="Calibri"/>
          <w:sz w:val="13"/>
          <w:szCs w:val="13"/>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58" w:lineRule="exact"/>
        <w:rPr>
          <w:rFonts w:ascii="Calibri" w:cs="Calibri" w:eastAsia="Calibri" w:hAnsi="Calibri"/>
          <w:sz w:val="13"/>
          <w:szCs w:val="13"/>
          <w:color w:val="auto"/>
        </w:rPr>
      </w:pPr>
    </w:p>
    <w:p>
      <w:pPr>
        <w:ind w:left="520" w:right="320" w:hanging="260"/>
        <w:spacing w:after="0" w:line="225" w:lineRule="auto"/>
        <w:tabs>
          <w:tab w:leader="none" w:pos="511" w:val="left"/>
        </w:tabs>
        <w:numPr>
          <w:ilvl w:val="0"/>
          <w:numId w:val="38"/>
        </w:numPr>
        <w:rPr>
          <w:rFonts w:ascii="Calibri" w:cs="Calibri" w:eastAsia="Calibri" w:hAnsi="Calibri"/>
          <w:sz w:val="13"/>
          <w:szCs w:val="13"/>
          <w:color w:val="auto"/>
        </w:rPr>
      </w:pPr>
      <w:r>
        <w:rPr>
          <w:rFonts w:ascii="Calibri" w:cs="Calibri" w:eastAsia="Calibri" w:hAnsi="Calibri"/>
          <w:sz w:val="13"/>
          <w:szCs w:val="13"/>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58" w:lineRule="exact"/>
        <w:rPr>
          <w:rFonts w:ascii="Calibri" w:cs="Calibri" w:eastAsia="Calibri" w:hAnsi="Calibri"/>
          <w:sz w:val="13"/>
          <w:szCs w:val="13"/>
          <w:color w:val="auto"/>
        </w:rPr>
      </w:pPr>
    </w:p>
    <w:p>
      <w:pPr>
        <w:ind w:left="1020" w:right="420" w:hanging="251"/>
        <w:spacing w:after="0" w:line="233" w:lineRule="auto"/>
        <w:tabs>
          <w:tab w:leader="none" w:pos="1020"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58" w:lineRule="exact"/>
        <w:rPr>
          <w:rFonts w:ascii="Calibri" w:cs="Calibri" w:eastAsia="Calibri" w:hAnsi="Calibri"/>
          <w:sz w:val="13"/>
          <w:szCs w:val="13"/>
          <w:color w:val="auto"/>
        </w:rPr>
      </w:pPr>
    </w:p>
    <w:p>
      <w:pPr>
        <w:ind w:left="1020" w:right="160" w:hanging="251"/>
        <w:spacing w:after="0" w:line="225" w:lineRule="auto"/>
        <w:tabs>
          <w:tab w:leader="none" w:pos="1016"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58" w:lineRule="exact"/>
        <w:rPr>
          <w:rFonts w:ascii="Calibri" w:cs="Calibri" w:eastAsia="Calibri" w:hAnsi="Calibri"/>
          <w:sz w:val="13"/>
          <w:szCs w:val="13"/>
          <w:color w:val="auto"/>
        </w:rPr>
      </w:pPr>
    </w:p>
    <w:p>
      <w:pPr>
        <w:ind w:left="1020" w:right="80" w:hanging="251"/>
        <w:spacing w:after="0" w:line="225" w:lineRule="auto"/>
        <w:tabs>
          <w:tab w:leader="none" w:pos="1013"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69" w:lineRule="exact"/>
        <w:rPr>
          <w:rFonts w:ascii="Calibri" w:cs="Calibri" w:eastAsia="Calibri" w:hAnsi="Calibri"/>
          <w:sz w:val="13"/>
          <w:szCs w:val="13"/>
          <w:color w:val="auto"/>
        </w:rPr>
      </w:pPr>
    </w:p>
    <w:p>
      <w:pPr>
        <w:ind w:left="1020" w:right="200" w:hanging="251"/>
        <w:spacing w:after="0" w:line="225" w:lineRule="auto"/>
        <w:tabs>
          <w:tab w:leader="none" w:pos="1016"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58" w:lineRule="exact"/>
        <w:rPr>
          <w:rFonts w:ascii="Calibri" w:cs="Calibri" w:eastAsia="Calibri" w:hAnsi="Calibri"/>
          <w:sz w:val="13"/>
          <w:szCs w:val="13"/>
          <w:color w:val="auto"/>
        </w:rPr>
      </w:pPr>
    </w:p>
    <w:p>
      <w:pPr>
        <w:ind w:left="520" w:right="380" w:hanging="260"/>
        <w:spacing w:after="0" w:line="225" w:lineRule="auto"/>
        <w:tabs>
          <w:tab w:leader="none" w:pos="511" w:val="left"/>
        </w:tabs>
        <w:numPr>
          <w:ilvl w:val="0"/>
          <w:numId w:val="38"/>
        </w:numPr>
        <w:rPr>
          <w:rFonts w:ascii="Calibri" w:cs="Calibri" w:eastAsia="Calibri" w:hAnsi="Calibri"/>
          <w:sz w:val="13"/>
          <w:szCs w:val="13"/>
          <w:color w:val="auto"/>
        </w:rPr>
      </w:pPr>
      <w:r>
        <w:rPr>
          <w:rFonts w:ascii="Calibri" w:cs="Calibri" w:eastAsia="Calibri" w:hAnsi="Calibri"/>
          <w:sz w:val="13"/>
          <w:szCs w:val="13"/>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58" w:lineRule="exact"/>
        <w:rPr>
          <w:rFonts w:ascii="Calibri" w:cs="Calibri" w:eastAsia="Calibri" w:hAnsi="Calibri"/>
          <w:sz w:val="13"/>
          <w:szCs w:val="13"/>
          <w:color w:val="auto"/>
        </w:rPr>
      </w:pPr>
    </w:p>
    <w:p>
      <w:pPr>
        <w:ind w:left="1020" w:right="360" w:hanging="251"/>
        <w:spacing w:after="0" w:line="233" w:lineRule="auto"/>
        <w:tabs>
          <w:tab w:leader="none" w:pos="1020"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49" w:lineRule="exact"/>
        <w:rPr>
          <w:rFonts w:ascii="Calibri" w:cs="Calibri" w:eastAsia="Calibri" w:hAnsi="Calibri"/>
          <w:sz w:val="13"/>
          <w:szCs w:val="13"/>
          <w:color w:val="auto"/>
        </w:rPr>
      </w:pPr>
    </w:p>
    <w:p>
      <w:pPr>
        <w:ind w:left="1020" w:hanging="251"/>
        <w:spacing w:after="0"/>
        <w:tabs>
          <w:tab w:leader="none" w:pos="1020"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Any fraud, whether or not material, that involves management or other employees who have a signifcant role in the registrant's internal control over fnancial reportng.</w:t>
      </w:r>
    </w:p>
    <w:p>
      <w:pPr>
        <w:spacing w:after="0" w:line="372" w:lineRule="exact"/>
        <w:rPr>
          <w:sz w:val="20"/>
          <w:szCs w:val="20"/>
          <w:color w:val="auto"/>
        </w:rPr>
      </w:pPr>
    </w:p>
    <w:p>
      <w:pPr>
        <w:ind w:left="8440"/>
        <w:spacing w:after="0"/>
        <w:rPr>
          <w:sz w:val="20"/>
          <w:szCs w:val="20"/>
          <w:color w:val="auto"/>
        </w:rPr>
      </w:pPr>
      <w:r>
        <w:rPr>
          <w:rFonts w:ascii="Calibri" w:cs="Calibri" w:eastAsia="Calibri" w:hAnsi="Calibri"/>
          <w:sz w:val="13"/>
          <w:szCs w:val="13"/>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14605</wp:posOffset>
            </wp:positionV>
            <wp:extent cx="287655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spacing w:after="0" w:line="12" w:lineRule="exact"/>
        <w:rPr>
          <w:sz w:val="20"/>
          <w:szCs w:val="20"/>
          <w:color w:val="auto"/>
        </w:rPr>
      </w:pPr>
    </w:p>
    <w:p>
      <w:pPr>
        <w:ind w:left="8540"/>
        <w:spacing w:after="0"/>
        <w:rPr>
          <w:sz w:val="20"/>
          <w:szCs w:val="20"/>
          <w:color w:val="auto"/>
        </w:rPr>
      </w:pPr>
      <w:r>
        <w:rPr>
          <w:rFonts w:ascii="Calibri" w:cs="Calibri" w:eastAsia="Calibri" w:hAnsi="Calibri"/>
          <w:sz w:val="13"/>
          <w:szCs w:val="13"/>
          <w:color w:val="auto"/>
        </w:rPr>
        <w:t>Stephen J. Barnard</w:t>
      </w:r>
    </w:p>
    <w:p>
      <w:pPr>
        <w:spacing w:after="0" w:line="22" w:lineRule="exact"/>
        <w:rPr>
          <w:sz w:val="20"/>
          <w:szCs w:val="20"/>
          <w:color w:val="auto"/>
        </w:rPr>
      </w:pPr>
    </w:p>
    <w:p>
      <w:pPr>
        <w:ind w:left="8120"/>
        <w:spacing w:after="0"/>
        <w:rPr>
          <w:sz w:val="20"/>
          <w:szCs w:val="20"/>
          <w:color w:val="auto"/>
        </w:rPr>
      </w:pPr>
      <w:r>
        <w:rPr>
          <w:rFonts w:ascii="Calibri" w:cs="Calibri" w:eastAsia="Calibri" w:hAnsi="Calibri"/>
          <w:sz w:val="13"/>
          <w:szCs w:val="13"/>
          <w:i w:val="1"/>
          <w:iCs w:val="1"/>
          <w:color w:val="auto"/>
        </w:rPr>
        <w:t>Chief Executve Ofcer and Director</w:t>
      </w:r>
    </w:p>
    <w:p>
      <w:pPr>
        <w:spacing w:after="0" w:line="223" w:lineRule="exact"/>
        <w:rPr>
          <w:sz w:val="20"/>
          <w:szCs w:val="20"/>
          <w:color w:val="auto"/>
        </w:rPr>
      </w:pPr>
    </w:p>
    <w:p>
      <w:pPr>
        <w:spacing w:after="0"/>
        <w:rPr>
          <w:sz w:val="20"/>
          <w:szCs w:val="20"/>
          <w:color w:val="auto"/>
        </w:rPr>
      </w:pPr>
      <w:r>
        <w:rPr>
          <w:rFonts w:ascii="Calibri" w:cs="Calibri" w:eastAsia="Calibri" w:hAnsi="Calibri"/>
          <w:sz w:val="13"/>
          <w:szCs w:val="13"/>
          <w:color w:val="auto"/>
        </w:rPr>
        <w:t>Date: December 22, 2022</w:t>
      </w:r>
    </w:p>
    <w:p>
      <w:pPr>
        <w:sectPr>
          <w:pgSz w:w="11900" w:h="16838" w:orient="portrait"/>
          <w:cols w:equalWidth="0" w:num="1">
            <w:col w:w="11280"/>
          </w:cols>
          <w:pgMar w:left="300" w:top="119" w:right="319" w:bottom="1440" w:gutter="0" w:footer="0" w:header="0"/>
        </w:sectPr>
      </w:pPr>
    </w:p>
    <w:bookmarkStart w:id="113" w:name="page114"/>
    <w:bookmarkEnd w:id="113"/>
    <w:p>
      <w:pPr>
        <w:jc w:val="right"/>
        <w:spacing w:after="0"/>
        <w:rPr>
          <w:sz w:val="20"/>
          <w:szCs w:val="20"/>
          <w:color w:val="auto"/>
        </w:rPr>
      </w:pPr>
      <w:r>
        <w:rPr>
          <w:rFonts w:ascii="Calibri" w:cs="Calibri" w:eastAsia="Calibri" w:hAnsi="Calibri"/>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OF CHIEF FINANCIAL OFFICER</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Calibri" w:cs="Calibri" w:eastAsia="Calibri" w:hAnsi="Calibri"/>
          <w:sz w:val="13"/>
          <w:szCs w:val="13"/>
          <w:color w:val="auto"/>
        </w:rPr>
        <w:t>I, Bryan E. Giles, certfy that:</w:t>
      </w:r>
    </w:p>
    <w:p>
      <w:pPr>
        <w:spacing w:after="0" w:line="149" w:lineRule="exact"/>
        <w:rPr>
          <w:sz w:val="20"/>
          <w:szCs w:val="20"/>
          <w:color w:val="auto"/>
        </w:rPr>
      </w:pPr>
    </w:p>
    <w:p>
      <w:pPr>
        <w:ind w:left="500" w:hanging="240"/>
        <w:spacing w:after="0"/>
        <w:tabs>
          <w:tab w:leader="none" w:pos="500" w:val="left"/>
        </w:tabs>
        <w:numPr>
          <w:ilvl w:val="0"/>
          <w:numId w:val="39"/>
        </w:numPr>
        <w:rPr>
          <w:rFonts w:ascii="Calibri" w:cs="Calibri" w:eastAsia="Calibri" w:hAnsi="Calibri"/>
          <w:sz w:val="13"/>
          <w:szCs w:val="13"/>
          <w:color w:val="auto"/>
        </w:rPr>
      </w:pPr>
      <w:r>
        <w:rPr>
          <w:rFonts w:ascii="Calibri" w:cs="Calibri" w:eastAsia="Calibri" w:hAnsi="Calibri"/>
          <w:sz w:val="13"/>
          <w:szCs w:val="13"/>
          <w:color w:val="auto"/>
        </w:rPr>
        <w:t>I have reviewed this annual report on Form 10-K of Mission Produce, Inc.;</w:t>
      </w:r>
    </w:p>
    <w:p>
      <w:pPr>
        <w:spacing w:after="0" w:line="158" w:lineRule="exact"/>
        <w:rPr>
          <w:rFonts w:ascii="Calibri" w:cs="Calibri" w:eastAsia="Calibri" w:hAnsi="Calibri"/>
          <w:sz w:val="13"/>
          <w:szCs w:val="13"/>
          <w:color w:val="auto"/>
        </w:rPr>
      </w:pPr>
    </w:p>
    <w:p>
      <w:pPr>
        <w:ind w:left="520" w:right="80" w:hanging="260"/>
        <w:spacing w:after="0" w:line="225" w:lineRule="auto"/>
        <w:tabs>
          <w:tab w:leader="none" w:pos="511" w:val="left"/>
        </w:tabs>
        <w:numPr>
          <w:ilvl w:val="0"/>
          <w:numId w:val="39"/>
        </w:numPr>
        <w:rPr>
          <w:rFonts w:ascii="Calibri" w:cs="Calibri" w:eastAsia="Calibri" w:hAnsi="Calibri"/>
          <w:sz w:val="13"/>
          <w:szCs w:val="13"/>
          <w:color w:val="auto"/>
        </w:rPr>
      </w:pPr>
      <w:r>
        <w:rPr>
          <w:rFonts w:ascii="Calibri" w:cs="Calibri" w:eastAsia="Calibri" w:hAnsi="Calibri"/>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Calibri" w:cs="Calibri" w:eastAsia="Calibri" w:hAnsi="Calibri"/>
          <w:sz w:val="13"/>
          <w:szCs w:val="13"/>
          <w:color w:val="auto"/>
        </w:rPr>
      </w:pPr>
    </w:p>
    <w:p>
      <w:pPr>
        <w:ind w:left="520" w:right="20" w:hanging="260"/>
        <w:spacing w:after="0" w:line="233" w:lineRule="auto"/>
        <w:tabs>
          <w:tab w:leader="none" w:pos="511" w:val="left"/>
        </w:tabs>
        <w:numPr>
          <w:ilvl w:val="0"/>
          <w:numId w:val="39"/>
        </w:numPr>
        <w:rPr>
          <w:rFonts w:ascii="Calibri" w:cs="Calibri" w:eastAsia="Calibri" w:hAnsi="Calibri"/>
          <w:sz w:val="13"/>
          <w:szCs w:val="13"/>
          <w:color w:val="auto"/>
        </w:rPr>
      </w:pPr>
      <w:r>
        <w:rPr>
          <w:rFonts w:ascii="Calibri" w:cs="Calibri" w:eastAsia="Calibri" w:hAnsi="Calibri"/>
          <w:sz w:val="13"/>
          <w:szCs w:val="13"/>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58" w:lineRule="exact"/>
        <w:rPr>
          <w:rFonts w:ascii="Calibri" w:cs="Calibri" w:eastAsia="Calibri" w:hAnsi="Calibri"/>
          <w:sz w:val="13"/>
          <w:szCs w:val="13"/>
          <w:color w:val="auto"/>
        </w:rPr>
      </w:pPr>
    </w:p>
    <w:p>
      <w:pPr>
        <w:ind w:left="520" w:right="320" w:hanging="260"/>
        <w:spacing w:after="0" w:line="225" w:lineRule="auto"/>
        <w:tabs>
          <w:tab w:leader="none" w:pos="511" w:val="left"/>
        </w:tabs>
        <w:numPr>
          <w:ilvl w:val="0"/>
          <w:numId w:val="39"/>
        </w:numPr>
        <w:rPr>
          <w:rFonts w:ascii="Calibri" w:cs="Calibri" w:eastAsia="Calibri" w:hAnsi="Calibri"/>
          <w:sz w:val="13"/>
          <w:szCs w:val="13"/>
          <w:color w:val="auto"/>
        </w:rPr>
      </w:pPr>
      <w:r>
        <w:rPr>
          <w:rFonts w:ascii="Calibri" w:cs="Calibri" w:eastAsia="Calibri" w:hAnsi="Calibri"/>
          <w:sz w:val="13"/>
          <w:szCs w:val="13"/>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58" w:lineRule="exact"/>
        <w:rPr>
          <w:rFonts w:ascii="Calibri" w:cs="Calibri" w:eastAsia="Calibri" w:hAnsi="Calibri"/>
          <w:sz w:val="13"/>
          <w:szCs w:val="13"/>
          <w:color w:val="auto"/>
        </w:rPr>
      </w:pPr>
    </w:p>
    <w:p>
      <w:pPr>
        <w:ind w:left="1020" w:right="420" w:hanging="251"/>
        <w:spacing w:after="0" w:line="233" w:lineRule="auto"/>
        <w:tabs>
          <w:tab w:leader="none" w:pos="1020" w:val="left"/>
        </w:tabs>
        <w:numPr>
          <w:ilvl w:val="1"/>
          <w:numId w:val="39"/>
        </w:numPr>
        <w:rPr>
          <w:rFonts w:ascii="Calibri" w:cs="Calibri" w:eastAsia="Calibri" w:hAnsi="Calibri"/>
          <w:sz w:val="13"/>
          <w:szCs w:val="13"/>
          <w:color w:val="auto"/>
        </w:rPr>
      </w:pPr>
      <w:r>
        <w:rPr>
          <w:rFonts w:ascii="Calibri" w:cs="Calibri" w:eastAsia="Calibri" w:hAnsi="Calibri"/>
          <w:sz w:val="13"/>
          <w:szCs w:val="13"/>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58" w:lineRule="exact"/>
        <w:rPr>
          <w:rFonts w:ascii="Calibri" w:cs="Calibri" w:eastAsia="Calibri" w:hAnsi="Calibri"/>
          <w:sz w:val="13"/>
          <w:szCs w:val="13"/>
          <w:color w:val="auto"/>
        </w:rPr>
      </w:pPr>
    </w:p>
    <w:p>
      <w:pPr>
        <w:ind w:left="1020" w:right="160" w:hanging="251"/>
        <w:spacing w:after="0" w:line="225" w:lineRule="auto"/>
        <w:tabs>
          <w:tab w:leader="none" w:pos="1016" w:val="left"/>
        </w:tabs>
        <w:numPr>
          <w:ilvl w:val="1"/>
          <w:numId w:val="39"/>
        </w:numPr>
        <w:rPr>
          <w:rFonts w:ascii="Calibri" w:cs="Calibri" w:eastAsia="Calibri" w:hAnsi="Calibri"/>
          <w:sz w:val="13"/>
          <w:szCs w:val="13"/>
          <w:color w:val="auto"/>
        </w:rPr>
      </w:pPr>
      <w:r>
        <w:rPr>
          <w:rFonts w:ascii="Calibri" w:cs="Calibri" w:eastAsia="Calibri" w:hAnsi="Calibri"/>
          <w:sz w:val="13"/>
          <w:szCs w:val="13"/>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58" w:lineRule="exact"/>
        <w:rPr>
          <w:rFonts w:ascii="Calibri" w:cs="Calibri" w:eastAsia="Calibri" w:hAnsi="Calibri"/>
          <w:sz w:val="13"/>
          <w:szCs w:val="13"/>
          <w:color w:val="auto"/>
        </w:rPr>
      </w:pPr>
    </w:p>
    <w:p>
      <w:pPr>
        <w:ind w:left="1020" w:right="80" w:hanging="251"/>
        <w:spacing w:after="0" w:line="225" w:lineRule="auto"/>
        <w:tabs>
          <w:tab w:leader="none" w:pos="1013" w:val="left"/>
        </w:tabs>
        <w:numPr>
          <w:ilvl w:val="1"/>
          <w:numId w:val="39"/>
        </w:numPr>
        <w:rPr>
          <w:rFonts w:ascii="Calibri" w:cs="Calibri" w:eastAsia="Calibri" w:hAnsi="Calibri"/>
          <w:sz w:val="13"/>
          <w:szCs w:val="13"/>
          <w:color w:val="auto"/>
        </w:rPr>
      </w:pPr>
      <w:r>
        <w:rPr>
          <w:rFonts w:ascii="Calibri" w:cs="Calibri" w:eastAsia="Calibri" w:hAnsi="Calibri"/>
          <w:sz w:val="13"/>
          <w:szCs w:val="13"/>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69" w:lineRule="exact"/>
        <w:rPr>
          <w:rFonts w:ascii="Calibri" w:cs="Calibri" w:eastAsia="Calibri" w:hAnsi="Calibri"/>
          <w:sz w:val="13"/>
          <w:szCs w:val="13"/>
          <w:color w:val="auto"/>
        </w:rPr>
      </w:pPr>
    </w:p>
    <w:p>
      <w:pPr>
        <w:ind w:left="1020" w:right="200" w:hanging="251"/>
        <w:spacing w:after="0" w:line="225" w:lineRule="auto"/>
        <w:tabs>
          <w:tab w:leader="none" w:pos="1016" w:val="left"/>
        </w:tabs>
        <w:numPr>
          <w:ilvl w:val="1"/>
          <w:numId w:val="39"/>
        </w:numPr>
        <w:rPr>
          <w:rFonts w:ascii="Calibri" w:cs="Calibri" w:eastAsia="Calibri" w:hAnsi="Calibri"/>
          <w:sz w:val="13"/>
          <w:szCs w:val="13"/>
          <w:color w:val="auto"/>
        </w:rPr>
      </w:pPr>
      <w:r>
        <w:rPr>
          <w:rFonts w:ascii="Calibri" w:cs="Calibri" w:eastAsia="Calibri" w:hAnsi="Calibri"/>
          <w:sz w:val="13"/>
          <w:szCs w:val="13"/>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58" w:lineRule="exact"/>
        <w:rPr>
          <w:rFonts w:ascii="Calibri" w:cs="Calibri" w:eastAsia="Calibri" w:hAnsi="Calibri"/>
          <w:sz w:val="13"/>
          <w:szCs w:val="13"/>
          <w:color w:val="auto"/>
        </w:rPr>
      </w:pPr>
    </w:p>
    <w:p>
      <w:pPr>
        <w:ind w:left="520" w:right="380" w:hanging="260"/>
        <w:spacing w:after="0" w:line="225" w:lineRule="auto"/>
        <w:tabs>
          <w:tab w:leader="none" w:pos="511" w:val="left"/>
        </w:tabs>
        <w:numPr>
          <w:ilvl w:val="0"/>
          <w:numId w:val="39"/>
        </w:numPr>
        <w:rPr>
          <w:rFonts w:ascii="Calibri" w:cs="Calibri" w:eastAsia="Calibri" w:hAnsi="Calibri"/>
          <w:sz w:val="13"/>
          <w:szCs w:val="13"/>
          <w:color w:val="auto"/>
        </w:rPr>
      </w:pPr>
      <w:r>
        <w:rPr>
          <w:rFonts w:ascii="Calibri" w:cs="Calibri" w:eastAsia="Calibri" w:hAnsi="Calibri"/>
          <w:sz w:val="13"/>
          <w:szCs w:val="13"/>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58" w:lineRule="exact"/>
        <w:rPr>
          <w:rFonts w:ascii="Calibri" w:cs="Calibri" w:eastAsia="Calibri" w:hAnsi="Calibri"/>
          <w:sz w:val="13"/>
          <w:szCs w:val="13"/>
          <w:color w:val="auto"/>
        </w:rPr>
      </w:pPr>
    </w:p>
    <w:p>
      <w:pPr>
        <w:ind w:left="1020" w:right="360" w:hanging="251"/>
        <w:spacing w:after="0" w:line="233" w:lineRule="auto"/>
        <w:tabs>
          <w:tab w:leader="none" w:pos="1020" w:val="left"/>
        </w:tabs>
        <w:numPr>
          <w:ilvl w:val="1"/>
          <w:numId w:val="39"/>
        </w:numPr>
        <w:rPr>
          <w:rFonts w:ascii="Calibri" w:cs="Calibri" w:eastAsia="Calibri" w:hAnsi="Calibri"/>
          <w:sz w:val="13"/>
          <w:szCs w:val="13"/>
          <w:color w:val="auto"/>
        </w:rPr>
      </w:pPr>
      <w:r>
        <w:rPr>
          <w:rFonts w:ascii="Calibri" w:cs="Calibri" w:eastAsia="Calibri" w:hAnsi="Calibri"/>
          <w:sz w:val="13"/>
          <w:szCs w:val="13"/>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49" w:lineRule="exact"/>
        <w:rPr>
          <w:rFonts w:ascii="Calibri" w:cs="Calibri" w:eastAsia="Calibri" w:hAnsi="Calibri"/>
          <w:sz w:val="13"/>
          <w:szCs w:val="13"/>
          <w:color w:val="auto"/>
        </w:rPr>
      </w:pPr>
    </w:p>
    <w:p>
      <w:pPr>
        <w:ind w:left="1020" w:hanging="251"/>
        <w:spacing w:after="0"/>
        <w:tabs>
          <w:tab w:leader="none" w:pos="1020" w:val="left"/>
        </w:tabs>
        <w:numPr>
          <w:ilvl w:val="1"/>
          <w:numId w:val="39"/>
        </w:numPr>
        <w:rPr>
          <w:rFonts w:ascii="Calibri" w:cs="Calibri" w:eastAsia="Calibri" w:hAnsi="Calibri"/>
          <w:sz w:val="13"/>
          <w:szCs w:val="13"/>
          <w:color w:val="auto"/>
        </w:rPr>
      </w:pPr>
      <w:r>
        <w:rPr>
          <w:rFonts w:ascii="Calibri" w:cs="Calibri" w:eastAsia="Calibri" w:hAnsi="Calibri"/>
          <w:sz w:val="13"/>
          <w:szCs w:val="13"/>
          <w:color w:val="auto"/>
        </w:rPr>
        <w:t>Any fraud, whether or not material, that involves management or other employees who have a signifcant role in the registrant's internal control over fnancial reportng.</w:t>
      </w:r>
    </w:p>
    <w:p>
      <w:pPr>
        <w:spacing w:after="0" w:line="372" w:lineRule="exact"/>
        <w:rPr>
          <w:sz w:val="20"/>
          <w:szCs w:val="20"/>
          <w:color w:val="auto"/>
        </w:rPr>
      </w:pPr>
    </w:p>
    <w:p>
      <w:pPr>
        <w:jc w:val="center"/>
        <w:ind w:left="6740"/>
        <w:spacing w:after="0"/>
        <w:rPr>
          <w:sz w:val="20"/>
          <w:szCs w:val="20"/>
          <w:color w:val="auto"/>
        </w:rPr>
      </w:pPr>
      <w:r>
        <w:rPr>
          <w:rFonts w:ascii="Calibri" w:cs="Calibri" w:eastAsia="Calibri" w:hAnsi="Calibri"/>
          <w:sz w:val="13"/>
          <w:szCs w:val="13"/>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14605</wp:posOffset>
            </wp:positionV>
            <wp:extent cx="287655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Calibri" w:cs="Calibri" w:eastAsia="Calibri" w:hAnsi="Calibri"/>
          <w:sz w:val="13"/>
          <w:szCs w:val="13"/>
          <w:color w:val="auto"/>
        </w:rPr>
        <w:t>Bryan E. Giles</w:t>
      </w:r>
    </w:p>
    <w:p>
      <w:pPr>
        <w:spacing w:after="0" w:line="32" w:lineRule="exact"/>
        <w:rPr>
          <w:sz w:val="20"/>
          <w:szCs w:val="20"/>
          <w:color w:val="auto"/>
        </w:rPr>
      </w:pPr>
    </w:p>
    <w:p>
      <w:pPr>
        <w:jc w:val="center"/>
        <w:ind w:left="6740"/>
        <w:spacing w:after="0"/>
        <w:rPr>
          <w:sz w:val="20"/>
          <w:szCs w:val="20"/>
          <w:color w:val="auto"/>
        </w:rPr>
      </w:pPr>
      <w:r>
        <w:rPr>
          <w:rFonts w:ascii="Calibri" w:cs="Calibri" w:eastAsia="Calibri" w:hAnsi="Calibri"/>
          <w:sz w:val="13"/>
          <w:szCs w:val="13"/>
          <w:i w:val="1"/>
          <w:iCs w:val="1"/>
          <w:color w:val="auto"/>
        </w:rPr>
        <w:t>Chief Financial Ofcer</w:t>
      </w:r>
    </w:p>
    <w:p>
      <w:pPr>
        <w:spacing w:after="0" w:line="234" w:lineRule="exact"/>
        <w:rPr>
          <w:sz w:val="20"/>
          <w:szCs w:val="20"/>
          <w:color w:val="auto"/>
        </w:rPr>
      </w:pPr>
    </w:p>
    <w:p>
      <w:pPr>
        <w:spacing w:after="0"/>
        <w:rPr>
          <w:sz w:val="20"/>
          <w:szCs w:val="20"/>
          <w:color w:val="auto"/>
        </w:rPr>
      </w:pPr>
      <w:r>
        <w:rPr>
          <w:rFonts w:ascii="Calibri" w:cs="Calibri" w:eastAsia="Calibri" w:hAnsi="Calibri"/>
          <w:sz w:val="13"/>
          <w:szCs w:val="13"/>
          <w:color w:val="auto"/>
        </w:rPr>
        <w:t>Date: December 22, 2022</w:t>
      </w:r>
    </w:p>
    <w:p>
      <w:pPr>
        <w:sectPr>
          <w:pgSz w:w="11900" w:h="16838" w:orient="portrait"/>
          <w:cols w:equalWidth="0" w:num="1">
            <w:col w:w="11280"/>
          </w:cols>
          <w:pgMar w:left="300" w:top="119" w:right="319" w:bottom="1440" w:gutter="0" w:footer="0" w:header="0"/>
        </w:sectPr>
      </w:pPr>
    </w:p>
    <w:bookmarkStart w:id="114" w:name="page115"/>
    <w:bookmarkEnd w:id="114"/>
    <w:p>
      <w:pPr>
        <w:jc w:val="right"/>
        <w:spacing w:after="0"/>
        <w:rPr>
          <w:sz w:val="20"/>
          <w:szCs w:val="20"/>
          <w:color w:val="auto"/>
        </w:rPr>
      </w:pPr>
      <w:r>
        <w:rPr>
          <w:rFonts w:ascii="Calibri" w:cs="Calibri" w:eastAsia="Calibri" w:hAnsi="Calibri"/>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OF CHIEF EXECUTIVE OFFICER</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PURSUANT TO SECTION 906 OF THE SARBANES-OXLEY ACT OF 2002</w:t>
      </w:r>
    </w:p>
    <w:p>
      <w:pPr>
        <w:spacing w:after="0" w:line="184" w:lineRule="exact"/>
        <w:rPr>
          <w:sz w:val="20"/>
          <w:szCs w:val="20"/>
          <w:color w:val="auto"/>
        </w:rPr>
      </w:pPr>
    </w:p>
    <w:p>
      <w:pPr>
        <w:spacing w:after="0"/>
        <w:rPr>
          <w:sz w:val="20"/>
          <w:szCs w:val="20"/>
          <w:color w:val="auto"/>
        </w:rPr>
      </w:pPr>
      <w:r>
        <w:rPr>
          <w:rFonts w:ascii="Calibri" w:cs="Calibri" w:eastAsia="Calibri" w:hAnsi="Calibri"/>
          <w:sz w:val="13"/>
          <w:szCs w:val="13"/>
          <w:color w:val="auto"/>
        </w:rPr>
        <w:t>Pursuant to 18 U.S.C. Secton 1350, as created by Secton 906 of the Sarbanes-Oxley Act of 2002, the undersigned ofcer of Mission Produce, Inc. (the “Company”) hereby certfes, to the best of his knowledge, that:</w:t>
      </w:r>
    </w:p>
    <w:p>
      <w:pPr>
        <w:spacing w:after="0" w:line="158" w:lineRule="exact"/>
        <w:rPr>
          <w:sz w:val="20"/>
          <w:szCs w:val="20"/>
          <w:color w:val="auto"/>
        </w:rPr>
      </w:pPr>
    </w:p>
    <w:p>
      <w:pPr>
        <w:ind w:left="520" w:right="20" w:hanging="260"/>
        <w:spacing w:after="0" w:line="225" w:lineRule="auto"/>
        <w:tabs>
          <w:tab w:leader="none" w:pos="520" w:val="left"/>
        </w:tabs>
        <w:numPr>
          <w:ilvl w:val="0"/>
          <w:numId w:val="40"/>
        </w:numPr>
        <w:rPr>
          <w:rFonts w:ascii="Calibri" w:cs="Calibri" w:eastAsia="Calibri" w:hAnsi="Calibri"/>
          <w:sz w:val="13"/>
          <w:szCs w:val="13"/>
          <w:color w:val="auto"/>
        </w:rPr>
      </w:pPr>
      <w:r>
        <w:rPr>
          <w:rFonts w:ascii="Calibri" w:cs="Calibri" w:eastAsia="Calibri" w:hAnsi="Calibri"/>
          <w:sz w:val="13"/>
          <w:szCs w:val="13"/>
          <w:color w:val="auto"/>
        </w:rPr>
        <w:t>the Annual Report on Form 10-K of the Company for the fscal year ended October 31, 2022 (the “Report”) fully complies with the requirements of Secton 13(a) or Secton 15(d), as applicable, of the Securites Exchange Act of 1934, as amended; and</w:t>
      </w:r>
    </w:p>
    <w:p>
      <w:pPr>
        <w:spacing w:after="0" w:line="149" w:lineRule="exact"/>
        <w:rPr>
          <w:rFonts w:ascii="Calibri" w:cs="Calibri" w:eastAsia="Calibri" w:hAnsi="Calibri"/>
          <w:sz w:val="13"/>
          <w:szCs w:val="13"/>
          <w:color w:val="auto"/>
        </w:rPr>
      </w:pPr>
    </w:p>
    <w:p>
      <w:pPr>
        <w:ind w:left="520" w:hanging="260"/>
        <w:spacing w:after="0"/>
        <w:tabs>
          <w:tab w:leader="none" w:pos="520" w:val="left"/>
        </w:tabs>
        <w:numPr>
          <w:ilvl w:val="0"/>
          <w:numId w:val="40"/>
        </w:numPr>
        <w:rPr>
          <w:rFonts w:ascii="Calibri" w:cs="Calibri" w:eastAsia="Calibri" w:hAnsi="Calibri"/>
          <w:sz w:val="13"/>
          <w:szCs w:val="13"/>
          <w:color w:val="auto"/>
        </w:rPr>
      </w:pPr>
      <w:r>
        <w:rPr>
          <w:rFonts w:ascii="Calibri" w:cs="Calibri" w:eastAsia="Calibri" w:hAnsi="Calibri"/>
          <w:sz w:val="13"/>
          <w:szCs w:val="13"/>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331" w:lineRule="exact"/>
        <w:rPr>
          <w:sz w:val="20"/>
          <w:szCs w:val="20"/>
          <w:color w:val="auto"/>
        </w:rPr>
      </w:pPr>
    </w:p>
    <w:p>
      <w:pPr>
        <w:ind w:left="8440"/>
        <w:spacing w:after="0"/>
        <w:rPr>
          <w:sz w:val="20"/>
          <w:szCs w:val="20"/>
          <w:color w:val="auto"/>
        </w:rPr>
      </w:pPr>
      <w:r>
        <w:rPr>
          <w:rFonts w:ascii="Calibri" w:cs="Calibri" w:eastAsia="Calibri" w:hAnsi="Calibri"/>
          <w:sz w:val="13"/>
          <w:szCs w:val="13"/>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14605</wp:posOffset>
            </wp:positionV>
            <wp:extent cx="28765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spacing w:after="0" w:line="12" w:lineRule="exact"/>
        <w:rPr>
          <w:sz w:val="20"/>
          <w:szCs w:val="20"/>
          <w:color w:val="auto"/>
        </w:rPr>
      </w:pPr>
    </w:p>
    <w:p>
      <w:pPr>
        <w:ind w:left="8540"/>
        <w:spacing w:after="0"/>
        <w:rPr>
          <w:sz w:val="20"/>
          <w:szCs w:val="20"/>
          <w:color w:val="auto"/>
        </w:rPr>
      </w:pPr>
      <w:r>
        <w:rPr>
          <w:rFonts w:ascii="Calibri" w:cs="Calibri" w:eastAsia="Calibri" w:hAnsi="Calibri"/>
          <w:sz w:val="13"/>
          <w:szCs w:val="13"/>
          <w:color w:val="auto"/>
        </w:rPr>
        <w:t>Stephen J. Barnard</w:t>
      </w:r>
    </w:p>
    <w:p>
      <w:pPr>
        <w:spacing w:after="0" w:line="22" w:lineRule="exact"/>
        <w:rPr>
          <w:sz w:val="20"/>
          <w:szCs w:val="20"/>
          <w:color w:val="auto"/>
        </w:rPr>
      </w:pPr>
    </w:p>
    <w:p>
      <w:pPr>
        <w:ind w:left="8120"/>
        <w:spacing w:after="0"/>
        <w:rPr>
          <w:sz w:val="20"/>
          <w:szCs w:val="20"/>
          <w:color w:val="auto"/>
        </w:rPr>
      </w:pPr>
      <w:r>
        <w:rPr>
          <w:rFonts w:ascii="Calibri" w:cs="Calibri" w:eastAsia="Calibri" w:hAnsi="Calibri"/>
          <w:sz w:val="13"/>
          <w:szCs w:val="13"/>
          <w:i w:val="1"/>
          <w:iCs w:val="1"/>
          <w:color w:val="auto"/>
        </w:rPr>
        <w:t>Chief Executve Ofcer and Director</w:t>
      </w:r>
    </w:p>
    <w:p>
      <w:pPr>
        <w:spacing w:after="0" w:line="223" w:lineRule="exact"/>
        <w:rPr>
          <w:sz w:val="20"/>
          <w:szCs w:val="20"/>
          <w:color w:val="auto"/>
        </w:rPr>
      </w:pPr>
    </w:p>
    <w:p>
      <w:pPr>
        <w:spacing w:after="0"/>
        <w:rPr>
          <w:sz w:val="20"/>
          <w:szCs w:val="20"/>
          <w:color w:val="auto"/>
        </w:rPr>
      </w:pPr>
      <w:r>
        <w:rPr>
          <w:rFonts w:ascii="Calibri" w:cs="Calibri" w:eastAsia="Calibri" w:hAnsi="Calibri"/>
          <w:sz w:val="13"/>
          <w:szCs w:val="13"/>
          <w:color w:val="auto"/>
        </w:rPr>
        <w:t>Date: December 22, 2022</w:t>
      </w:r>
    </w:p>
    <w:p>
      <w:pPr>
        <w:sectPr>
          <w:pgSz w:w="11900" w:h="16838" w:orient="portrait"/>
          <w:cols w:equalWidth="0" w:num="1">
            <w:col w:w="11280"/>
          </w:cols>
          <w:pgMar w:left="300" w:top="119" w:right="319" w:bottom="1440" w:gutter="0" w:footer="0" w:header="0"/>
        </w:sectPr>
      </w:pPr>
    </w:p>
    <w:bookmarkStart w:id="115" w:name="page116"/>
    <w:bookmarkEnd w:id="115"/>
    <w:p>
      <w:pPr>
        <w:jc w:val="right"/>
        <w:spacing w:after="0"/>
        <w:rPr>
          <w:sz w:val="20"/>
          <w:szCs w:val="20"/>
          <w:color w:val="auto"/>
        </w:rPr>
      </w:pPr>
      <w:r>
        <w:rPr>
          <w:rFonts w:ascii="Calibri" w:cs="Calibri" w:eastAsia="Calibri" w:hAnsi="Calibri"/>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OF CHIEF FINANCIAL OFFICER</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PURSUANT TO SECTION 906 OF THE SARBANES-OXLEY ACT OF 2002</w:t>
      </w:r>
    </w:p>
    <w:p>
      <w:pPr>
        <w:spacing w:after="0" w:line="184" w:lineRule="exact"/>
        <w:rPr>
          <w:sz w:val="20"/>
          <w:szCs w:val="20"/>
          <w:color w:val="auto"/>
        </w:rPr>
      </w:pPr>
    </w:p>
    <w:p>
      <w:pPr>
        <w:spacing w:after="0"/>
        <w:rPr>
          <w:sz w:val="20"/>
          <w:szCs w:val="20"/>
          <w:color w:val="auto"/>
        </w:rPr>
      </w:pPr>
      <w:r>
        <w:rPr>
          <w:rFonts w:ascii="Calibri" w:cs="Calibri" w:eastAsia="Calibri" w:hAnsi="Calibri"/>
          <w:sz w:val="13"/>
          <w:szCs w:val="13"/>
          <w:color w:val="auto"/>
        </w:rPr>
        <w:t>Pursuant to 18 U.S.C. Secton 1350, as created by Secton 906 of the Sarbanes-Oxley Act of 2002, the undersigned ofcer of Mission Produce, Inc. (the “Company”) hereby certfes, to the best of his knowledge, that:</w:t>
      </w:r>
    </w:p>
    <w:p>
      <w:pPr>
        <w:spacing w:after="0" w:line="158" w:lineRule="exact"/>
        <w:rPr>
          <w:sz w:val="20"/>
          <w:szCs w:val="20"/>
          <w:color w:val="auto"/>
        </w:rPr>
      </w:pPr>
    </w:p>
    <w:p>
      <w:pPr>
        <w:ind w:left="520" w:right="20" w:hanging="260"/>
        <w:spacing w:after="0" w:line="225" w:lineRule="auto"/>
        <w:tabs>
          <w:tab w:leader="none" w:pos="520"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the Annual Report on Form 10-K of the Company for the fscal year ended October 31, 2022 (the “Report”) fully complies with the requirements of Secton 13(a) or Secton 15(d), as applicable, of the Securites Exchange Act of 1934, as amended; and</w:t>
      </w:r>
    </w:p>
    <w:p>
      <w:pPr>
        <w:spacing w:after="0" w:line="149" w:lineRule="exact"/>
        <w:rPr>
          <w:rFonts w:ascii="Calibri" w:cs="Calibri" w:eastAsia="Calibri" w:hAnsi="Calibri"/>
          <w:sz w:val="13"/>
          <w:szCs w:val="13"/>
          <w:color w:val="auto"/>
        </w:rPr>
      </w:pPr>
    </w:p>
    <w:p>
      <w:pPr>
        <w:ind w:left="520" w:hanging="260"/>
        <w:spacing w:after="0"/>
        <w:tabs>
          <w:tab w:leader="none" w:pos="520"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the informaton contained in the Report fairly presents, in all material respects, the fnancial conditon and results of operatons of the Company.</w:t>
      </w:r>
    </w:p>
    <w:p>
      <w:pPr>
        <w:spacing w:after="0" w:line="372" w:lineRule="exact"/>
        <w:rPr>
          <w:sz w:val="20"/>
          <w:szCs w:val="20"/>
          <w:color w:val="auto"/>
        </w:rPr>
      </w:pPr>
    </w:p>
    <w:p>
      <w:pPr>
        <w:jc w:val="center"/>
        <w:ind w:left="6740"/>
        <w:spacing w:after="0"/>
        <w:rPr>
          <w:sz w:val="20"/>
          <w:szCs w:val="20"/>
          <w:color w:val="auto"/>
        </w:rPr>
      </w:pPr>
      <w:r>
        <w:rPr>
          <w:rFonts w:ascii="Calibri" w:cs="Calibri" w:eastAsia="Calibri" w:hAnsi="Calibri"/>
          <w:sz w:val="13"/>
          <w:szCs w:val="13"/>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14605</wp:posOffset>
            </wp:positionV>
            <wp:extent cx="287655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Calibri" w:cs="Calibri" w:eastAsia="Calibri" w:hAnsi="Calibri"/>
          <w:sz w:val="13"/>
          <w:szCs w:val="13"/>
          <w:color w:val="auto"/>
        </w:rPr>
        <w:t>Bryan E. Giles</w:t>
      </w:r>
    </w:p>
    <w:p>
      <w:pPr>
        <w:spacing w:after="0" w:line="32" w:lineRule="exact"/>
        <w:rPr>
          <w:sz w:val="20"/>
          <w:szCs w:val="20"/>
          <w:color w:val="auto"/>
        </w:rPr>
      </w:pPr>
    </w:p>
    <w:p>
      <w:pPr>
        <w:jc w:val="center"/>
        <w:ind w:left="6740"/>
        <w:spacing w:after="0"/>
        <w:rPr>
          <w:sz w:val="20"/>
          <w:szCs w:val="20"/>
          <w:color w:val="auto"/>
        </w:rPr>
      </w:pPr>
      <w:r>
        <w:rPr>
          <w:rFonts w:ascii="Calibri" w:cs="Calibri" w:eastAsia="Calibri" w:hAnsi="Calibri"/>
          <w:sz w:val="13"/>
          <w:szCs w:val="13"/>
          <w:i w:val="1"/>
          <w:iCs w:val="1"/>
          <w:color w:val="auto"/>
        </w:rPr>
        <w:t>Chief Financial Ofcer</w:t>
      </w:r>
    </w:p>
    <w:p>
      <w:pPr>
        <w:spacing w:after="0" w:line="244" w:lineRule="exact"/>
        <w:rPr>
          <w:sz w:val="20"/>
          <w:szCs w:val="20"/>
          <w:color w:val="auto"/>
        </w:rPr>
      </w:pPr>
    </w:p>
    <w:p>
      <w:pPr>
        <w:spacing w:after="0"/>
        <w:rPr>
          <w:sz w:val="20"/>
          <w:szCs w:val="20"/>
          <w:color w:val="auto"/>
        </w:rPr>
      </w:pPr>
      <w:r>
        <w:rPr>
          <w:rFonts w:ascii="Calibri" w:cs="Calibri" w:eastAsia="Calibri" w:hAnsi="Calibri"/>
          <w:sz w:val="13"/>
          <w:szCs w:val="13"/>
          <w:color w:val="auto"/>
        </w:rPr>
        <w:t>Date: December 22, 2022</w:t>
      </w:r>
    </w:p>
    <w:sectPr>
      <w:pgSz w:w="11900" w:h="16838" w:orient="portrait"/>
      <w:cols w:equalWidth="0" w:num="1">
        <w:col w:w="11280"/>
      </w:cols>
      <w:pgMar w:left="300" w:top="1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2"/>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7"/>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8"/>
    </w:lvl>
  </w:abstractNum>
  <w:abstractNum w:abstractNumId="22">
    <w:nsid w:val="6CEAF087"/>
    <w:multiLevelType w:val="hybridMultilevel"/>
    <w:lvl w:ilvl="0">
      <w:lvlJc w:val="left"/>
      <w:lvlText w:val="%1."/>
      <w:numFmt w:val="decimal"/>
      <w:start w:val="9"/>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2"/>
    </w:lvl>
  </w:abstractNum>
  <w:abstractNum w:abstractNumId="27">
    <w:nsid w:val="419AC241"/>
    <w:multiLevelType w:val="hybridMultilevel"/>
    <w:lvl w:ilvl="0">
      <w:lvlJc w:val="left"/>
      <w:lvlText w:val="%1."/>
      <w:numFmt w:val="decimal"/>
      <w:start w:val="14"/>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5"/>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6"/>
    </w:lvl>
  </w:abstractNum>
  <w:abstractNum w:abstractNumId="35">
    <w:nsid w:val="2463B9EA"/>
    <w:multiLevelType w:val="hybridMultilevel"/>
    <w:lvl w:ilvl="0">
      <w:lvlJc w:val="left"/>
      <w:lvlText w:val="(%1)"/>
      <w:numFmt w:val="lowerRoman"/>
      <w:start w:val="3"/>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lowerRoman"/>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8"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png"/><Relationship Id="rId79" Type="http://schemas.openxmlformats.org/officeDocument/2006/relationships/image" Target="media/image50.png"/><Relationship Id="rId80"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52" Type="http://schemas.openxmlformats.org/officeDocument/2006/relationships/hyperlink" Target="https://www.sec.gov/Archives/edgar/data/1802974/000119312520265099/d32849dex31.htm" TargetMode="External"/><Relationship Id="rId53" Type="http://schemas.openxmlformats.org/officeDocument/2006/relationships/hyperlink" Target="https://www.sec.gov/Archives/edgar/data/1802974/000119312520265099/d32849dex32.htm" TargetMode="External"/><Relationship Id="rId54" Type="http://schemas.openxmlformats.org/officeDocument/2006/relationships/hyperlink" Target="https://www.sec.gov/Archives/edgar/data/1802974/000119312520250637/d829132dex41.htm" TargetMode="External"/><Relationship Id="rId55" Type="http://schemas.openxmlformats.org/officeDocument/2006/relationships/hyperlink" Target="https://www.sec.gov/Archives/edgar/data/1802974/000180297421000049/exhibit42-descriptionofcap.htm" TargetMode="External"/><Relationship Id="rId56" Type="http://schemas.openxmlformats.org/officeDocument/2006/relationships/hyperlink" Target="http://www.sec.gov/Archives/edgar/data/1802974/000119312520244616/d829132dex101.htm" TargetMode="External"/><Relationship Id="rId57" Type="http://schemas.openxmlformats.org/officeDocument/2006/relationships/hyperlink" Target="http://www.sec.gov/Archives/edgar/data/0001802974/000119312520239418/d829132dex102.htm" TargetMode="External"/><Relationship Id="rId58" Type="http://schemas.openxmlformats.org/officeDocument/2006/relationships/hyperlink" Target="http://www.sec.gov/Archives/edgar/data/0001802974/000119312520239418/d829132dex103.htm" TargetMode="External"/><Relationship Id="rId59" Type="http://schemas.openxmlformats.org/officeDocument/2006/relationships/hyperlink" Target="http://www.sec.gov/Archives/edgar/data/0001802974/000119312520239418/d829132dex105.htm" TargetMode="External"/><Relationship Id="rId60" Type="http://schemas.openxmlformats.org/officeDocument/2006/relationships/hyperlink" Target="http://www.sec.gov/Archives/edgar/data/0001802974/000119312520239418/d829132dex106.htm" TargetMode="External"/><Relationship Id="rId61" Type="http://schemas.openxmlformats.org/officeDocument/2006/relationships/hyperlink" Target="http://www.sec.gov/Archives/edgar/data/0001802974/000119312520239418/d829132dex107.htm" TargetMode="External"/><Relationship Id="rId62" Type="http://schemas.openxmlformats.org/officeDocument/2006/relationships/hyperlink" Target="http://www.sec.gov/Archives/edgar/data/0001802974/000119312520239418/d829132dex108.htm" TargetMode="External"/><Relationship Id="rId63" Type="http://schemas.openxmlformats.org/officeDocument/2006/relationships/hyperlink" Target="https://www.sec.gov/Archives/edgar/data/1802974/000119312520250637/d829132dex109.htm" TargetMode="External"/><Relationship Id="rId64" Type="http://schemas.openxmlformats.org/officeDocument/2006/relationships/hyperlink" Target="https://www.sec.gov/Archives/edgar/data/1802974/000119312520250637/d829132dex1010.htm" TargetMode="External"/><Relationship Id="rId65" Type="http://schemas.openxmlformats.org/officeDocument/2006/relationships/hyperlink" Target="https://www.sec.gov/Archives/edgar/data/1802974/000180297421000016/exhibit1011leaseagreement.htm" TargetMode="External"/><Relationship Id="rId66" Type="http://schemas.openxmlformats.org/officeDocument/2006/relationships/hyperlink" Target="https://www.sec.gov/Archives/edgar/data/1802974/000180297421000049/missionproducedcpandadop.htm" TargetMode="External"/><Relationship Id="rId67" Type="http://schemas.openxmlformats.org/officeDocument/2006/relationships/hyperlink" Target="https://www.sec.gov/Archives/edgar/data/1802974/000180297421000049/equitydeferralplan-pland.htm" TargetMode="External"/><Relationship Id="rId69" Type="http://schemas.openxmlformats.org/officeDocument/2006/relationships/hyperlink" Target="https://www.sec.gov/Archives/edgar/data/1802974/000180297421000049/exhibit1016joannewuofferle.htm" TargetMode="External"/><Relationship Id="rId70" Type="http://schemas.openxmlformats.org/officeDocument/2006/relationships/hyperlink" Target="https://www.sec.gov/Archives/edgar/data/1802974/000180297422000018/exh1017secondamendmenttocr.htm" TargetMode="External"/><Relationship Id="rId71" Type="http://schemas.openxmlformats.org/officeDocument/2006/relationships/hyperlink" Target="https://www.sec.gov/Archives/edgar/data/1802974/000180297422000024/mission-directorcompensati.htm" TargetMode="External"/><Relationship Id="rId72" Type="http://schemas.openxmlformats.org/officeDocument/2006/relationships/hyperlink" Target="https://www.sec.gov/Archives/edgar/data/1802974/000180297422000024/offerlettertimbulow.htm" TargetMode="External"/><Relationship Id="rId73" Type="http://schemas.openxmlformats.org/officeDocument/2006/relationships/hyperlink" Target="https://www.sec.gov/Archives/edgar/data/1802974/000180297422000033/thirdamendmentexecuted-m.htm" TargetMode="External"/><Relationship Id="rId74" Type="http://schemas.openxmlformats.org/officeDocument/2006/relationships/hyperlink" Target="https://www.sec.gov/Archives/edgar/data/1802974/000180297421000016/a2020-10k.htm#i0e4dcc4c20894e97854af5f46a429c4d_6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2022-12-22T15:42:49Z</dcterms:created>
  <dcterms:modified xsi:type="dcterms:W3CDTF">2022-12-22T15:42:49Z</dcterms:modified>
</cp:coreProperties>
</file>