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For the quarterly period ended July 31, 2025</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56" w:before="0" w:after="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Commission file number: 001-39561</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MISSION PRODUCE, INC.</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Delaware</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(State or Other Jurisdiction of</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Incorporation or Organization)</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2710 Camino Del Sol</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Oxnard, California</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95-3847744</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(I.R.S. Employer</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Identification No.)</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93030</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(Zip Code)</w:t>
      </w: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center"/>
        <w:rPr/>
      </w:pPr>
      <w:r>
        <w:rPr/>
      </w:r>
    </w:p>
    <w:p>
      <w:pPr>
        <w:pStyle w:val="TextBody"/>
        <w:bidi w:val="0"/>
        <w:spacing w:lineRule="auto" w:line="256" w:before="0" w:after="0"/>
        <w:jc w:val="left"/>
        <w:rPr>
          <w:color w:val="000000"/>
        </w:rPr>
      </w:pPr>
      <w:r>
        <w:rPr>
          <w:color w:val="000000"/>
        </w:rPr>
        <w:t> </w:t>
      </w:r>
    </w:p>
    <w:tbl>
      <w:tblPr>
        <w:tblW w:w="9367" w:type="dxa"/>
        <w:jc w:val="center"/>
        <w:tblInd w:w="0" w:type="dxa"/>
        <w:tblLayout w:type="fixed"/>
        <w:tblCellMar>
          <w:top w:w="28" w:type="dxa"/>
          <w:left w:w="28" w:type="dxa"/>
          <w:bottom w:w="28" w:type="dxa"/>
          <w:right w:w="28" w:type="dxa"/>
        </w:tblCellMar>
      </w:tblPr>
      <w:tblGrid>
        <w:gridCol w:w="1258"/>
        <w:gridCol w:w="1104"/>
        <w:gridCol w:w="1118"/>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bl>
    <w:p>
      <w:pPr>
        <w:pStyle w:val="TextBody"/>
        <w:bidi w:val="0"/>
        <w:spacing w:before="0" w:after="120"/>
        <w:ind w:left="0" w:right="0" w:firstLine="720"/>
        <w:jc w:val="center"/>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60" w:after="60"/>
        <w:ind w:left="0" w:right="0" w:firstLine="720"/>
        <w:jc w:val="left"/>
        <w:rPr/>
      </w:pPr>
      <w:r>
        <w:rPr/>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720"/>
        <w:jc w:val="left"/>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As of September 1, 2025, the registrant had 70,619,092 shares of common stock at $0.001 par value outstanding. </w:t>
      </w:r>
    </w:p>
    <w:p>
      <w:pPr>
        <w:pStyle w:val="TextBody"/>
        <w:bidi w:val="0"/>
        <w:spacing w:before="60" w:after="283"/>
        <w:ind w:left="0" w:right="0" w:firstLine="720"/>
        <w:jc w:val="center"/>
        <w:rPr/>
      </w:pPr>
      <w:r>
        <w:rPr/>
      </w:r>
    </w:p>
    <w:p>
      <w:pPr>
        <w:pStyle w:val="TextBody"/>
        <w:bidi w:val="0"/>
        <w:spacing w:before="60" w:after="283"/>
        <w:ind w:left="0" w:right="0" w:firstLine="49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120" w:after="12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FORM 10-Q</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FISCAL THIRD QUARTER 2025</w:t>
      </w:r>
    </w:p>
    <w:p>
      <w:pPr>
        <w:pStyle w:val="TextBody"/>
        <w:bidi w:val="0"/>
        <w:spacing w:before="120" w:after="120"/>
        <w:jc w:val="center"/>
        <w:rPr/>
      </w:pPr>
      <w:r>
        <w:rPr/>
      </w:r>
    </w:p>
    <w:p>
      <w:pPr>
        <w:pStyle w:val="TextBody"/>
        <w:bidi w:val="0"/>
        <w:spacing w:before="0" w:after="0"/>
        <w:ind w:left="0" w:right="0" w:firstLine="720"/>
        <w:jc w:val="left"/>
        <w:rPr/>
      </w:pPr>
      <w:r>
        <w:rPr/>
      </w:r>
    </w:p>
    <w:tbl>
      <w:tblPr>
        <w:tblW w:w="8839" w:type="dxa"/>
        <w:jc w:val="center"/>
        <w:tblInd w:w="0" w:type="dxa"/>
        <w:tblLayout w:type="fixed"/>
        <w:tblCellMar>
          <w:top w:w="28" w:type="dxa"/>
          <w:left w:w="28" w:type="dxa"/>
          <w:bottom w:w="28" w:type="dxa"/>
          <w:right w:w="28" w:type="dxa"/>
        </w:tblCellMar>
      </w:tblPr>
      <w:tblGrid>
        <w:gridCol w:w="357"/>
        <w:gridCol w:w="314"/>
        <w:gridCol w:w="314"/>
        <w:gridCol w:w="314"/>
        <w:gridCol w:w="314"/>
        <w:gridCol w:w="314"/>
        <w:gridCol w:w="2164"/>
        <w:gridCol w:w="2164"/>
        <w:gridCol w:w="2212"/>
        <w:gridCol w:w="109"/>
        <w:gridCol w:w="109"/>
        <w:gridCol w:w="15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67"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3">
              <w:r>
                <w:rPr>
                  <w:rStyle w:val="InternetLink"/>
                  <w:rFonts w:ascii="Arial;sans-serif" w:hAnsi="Arial;sans-serif"/>
                  <w:b w:val="false"/>
                  <w:color w:val="0000FF"/>
                  <w:sz w:val="16"/>
                  <w:u w:val="single"/>
                </w:rPr>
                <w:t>PART I- FINANCIAL INFORMATION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3">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6">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6">
              <w:r>
                <w:rPr>
                  <w:rStyle w:val="InternetLink"/>
                  <w:rFonts w:ascii="Arial;sans-serif" w:hAnsi="Arial;sans-serif"/>
                  <w:b w:val="false"/>
                  <w:color w:val="0000FF"/>
                  <w:sz w:val="16"/>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6">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9">
              <w:r>
                <w:rPr>
                  <w:rStyle w:val="InternetLink"/>
                  <w:rFonts w:ascii="Arial;sans-serif" w:hAnsi="Arial;sans-serif"/>
                  <w:b w:val="false"/>
                  <w:color w:val="0000FF"/>
                  <w:sz w:val="16"/>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9">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22">
              <w:r>
                <w:rPr>
                  <w:rStyle w:val="InternetLink"/>
                  <w:rFonts w:ascii="Arial;sans-serif" w:hAnsi="Arial;sans-serif"/>
                  <w:b w:val="false"/>
                  <w:color w:val="0000FF"/>
                  <w:sz w:val="16"/>
                  <w:u w:val="single"/>
                </w:rPr>
                <w:t>Condensed Consolidated Statements of</w:t>
              </w:r>
            </w:hyperlink>
            <w:r>
              <w:rPr>
                <w:color w:val="3051F2"/>
                <w:u w:val="single"/>
              </w:rPr>
              <w:t xml:space="preserve"> </w:t>
            </w:r>
            <w:r>
              <w:rPr>
                <w:rFonts w:ascii="Arial;sans-serif" w:hAnsi="Arial;sans-serif"/>
                <w:b w:val="false"/>
                <w:color w:val="3051F2"/>
                <w:sz w:val="16"/>
                <w:u w:val="single"/>
              </w:rPr>
              <w:t>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22">
              <w:r>
                <w:rPr>
                  <w:rStyle w:val="InternetLink"/>
                  <w:rFonts w:ascii="Arial;sans-serif" w:hAnsi="Arial;sans-serif"/>
                  <w:b w:val="false"/>
                  <w:color w:val="0000FF"/>
                  <w:sz w:val="16"/>
                  <w:u w:val="single"/>
                </w:rPr>
                <w:t>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25">
              <w:r>
                <w:rPr>
                  <w:rStyle w:val="InternetLink"/>
                  <w:rFonts w:ascii="Arial;sans-serif" w:hAnsi="Arial;sans-serif"/>
                  <w:b w:val="false"/>
                  <w:color w:val="0000FF"/>
                  <w:sz w:val="16"/>
                  <w:u w:val="single"/>
                </w:rPr>
                <w:t>Condensed Consolidated Statements of</w:t>
              </w:r>
            </w:hyperlink>
            <w:hyperlink w:anchor="id1eb3df6f8da47569c0b16e7cefcaaab_25">
              <w:r>
                <w:rPr>
                  <w:rStyle w:val="InternetLink"/>
                  <w:color w:val="3051F2"/>
                  <w:u w:val="single"/>
                </w:rPr>
                <w:t xml:space="preserve"> </w:t>
              </w:r>
            </w:hyperlink>
            <w:r>
              <w:rPr>
                <w:rFonts w:ascii="Arial;sans-serif" w:hAnsi="Arial;sans-serif"/>
                <w:b w:val="false"/>
                <w:color w:val="3051F2"/>
                <w:sz w:val="16"/>
                <w:u w:val="single"/>
              </w:rPr>
              <w:t>Comprehensive 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25">
              <w:r>
                <w:rPr>
                  <w:rStyle w:val="InternetLink"/>
                  <w:rFonts w:ascii="Arial;sans-serif" w:hAnsi="Arial;sans-serif"/>
                  <w:b w:val="false"/>
                  <w:color w:val="0000FF"/>
                  <w:sz w:val="16"/>
                  <w:u w:val="single"/>
                </w:rPr>
                <w:t>7</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28">
              <w:r>
                <w:rPr>
                  <w:rStyle w:val="InternetLink"/>
                  <w:rFonts w:ascii="Arial;sans-serif" w:hAnsi="Arial;sans-serif"/>
                  <w:b w:val="false"/>
                  <w:color w:val="0000FF"/>
                  <w:sz w:val="16"/>
                  <w:u w:val="single"/>
                </w:rPr>
                <w:t>Condensed Consolidated Statements of Changes in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28">
              <w:r>
                <w:rPr>
                  <w:rStyle w:val="InternetLink"/>
                  <w:rFonts w:ascii="Arial;sans-serif" w:hAnsi="Arial;sans-serif"/>
                  <w:b w:val="false"/>
                  <w:color w:val="0000FF"/>
                  <w:sz w:val="16"/>
                  <w:u w:val="single"/>
                </w:rPr>
                <w:t>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31">
              <w:r>
                <w:rPr>
                  <w:rStyle w:val="InternetLink"/>
                  <w:rFonts w:ascii="Arial;sans-serif" w:hAnsi="Arial;sans-serif"/>
                  <w:b w:val="false"/>
                  <w:color w:val="0000FF"/>
                  <w:sz w:val="16"/>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31">
              <w:r>
                <w:rPr>
                  <w:rStyle w:val="InternetLink"/>
                  <w:rFonts w:ascii="Arial;sans-serif" w:hAnsi="Arial;sans-serif"/>
                  <w:b w:val="false"/>
                  <w:color w:val="0000FF"/>
                  <w:sz w:val="16"/>
                  <w:u w:val="single"/>
                </w:rPr>
                <w:t>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34">
              <w:r>
                <w:rPr>
                  <w:rStyle w:val="InternetLink"/>
                  <w:rFonts w:ascii="Arial;sans-serif" w:hAnsi="Arial;sans-serif"/>
                  <w:b w:val="false"/>
                  <w:color w:val="0000FF"/>
                  <w:sz w:val="16"/>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34">
              <w:r>
                <w:rPr>
                  <w:rStyle w:val="InternetLink"/>
                  <w:rFonts w:ascii="Arial;sans-serif" w:hAnsi="Arial;sans-serif"/>
                  <w:b w:val="false"/>
                  <w:color w:val="0000FF"/>
                  <w:sz w:val="16"/>
                  <w:u w:val="single"/>
                </w:rPr>
                <w:t>11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88">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88">
              <w:r>
                <w:rPr>
                  <w:rStyle w:val="InternetLink"/>
                  <w:rFonts w:ascii="Arial;sans-serif" w:hAnsi="Arial;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88">
              <w:r>
                <w:rPr>
                  <w:rStyle w:val="InternetLink"/>
                  <w:rFonts w:ascii="Arial;sans-serif" w:hAnsi="Arial;sans-serif"/>
                  <w:b w:val="false"/>
                  <w:color w:val="0000FF"/>
                  <w:sz w:val="16"/>
                  <w:u w:val="single"/>
                </w:rPr>
                <w:t>20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03">
              <w:r>
                <w:rPr>
                  <w:rStyle w:val="InternetLink"/>
                  <w:rFonts w:ascii="Arial;sans-serif" w:hAnsi="Arial;sans-serif"/>
                  <w:b w:val="false"/>
                  <w:color w:val="0000FF"/>
                  <w:sz w:val="16"/>
                  <w:u w:val="single"/>
                </w:rPr>
                <w:t>Item 3.</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03">
              <w:r>
                <w:rPr>
                  <w:rStyle w:val="InternetLink"/>
                  <w:rFonts w:ascii="Arial;sans-serif" w:hAnsi="Arial;sans-serif"/>
                  <w:b w:val="false"/>
                  <w:color w:val="0000FF"/>
                  <w:sz w:val="16"/>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03">
              <w:r>
                <w:rPr>
                  <w:rStyle w:val="InternetLink"/>
                  <w:rFonts w:ascii="Arial;sans-serif" w:hAnsi="Arial;sans-serif"/>
                  <w:b w:val="false"/>
                  <w:color w:val="0000FF"/>
                  <w:sz w:val="16"/>
                  <w:u w:val="single"/>
                </w:rPr>
                <w:t>29</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06">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06">
              <w:r>
                <w:rPr>
                  <w:rStyle w:val="InternetLink"/>
                  <w:rFonts w:ascii="Arial;sans-serif" w:hAnsi="Arial;sans-serif"/>
                  <w:b w:val="false"/>
                  <w:color w:val="0000FF"/>
                  <w:sz w:val="16"/>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06">
              <w:r>
                <w:rPr>
                  <w:rStyle w:val="InternetLink"/>
                  <w:rFonts w:ascii="Arial;sans-serif" w:hAnsi="Arial;sans-serif"/>
                  <w:b w:val="false"/>
                  <w:color w:val="0000FF"/>
                  <w:sz w:val="16"/>
                  <w:u w:val="single"/>
                </w:rPr>
                <w:t>29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PART II-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416">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00b5890971c1420f83d146d4aa01d285">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00b5890971c1420f83d146d4aa01d285">
              <w:r>
                <w:rPr>
                  <w:rStyle w:val="InternetLink"/>
                  <w:rFonts w:ascii="Arial;sans-serif" w:hAnsi="Arial;sans-serif"/>
                  <w:b w:val="false"/>
                  <w:color w:val="0000FF"/>
                  <w:sz w:val="16"/>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3432">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3633ed59bd2f41cb8ecd55985d1ad442">
              <w:r>
                <w:rPr>
                  <w:rStyle w:val="InternetLink"/>
                  <w:rFonts w:ascii="Arial;sans-serif" w:hAnsi="Arial;sans-serif"/>
                  <w:b w:val="false"/>
                  <w:color w:val="0000FF"/>
                  <w:sz w:val="16"/>
                  <w:u w:val="single"/>
                </w:rPr>
                <w:t>Item 1A.</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3633ed59bd2f41cb8ecd55985d1ad442">
              <w:r>
                <w:rPr>
                  <w:rStyle w:val="InternetLink"/>
                  <w:rFonts w:ascii="Arial;sans-serif" w:hAnsi="Arial;sans-serif"/>
                  <w:b w:val="false"/>
                  <w:color w:val="0000FF"/>
                  <w:sz w:val="16"/>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3433">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97c9b86e74d448f390d7540dbda0eabd">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15-bookmark-97c9b86e74d448f390d7540dbda0eabd">
              <w:r>
                <w:rPr>
                  <w:rStyle w:val="InternetLink"/>
                  <w:rFonts w:ascii="Arial;sans-serif" w:hAnsi="Arial;sans-serif"/>
                  <w:b w:val="false"/>
                  <w:color w:val="0000FF"/>
                  <w:sz w:val="16"/>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3434">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3.</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Defaults Upon Senior Securities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464">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7">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7">
              <w:r>
                <w:rPr>
                  <w:rStyle w:val="InternetLink"/>
                  <w:rFonts w:ascii="Arial;sans-serif" w:hAnsi="Arial;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467">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6">
              <w:r>
                <w:rPr>
                  <w:rStyle w:val="InternetLink"/>
                  <w:rFonts w:ascii="Arial;sans-serif" w:hAnsi="Arial;sans-serif"/>
                  <w:b w:val="false"/>
                  <w:color w:val="0000FF"/>
                  <w:sz w:val="16"/>
                  <w:u w:val="single"/>
                </w:rPr>
                <w:t>Item 5.</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6">
              <w:r>
                <w:rPr>
                  <w:rStyle w:val="InternetLink"/>
                  <w:rFonts w:ascii="Arial;sans-serif" w:hAnsi="Arial;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466">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5">
              <w:r>
                <w:rPr>
                  <w:rStyle w:val="InternetLink"/>
                  <w:rFonts w:ascii="Arial;sans-serif" w:hAnsi="Arial;sans-serif"/>
                  <w:b w:val="false"/>
                  <w:color w:val="0000FF"/>
                  <w:sz w:val="16"/>
                  <w:u w:val="single"/>
                </w:rPr>
                <w:t>Item 6.</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094ef26f244f768cf04b5296e02569_465">
              <w:r>
                <w:rPr>
                  <w:rStyle w:val="InternetLink"/>
                  <w:rFonts w:ascii="Arial;sans-serif" w:hAnsi="Arial;sans-serif"/>
                  <w:b w:val="false"/>
                  <w:color w:val="0000FF"/>
                  <w:sz w:val="16"/>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094ef26f244f768cf04b5296e02569_465">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eb3df6f8da47569c0b16e7cefcaaab_121">
              <w:r>
                <w:rPr>
                  <w:rStyle w:val="InternetLink"/>
                  <w:rFonts w:ascii="Arial;sans-serif" w:hAnsi="Arial;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eb3df6f8da47569c0b16e7cefcaaab_121">
              <w:r>
                <w:rPr>
                  <w:rStyle w:val="InternetLink"/>
                  <w:rFonts w:ascii="Arial;sans-serif" w:hAnsi="Arial;sans-serif"/>
                  <w:b w:val="false"/>
                  <w:color w:val="0000FF"/>
                  <w:sz w:val="16"/>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center"/>
        <w:rPr>
          <w:rFonts w:ascii="Arial;sans-serif" w:hAnsi="Arial;sans-serif"/>
          <w:b/>
          <w:color w:val="000000"/>
          <w:sz w:val="20"/>
        </w:rPr>
      </w:pPr>
      <w:r>
        <w:rPr>
          <w:rFonts w:ascii="Arial;sans-serif" w:hAnsi="Arial;sans-serif"/>
          <w:b/>
          <w:color w:val="000000"/>
          <w:sz w:val="20"/>
        </w:rPr>
        <w:t xml:space="preserve">FORWARD LOOKING STATEMENTS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 xml:space="preserve">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Other risks and factors listed under “Item 1A. Risk Factors” in our most recent Annual Report on Form 10-K for the year ended October 31, 2024 and elsewhere in this report.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2024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may also include trademarks, tradenames and service marks that are the property of the Company and also certain trademarks, tradenames and service marks that are the property of other organizations. Solely for convenience,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0"/>
                <wp:effectExtent l="0" t="0" r="0" b="0"/>
                <wp:wrapNone/>
                <wp:docPr id="3" name="Frame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0"/>
                <wp:effectExtent l="0" t="0" r="0" b="0"/>
                <wp:wrapNone/>
                <wp:docPr id="4" name="Frame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4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38"/>
        <w:gridCol w:w="2444"/>
        <w:gridCol w:w="2457"/>
        <w:gridCol w:w="187"/>
        <w:gridCol w:w="639"/>
        <w:gridCol w:w="112"/>
        <w:gridCol w:w="109"/>
        <w:gridCol w:w="109"/>
        <w:gridCol w:w="109"/>
        <w:gridCol w:w="239"/>
        <w:gridCol w:w="655"/>
        <w:gridCol w:w="207"/>
      </w:tblGrid>
      <w:tr>
        <w:trPr/>
        <w:tc>
          <w:tcPr>
            <w:tcW w:w="293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October 31, 2024</w:t>
            </w:r>
          </w:p>
        </w:tc>
      </w:tr>
      <w:tr>
        <w:trPr/>
        <w:tc>
          <w:tcPr>
            <w:tcW w:w="7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Assets</w:t>
            </w:r>
          </w:p>
        </w:tc>
        <w:tc>
          <w:tcPr>
            <w:tcW w:w="9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58.0 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9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Trade, net of allowances of $0.7 and $0.8, respectively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and fruit advances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91.2 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receivable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Property, plant and equipment, net</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538.8 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523.4 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right-of-use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method investees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assets,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1,002.4 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971.5 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Liabilities and Equity</w:t>
            </w:r>
          </w:p>
        </w:tc>
        <w:tc>
          <w:tcPr>
            <w:tcW w:w="9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8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payables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borrowings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Notes payable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holders—current portion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leases—current portion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139.9 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149.1 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Loans from noncontrolling interest holders, net of current portion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 net of current portion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 net of current portion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21.5 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liabilities, net</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16.5 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long-term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401.9 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394.4 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7)</w:t>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Shareholders’ Equity</w:t>
            </w:r>
          </w:p>
        </w:tc>
        <w:tc>
          <w:tcPr>
            <w:tcW w:w="9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Common stock ($0.001 par value, 1,000,000,000 shares authorized; 70,618,213 and 70,914,767 shares issued and outstanding as of July 31, 2025 and October 31, 2024, respectively)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239.7 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323.9 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307.7 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Mission Produce shareholders' equity</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Noncontrolling interest</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equity</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577.1 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liabilities and equity</w:t>
            </w:r>
          </w:p>
        </w:tc>
        <w:tc>
          <w:tcPr>
            <w:tcW w:w="1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1,002.4 </w:t>
            </w:r>
          </w:p>
        </w:tc>
        <w:tc>
          <w:tcPr>
            <w:tcW w:w="1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971.5 </w:t>
            </w:r>
          </w:p>
        </w:tc>
        <w:tc>
          <w:tcPr>
            <w:tcW w:w="2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0"/>
                <wp:effectExtent l="0" t="0" r="0" b="0"/>
                <wp:wrapNone/>
                <wp:docPr id="5" name="Frame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8849" w:type="dxa"/>
        <w:jc w:val="left"/>
        <w:tblInd w:w="0" w:type="dxa"/>
        <w:tblLayout w:type="fixed"/>
        <w:tblCellMar>
          <w:top w:w="28" w:type="dxa"/>
          <w:left w:w="28" w:type="dxa"/>
          <w:bottom w:w="28" w:type="dxa"/>
          <w:right w:w="28" w:type="dxa"/>
        </w:tblCellMar>
      </w:tblPr>
      <w:tblGrid>
        <w:gridCol w:w="1537"/>
        <w:gridCol w:w="1351"/>
        <w:gridCol w:w="1356"/>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2024</w:t>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color w:val="000000"/>
              </w:rPr>
            </w:pPr>
            <w:r>
              <w:rPr>
                <w:color w:val="000000"/>
              </w:rPr>
              <w:t>   </w:t>
            </w:r>
            <w:r>
              <w:rPr>
                <w:rFonts w:ascii="Arial;sans-serif" w:hAnsi="Arial;sans-serif"/>
                <w:b w:val="false"/>
                <w:color w:val="000000"/>
                <w:sz w:val="16"/>
              </w:rPr>
              <w:t>Net (loss) income attributable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attributable to Mission Produce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per share attributable to Mission Produce:</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0"/>
                <wp:effectExtent l="0" t="0" r="0" b="0"/>
                <wp:wrapNone/>
                <wp:docPr id="6" name="Frame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9075" w:type="dxa"/>
        <w:jc w:val="left"/>
        <w:tblInd w:w="0" w:type="dxa"/>
        <w:tblLayout w:type="fixed"/>
        <w:tblCellMar>
          <w:top w:w="28" w:type="dxa"/>
          <w:left w:w="28" w:type="dxa"/>
          <w:bottom w:w="28" w:type="dxa"/>
          <w:right w:w="28" w:type="dxa"/>
        </w:tblCellMar>
      </w:tblPr>
      <w:tblGrid>
        <w:gridCol w:w="1797"/>
        <w:gridCol w:w="1574"/>
        <w:gridCol w:w="1594"/>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49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foreign currency translation adjustments:</w:t>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Amounts reclassified to earnings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comprehensive income, net of tax</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Comprehensive (loss) income attributable to noncontrolling interest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0"/>
                <wp:effectExtent l="0" t="0" r="0" b="0"/>
                <wp:wrapNone/>
                <wp:docPr id="7" name="Frame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CHANGES IN EQUITY (UNAUDITED)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1153"/>
        <w:gridCol w:w="753"/>
        <w:gridCol w:w="758"/>
        <w:gridCol w:w="420"/>
        <w:gridCol w:w="421"/>
        <w:gridCol w:w="186"/>
        <w:gridCol w:w="186"/>
        <w:gridCol w:w="355"/>
        <w:gridCol w:w="111"/>
        <w:gridCol w:w="109"/>
        <w:gridCol w:w="109"/>
        <w:gridCol w:w="109"/>
        <w:gridCol w:w="249"/>
        <w:gridCol w:w="683"/>
        <w:gridCol w:w="150"/>
        <w:gridCol w:w="440"/>
        <w:gridCol w:w="842"/>
        <w:gridCol w:w="267"/>
        <w:gridCol w:w="216"/>
        <w:gridCol w:w="592"/>
        <w:gridCol w:w="129"/>
        <w:gridCol w:w="280"/>
        <w:gridCol w:w="654"/>
        <w:gridCol w:w="170"/>
        <w:gridCol w:w="185"/>
        <w:gridCol w:w="509"/>
        <w:gridCol w:w="169"/>
      </w:tblGrid>
      <w:tr>
        <w:trPr/>
        <w:tc>
          <w:tcPr>
            <w:tcW w:w="11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167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Additional paid-in capital</w:t>
            </w:r>
          </w:p>
        </w:tc>
        <w:tc>
          <w:tcPr>
            <w:tcW w:w="15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 income</w:t>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Retained earnings</w:t>
            </w:r>
          </w:p>
        </w:tc>
        <w:tc>
          <w:tcPr>
            <w:tcW w:w="11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w:t>
            </w:r>
          </w:p>
        </w:tc>
        <w:tc>
          <w:tcPr>
            <w:tcW w:w="86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 equity</w:t>
            </w:r>
          </w:p>
        </w:tc>
      </w:tr>
      <w:tr>
        <w:trPr/>
        <w:tc>
          <w:tcPr>
            <w:tcW w:w="26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Shares</w:t>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86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2023</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70,728,404 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271.0 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528.3 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112,899 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70,841,303 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234.1 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531.8 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68,164 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2024</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70,909,467 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235.6 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278.0 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540.0 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70,909,730 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237.1 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553.7 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2024</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70,914,767 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577.1 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153,856 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21,929 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2025</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71,065,552 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240.7 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311.3 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32.1 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70,200 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and retirement of common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(517,801)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2025</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70,617,951 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309.2 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584.3 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1.7</w:t>
            </w:r>
          </w:p>
        </w:tc>
      </w:tr>
      <w:tr>
        <w:trPr/>
        <w:tc>
          <w:tcPr>
            <w:tcW w:w="26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2025</w:t>
            </w:r>
          </w:p>
        </w:tc>
        <w:tc>
          <w:tcPr>
            <w:tcW w:w="8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70,618,213 </w:t>
            </w:r>
          </w:p>
        </w:tc>
        <w:tc>
          <w:tcPr>
            <w:tcW w:w="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244.1 </w:t>
            </w:r>
          </w:p>
        </w:tc>
        <w:tc>
          <w:tcPr>
            <w:tcW w:w="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323.9 </w:t>
            </w:r>
          </w:p>
        </w:tc>
        <w:tc>
          <w:tcPr>
            <w:tcW w:w="1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600.5 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0"/>
                <wp:effectExtent l="0" t="0" r="0" b="0"/>
                <wp:wrapNone/>
                <wp:docPr id="8" name="Frame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CASH FLOW (UNAUDITED)</w:t>
      </w:r>
    </w:p>
    <w:p>
      <w:pPr>
        <w:pStyle w:val="TextBody"/>
        <w:bidi w:val="0"/>
        <w:spacing w:before="0" w:after="0"/>
        <w:ind w:left="0" w:right="0" w:firstLine="720"/>
        <w:jc w:val="left"/>
        <w:rPr/>
      </w:pPr>
      <w:r>
        <w:rPr/>
      </w:r>
    </w:p>
    <w:tbl>
      <w:tblPr>
        <w:tblW w:w="8078" w:type="dxa"/>
        <w:jc w:val="left"/>
        <w:tblInd w:w="0" w:type="dxa"/>
        <w:tblLayout w:type="fixed"/>
        <w:tblCellMar>
          <w:top w:w="28" w:type="dxa"/>
          <w:left w:w="28" w:type="dxa"/>
          <w:bottom w:w="28" w:type="dxa"/>
          <w:right w:w="28" w:type="dxa"/>
        </w:tblCellMar>
      </w:tblPr>
      <w:tblGrid>
        <w:gridCol w:w="2176"/>
        <w:gridCol w:w="1910"/>
        <w:gridCol w:w="1928"/>
        <w:gridCol w:w="196"/>
        <w:gridCol w:w="541"/>
        <w:gridCol w:w="109"/>
        <w:gridCol w:w="109"/>
        <w:gridCol w:w="109"/>
        <w:gridCol w:w="109"/>
        <w:gridCol w:w="196"/>
        <w:gridCol w:w="541"/>
        <w:gridCol w:w="154"/>
      </w:tblGrid>
      <w:tr>
        <w:trPr/>
        <w:tc>
          <w:tcPr>
            <w:tcW w:w="217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settlement of asset retirement obligations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(gains) on foreign currency transactions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derivative financial instruments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on cash of changes in operating assets and liabilities: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fruit advances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0"/>
                <wp:effectExtent l="0" t="0" r="0" b="0"/>
                <wp:wrapNone/>
                <wp:docPr id="9" name="Frame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120" w:after="240"/>
        <w:jc w:val="left"/>
        <w:rPr/>
      </w:pPr>
      <w:r>
        <w:rPr/>
      </w:r>
    </w:p>
    <w:tbl>
      <w:tblPr>
        <w:tblW w:w="10205" w:type="dxa"/>
        <w:jc w:val="left"/>
        <w:tblInd w:w="0" w:type="dxa"/>
        <w:tblLayout w:type="fixed"/>
        <w:tblCellMar>
          <w:top w:w="28" w:type="dxa"/>
          <w:left w:w="28" w:type="dxa"/>
          <w:bottom w:w="28" w:type="dxa"/>
          <w:right w:w="28" w:type="dxa"/>
        </w:tblCellMar>
      </w:tblPr>
      <w:tblGrid>
        <w:gridCol w:w="3014"/>
        <w:gridCol w:w="2621"/>
        <w:gridCol w:w="2655"/>
        <w:gridCol w:w="196"/>
        <w:gridCol w:w="466"/>
        <w:gridCol w:w="109"/>
        <w:gridCol w:w="109"/>
        <w:gridCol w:w="109"/>
        <w:gridCol w:w="109"/>
        <w:gridCol w:w="196"/>
        <w:gridCol w:w="466"/>
        <w:gridCol w:w="155"/>
      </w:tblGrid>
      <w:tr>
        <w:trPr/>
        <w:tc>
          <w:tcPr>
            <w:tcW w:w="3014"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8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8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of cash, cash equivalents and restricted cash reported within the condensed consolidated balance sheets:</w:t>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82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 shown in the condensed consolidated statements of cash flows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0"/>
                <wp:effectExtent l="0" t="0" r="0" b="0"/>
                <wp:wrapNone/>
                <wp:docPr id="10" name="Frame1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     General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&amp; Distribution, International Farming and Blueberries (see Note 12).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consolidation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2024.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2025.</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standards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July 2025, the Financial Accounting Standards Board (“FASB”) issued Accounting Standards Update (“ASU”) 2025-05, Financial instruments—Credit Losses (Topic 326)—Measurement of Credit Losses for Accounts Receivable and Contract Assets. The ASU allows an entity the option to elect a certain practical expedient as an accounting policy over the measurement of expected credit losses. The amendments in this ASU are effective for fiscal years beginning after December 15, 2025, and interim periods therein. Early adoption is permitted. We are currently evaluating the impact of the ASU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2024, and as updated in January 2025, the FASB issued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0"/>
                <wp:effectExtent l="0" t="0" r="0" b="0"/>
                <wp:wrapNone/>
                <wp:docPr id="11" name="Frame1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2.     Inventory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Major classes of inventory were as follows:</w:t>
      </w:r>
    </w:p>
    <w:p>
      <w:pPr>
        <w:pStyle w:val="TextBody"/>
        <w:bidi w:val="0"/>
        <w:spacing w:before="0" w:after="0"/>
        <w:ind w:left="0" w:right="0" w:firstLine="720"/>
        <w:jc w:val="left"/>
        <w:rPr/>
      </w:pPr>
      <w:r>
        <w:rPr/>
      </w:r>
    </w:p>
    <w:tbl>
      <w:tblPr>
        <w:tblW w:w="4750" w:type="dxa"/>
        <w:jc w:val="left"/>
        <w:tblInd w:w="0" w:type="dxa"/>
        <w:tblLayout w:type="fixed"/>
        <w:tblCellMar>
          <w:top w:w="28" w:type="dxa"/>
          <w:left w:w="28" w:type="dxa"/>
          <w:bottom w:w="28" w:type="dxa"/>
          <w:right w:w="28" w:type="dxa"/>
        </w:tblCellMar>
      </w:tblPr>
      <w:tblGrid>
        <w:gridCol w:w="668"/>
        <w:gridCol w:w="585"/>
        <w:gridCol w:w="591"/>
        <w:gridCol w:w="252"/>
        <w:gridCol w:w="717"/>
        <w:gridCol w:w="140"/>
        <w:gridCol w:w="109"/>
        <w:gridCol w:w="109"/>
        <w:gridCol w:w="109"/>
        <w:gridCol w:w="353"/>
        <w:gridCol w:w="840"/>
        <w:gridCol w:w="277"/>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1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Crop growing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Packaging and supplies</w:t>
            </w:r>
          </w:p>
        </w:tc>
        <w:tc>
          <w:tcPr>
            <w:tcW w:w="9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3.    Goodwill</w:t>
      </w:r>
    </w:p>
    <w:tbl>
      <w:tblPr>
        <w:tblW w:w="8444" w:type="dxa"/>
        <w:jc w:val="left"/>
        <w:tblInd w:w="0" w:type="dxa"/>
        <w:tblLayout w:type="fixed"/>
        <w:tblCellMar>
          <w:top w:w="28" w:type="dxa"/>
          <w:left w:w="28" w:type="dxa"/>
          <w:bottom w:w="28" w:type="dxa"/>
          <w:right w:w="28" w:type="dxa"/>
        </w:tblCellMar>
      </w:tblPr>
      <w:tblGrid>
        <w:gridCol w:w="1501"/>
        <w:gridCol w:w="1316"/>
        <w:gridCol w:w="1337"/>
        <w:gridCol w:w="460"/>
        <w:gridCol w:w="1096"/>
        <w:gridCol w:w="258"/>
        <w:gridCol w:w="109"/>
        <w:gridCol w:w="109"/>
        <w:gridCol w:w="109"/>
        <w:gridCol w:w="255"/>
        <w:gridCol w:w="608"/>
        <w:gridCol w:w="143"/>
        <w:gridCol w:w="109"/>
        <w:gridCol w:w="109"/>
        <w:gridCol w:w="109"/>
        <w:gridCol w:w="196"/>
        <w:gridCol w:w="466"/>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415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both July 31, 2025 and October 31, 2024</w:t>
            </w:r>
          </w:p>
        </w:tc>
        <w:tc>
          <w:tcPr>
            <w:tcW w:w="4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carrying amounts of goodwill as of both July 31, 2025 and October 31, 2024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4.    Details of Certain Account Balances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expenses</w:t>
      </w:r>
    </w:p>
    <w:p>
      <w:pPr>
        <w:pStyle w:val="TextBody"/>
        <w:bidi w:val="0"/>
        <w:spacing w:before="0" w:after="0"/>
        <w:ind w:left="0" w:right="0" w:firstLine="720"/>
        <w:jc w:val="left"/>
        <w:rPr/>
      </w:pPr>
      <w:r>
        <w:rPr/>
      </w:r>
    </w:p>
    <w:tbl>
      <w:tblPr>
        <w:tblW w:w="4646" w:type="dxa"/>
        <w:jc w:val="left"/>
        <w:tblInd w:w="0" w:type="dxa"/>
        <w:tblLayout w:type="fixed"/>
        <w:tblCellMar>
          <w:top w:w="28" w:type="dxa"/>
          <w:left w:w="28" w:type="dxa"/>
          <w:bottom w:w="28" w:type="dxa"/>
          <w:right w:w="28" w:type="dxa"/>
        </w:tblCellMar>
      </w:tblPr>
      <w:tblGrid>
        <w:gridCol w:w="629"/>
        <w:gridCol w:w="552"/>
        <w:gridCol w:w="558"/>
        <w:gridCol w:w="282"/>
        <w:gridCol w:w="671"/>
        <w:gridCol w:w="157"/>
        <w:gridCol w:w="109"/>
        <w:gridCol w:w="109"/>
        <w:gridCol w:w="109"/>
        <w:gridCol w:w="353"/>
        <w:gridCol w:w="840"/>
        <w:gridCol w:w="27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17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Freight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Outside fruit purchase</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2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long-term liabilities</w:t>
      </w:r>
    </w:p>
    <w:p>
      <w:pPr>
        <w:pStyle w:val="TextBody"/>
        <w:bidi w:val="0"/>
        <w:spacing w:before="0" w:after="0"/>
        <w:ind w:left="0" w:right="0" w:firstLine="720"/>
        <w:jc w:val="left"/>
        <w:rPr/>
      </w:pPr>
      <w:r>
        <w:rPr/>
      </w:r>
    </w:p>
    <w:tbl>
      <w:tblPr>
        <w:tblW w:w="6567" w:type="dxa"/>
        <w:jc w:val="left"/>
        <w:tblInd w:w="0" w:type="dxa"/>
        <w:tblLayout w:type="fixed"/>
        <w:tblCellMar>
          <w:top w:w="28" w:type="dxa"/>
          <w:left w:w="28" w:type="dxa"/>
          <w:bottom w:w="28" w:type="dxa"/>
          <w:right w:w="28" w:type="dxa"/>
        </w:tblCellMar>
      </w:tblPr>
      <w:tblGrid>
        <w:gridCol w:w="1324"/>
        <w:gridCol w:w="1162"/>
        <w:gridCol w:w="1174"/>
        <w:gridCol w:w="282"/>
        <w:gridCol w:w="671"/>
        <w:gridCol w:w="157"/>
        <w:gridCol w:w="109"/>
        <w:gridCol w:w="109"/>
        <w:gridCol w:w="109"/>
        <w:gridCol w:w="353"/>
        <w:gridCol w:w="840"/>
        <w:gridCol w:w="277"/>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36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Uncertain tax positions</w:t>
            </w:r>
            <w:r>
              <w:rPr>
                <w:rFonts w:ascii="Arial;sans-serif" w:hAnsi="Arial;sans-serif"/>
                <w:b w:val="false"/>
                <w:color w:val="000000"/>
                <w:sz w:val="10"/>
              </w:rPr>
              <w:t>(1)</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payables to noncontrolling interest holders</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2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2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uncertain tax positions related to both income taxes and other statutory tax reserves, plus related penalties and interest.</w:t>
      </w:r>
    </w:p>
    <w:p>
      <w:pPr>
        <w:pStyle w:val="TextBody"/>
        <w:bidi w:val="0"/>
        <w:spacing w:before="60" w:after="6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0"/>
                <wp:effectExtent l="0" t="0" r="0" b="0"/>
                <wp:wrapNone/>
                <wp:docPr id="12" name="Frame1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before="0" w:after="0"/>
        <w:jc w:val="left"/>
        <w:rPr/>
      </w:pPr>
      <w:r>
        <w:rPr/>
      </w:r>
    </w:p>
    <w:tbl>
      <w:tblPr>
        <w:tblW w:w="7710" w:type="dxa"/>
        <w:jc w:val="left"/>
        <w:tblInd w:w="0" w:type="dxa"/>
        <w:tblLayout w:type="fixed"/>
        <w:tblCellMar>
          <w:top w:w="28" w:type="dxa"/>
          <w:left w:w="28" w:type="dxa"/>
          <w:bottom w:w="28" w:type="dxa"/>
          <w:right w:w="28" w:type="dxa"/>
        </w:tblCellMar>
      </w:tblPr>
      <w:tblGrid>
        <w:gridCol w:w="1340"/>
        <w:gridCol w:w="1173"/>
        <w:gridCol w:w="1192"/>
        <w:gridCol w:w="196"/>
        <w:gridCol w:w="451"/>
        <w:gridCol w:w="109"/>
        <w:gridCol w:w="109"/>
        <w:gridCol w:w="109"/>
        <w:gridCol w:w="109"/>
        <w:gridCol w:w="196"/>
        <w:gridCol w:w="451"/>
        <w:gridCol w:w="109"/>
        <w:gridCol w:w="109"/>
        <w:gridCol w:w="109"/>
        <w:gridCol w:w="109"/>
        <w:gridCol w:w="196"/>
        <w:gridCol w:w="406"/>
        <w:gridCol w:w="109"/>
        <w:gridCol w:w="109"/>
        <w:gridCol w:w="109"/>
        <w:gridCol w:w="109"/>
        <w:gridCol w:w="196"/>
        <w:gridCol w:w="45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2024</w:t>
            </w:r>
          </w:p>
        </w:tc>
      </w:tr>
      <w:tr>
        <w:trPr/>
        <w:tc>
          <w:tcPr>
            <w:tcW w:w="37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(losses) on derivative financial instruments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 gain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amounts attributable to noncontrolling interest 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Amounts included in trade accounts receivable due from noncontrolling interest holders were $2.0 million and $5.1 million as of July 31, 2025 and October 31, 2024, respectively. Amounts included in trade accounts payable due to noncontrolling interest holders were $4.7 million and $2.6 million as of July 31, 2025 and October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5.      Variable Interest Entity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Assets of our variable interest in our blueberry joint-venture may only be used to settle its own liabilities and creditors of the entity only have recourse for the entity’s liabilities. A summary of these balances, which are included in our condensed consolidated balance sheets, is as follows:</w:t>
      </w:r>
    </w:p>
    <w:p>
      <w:pPr>
        <w:pStyle w:val="TextBody"/>
        <w:bidi w:val="0"/>
        <w:spacing w:before="0" w:after="0"/>
        <w:ind w:left="0" w:right="0" w:firstLine="720"/>
        <w:jc w:val="left"/>
        <w:rPr/>
      </w:pPr>
      <w:r>
        <w:rPr/>
      </w:r>
    </w:p>
    <w:tbl>
      <w:tblPr>
        <w:tblW w:w="4407" w:type="dxa"/>
        <w:jc w:val="left"/>
        <w:tblInd w:w="0" w:type="dxa"/>
        <w:tblLayout w:type="fixed"/>
        <w:tblCellMar>
          <w:top w:w="28" w:type="dxa"/>
          <w:left w:w="28" w:type="dxa"/>
          <w:bottom w:w="28" w:type="dxa"/>
          <w:right w:w="28" w:type="dxa"/>
        </w:tblCellMar>
      </w:tblPr>
      <w:tblGrid>
        <w:gridCol w:w="543"/>
        <w:gridCol w:w="477"/>
        <w:gridCol w:w="480"/>
        <w:gridCol w:w="282"/>
        <w:gridCol w:w="671"/>
        <w:gridCol w:w="157"/>
        <w:gridCol w:w="109"/>
        <w:gridCol w:w="109"/>
        <w:gridCol w:w="109"/>
        <w:gridCol w:w="353"/>
        <w:gridCol w:w="840"/>
        <w:gridCol w:w="277"/>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15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Long-term debt under our syndicated credit facility with Bank of America (“BoA”) Merrill Lynch consisted of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31"/>
        <w:gridCol w:w="2393"/>
        <w:gridCol w:w="2420"/>
        <w:gridCol w:w="109"/>
        <w:gridCol w:w="109"/>
        <w:gridCol w:w="109"/>
        <w:gridCol w:w="212"/>
        <w:gridCol w:w="603"/>
        <w:gridCol w:w="118"/>
        <w:gridCol w:w="109"/>
        <w:gridCol w:w="109"/>
        <w:gridCol w:w="109"/>
        <w:gridCol w:w="231"/>
        <w:gridCol w:w="657"/>
        <w:gridCol w:w="186"/>
      </w:tblGrid>
      <w:tr>
        <w:trPr/>
        <w:tc>
          <w:tcPr>
            <w:tcW w:w="273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7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Revolving line of credit. The interest rate is variable, based on SOFR plus a spread that varies with the Company’s leverage ratio. As of July 31, 2025 and October 31, 2024, the interest rate was 5.94% and 6.38%, respectively. Interest is payable monthly and principal is due in full in October 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(A-1). The interest rate is variable, based on SOFR plus a spread that varies with the Company’s leverage ratio. As of July 31, 2025 and October 31, 2024, the interest rate was 5.96% and 6.29%, respectively. Interest is payable monthly, principal is payable quarterly and due in full in 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(A-2). The interest rate is variable, based on SOFR plus a spread that varies with the Company’s leverage ratio. As of July 31, 2025 and October 31, 2024, the interest rate was 6.21% and 6.54% respectively. Interest is payable monthly, principal is payable quarterly and due in full in October 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debt issuance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128.5 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0"/>
                <wp:effectExtent l="0" t="0" r="0" b="0"/>
                <wp:wrapNone/>
                <wp:docPr id="13" name="Frame1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July 31, 2025, the Company was in compliance with all financial covenants of the credit facility.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of our consolidated subsidiaries may also enter into short-term bank borrowings or supplier financing programs from time to time. Short-term bank borrowings outstanding were $0.5 million as of July 31, 2025 and $3.0 million as of October 31, 2024, with weighted average interest rates of 8.7% and 9.91%, respectively. Our Blueberries business also obtains loans from shareholders from time to time. Loans outstanding due to shareholders as of July 31, 2025 accrue interest at rates ranging from 5.0 to 6.5% and are expected to be repaid by the end of fiscal 2026.</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rate swaps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(expense) income, net in the condensed consolidated statements of income and changes in the assets are presented in net cash provided by operating activities in the condensed consolidated statements of cash flow. As of July 31, 2025 and October 31, 2024, a notional amount of $10 million was outstanding, carrying a fixed SOFR rate of 4.47%. Refer to Note 9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7.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sought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and dismissed the action with prejudice on June 13, 2025.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Plaintiff seeks damages primarily consisting of class certification, payment of wages earned and owed, liquidated damages, penalties and fees, and injunctive relief. A related lawsuit under the Private Attorneys General Act (“PAGA”) was also filed on December 16, 2024. On July 30, 2025, the Court granted the parties’ stipulation to dismiss the class action lawsuit and to submit the PAGA matter to mediation. Mediation is currently scheduled for the end of September 2025. At this time, it is too soon to determine the outcome of the litigation. As a result, the Company has not accrued for any loss contingencies related to these claims because the amount and range of loss, if any, cannot currently be reasonably estimated.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(“OCA matter”).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(“Kachuk matter”).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On the OCA matter, the Company filed a motion to dismiss on February 25, 2025. The Court has denied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0"/>
                <wp:effectExtent l="0" t="0" r="0" b="0"/>
                <wp:wrapNone/>
                <wp:docPr id="14" name="Frame1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motion to dismiss and is allowing limited discovery on the issue of personal jurisdiction. The Court will allow renewal of the motion to dismiss at the conclusion of discovery. On the Kachuk matter, defendants jointly filed a motion to dismiss on May 2, 2025. The hearing before the court on the motion to dismiss is currently scheduled for September 24, 2025.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March 27, 2025, a fatality accident occurred at our Laredo, Texas distribution center. A complaint was filed by the decedent’s estate alleging various causes of action relating to alleged negligence. Plaintiff seeks survival damages, wrongful death damages, punitive damages, and other fees and costs. The Company has tendered the matter to insurance and is being represented by counsel appointed by the insurance company. The Company is vigorously defending against these claims. At this time, it is too soon to determine the outcome of the litigation. As a result, the Company has not accrued for any loss contingencies related to these claims because the amount and range of loss, if any, cannot currently be reasonably estimated.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 recorded for the three and nine months ended July 31, 2025 and 2024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2025, the Company had $17.2 million accrued in UTP on income taxes, of which $9.5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continue to evaluate the provisions of the OBBBA as they become effective. At this time, we do not expect the OBBBA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Financial assets or liabilities measured and recorded at fair value on a recurring basis included in the condensed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71"/>
        <w:gridCol w:w="407"/>
        <w:gridCol w:w="360"/>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60"/>
        <w:gridCol w:w="540"/>
        <w:gridCol w:w="146"/>
        <w:gridCol w:w="109"/>
        <w:gridCol w:w="109"/>
        <w:gridCol w:w="109"/>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56"/>
        <w:gridCol w:w="532"/>
        <w:gridCol w:w="208"/>
      </w:tblGrid>
      <w:tr>
        <w:trPr/>
        <w:tc>
          <w:tcPr>
            <w:tcW w:w="47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 2024</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 </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r>
      <w:tr>
        <w:trPr/>
        <w:tc>
          <w:tcPr>
            <w:tcW w:w="12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0"/>
                <wp:effectExtent l="0" t="0" r="0" b="0"/>
                <wp:wrapNone/>
                <wp:docPr id="15" name="Frame1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the likelihood of default. The Company has concluded, as of July 31, 2025 and October 31, 2024,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    Earnings Per Share</w:t>
      </w:r>
    </w:p>
    <w:tbl>
      <w:tblPr>
        <w:tblW w:w="10205" w:type="dxa"/>
        <w:jc w:val="center"/>
        <w:tblInd w:w="0" w:type="dxa"/>
        <w:tblLayout w:type="fixed"/>
        <w:tblCellMar>
          <w:top w:w="28" w:type="dxa"/>
          <w:left w:w="28" w:type="dxa"/>
          <w:bottom w:w="28" w:type="dxa"/>
          <w:right w:w="28" w:type="dxa"/>
        </w:tblCellMar>
      </w:tblPr>
      <w:tblGrid>
        <w:gridCol w:w="1823"/>
        <w:gridCol w:w="1535"/>
        <w:gridCol w:w="1539"/>
        <w:gridCol w:w="284"/>
        <w:gridCol w:w="677"/>
        <w:gridCol w:w="109"/>
        <w:gridCol w:w="109"/>
        <w:gridCol w:w="109"/>
        <w:gridCol w:w="109"/>
        <w:gridCol w:w="284"/>
        <w:gridCol w:w="677"/>
        <w:gridCol w:w="109"/>
        <w:gridCol w:w="109"/>
        <w:gridCol w:w="109"/>
        <w:gridCol w:w="109"/>
        <w:gridCol w:w="284"/>
        <w:gridCol w:w="677"/>
        <w:gridCol w:w="109"/>
        <w:gridCol w:w="109"/>
        <w:gridCol w:w="109"/>
        <w:gridCol w:w="109"/>
        <w:gridCol w:w="284"/>
        <w:gridCol w:w="677"/>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2024</w:t>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attributable to Mission Produce (in millions)</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basic earnings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70,618,199 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70,909,716 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70,819,280 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70,843,647 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stock options</w:t>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PSUs</w:t>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220,119 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197,237 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71,038,054 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71,082,945 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71,221,500 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70,977,504 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84"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awards representing shares of common stock outstanding that were excluded in the computation of diluted earnings per share because their effect would have been anti-dilutive as a result of applying the treasury stock method, were as follows:</w:t>
      </w:r>
    </w:p>
    <w:p>
      <w:pPr>
        <w:pStyle w:val="TextBody"/>
        <w:bidi w:val="0"/>
        <w:spacing w:before="0" w:after="0"/>
        <w:ind w:left="0" w:right="0" w:firstLine="720"/>
        <w:jc w:val="left"/>
        <w:rPr/>
      </w:pPr>
      <w:r>
        <w:rPr/>
      </w:r>
    </w:p>
    <w:tbl>
      <w:tblPr>
        <w:tblW w:w="7730" w:type="dxa"/>
        <w:jc w:val="left"/>
        <w:tblInd w:w="0" w:type="dxa"/>
        <w:tblLayout w:type="fixed"/>
        <w:tblCellMar>
          <w:top w:w="28" w:type="dxa"/>
          <w:left w:w="28" w:type="dxa"/>
          <w:bottom w:w="28" w:type="dxa"/>
          <w:right w:w="28" w:type="dxa"/>
        </w:tblCellMar>
      </w:tblPr>
      <w:tblGrid>
        <w:gridCol w:w="710"/>
        <w:gridCol w:w="625"/>
        <w:gridCol w:w="629"/>
        <w:gridCol w:w="475"/>
        <w:gridCol w:w="396"/>
        <w:gridCol w:w="195"/>
        <w:gridCol w:w="195"/>
        <w:gridCol w:w="195"/>
        <w:gridCol w:w="195"/>
        <w:gridCol w:w="475"/>
        <w:gridCol w:w="396"/>
        <w:gridCol w:w="195"/>
        <w:gridCol w:w="109"/>
        <w:gridCol w:w="109"/>
        <w:gridCol w:w="109"/>
        <w:gridCol w:w="441"/>
        <w:gridCol w:w="430"/>
        <w:gridCol w:w="181"/>
        <w:gridCol w:w="181"/>
        <w:gridCol w:w="181"/>
        <w:gridCol w:w="181"/>
        <w:gridCol w:w="441"/>
        <w:gridCol w:w="430"/>
        <w:gridCol w:w="25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stock options</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2,052,182 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2,078,268 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2,056,769 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2,078,268 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140,541 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194,988 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366,841 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PSUs</w:t>
            </w:r>
          </w:p>
        </w:tc>
        <w:tc>
          <w:tcPr>
            <w:tcW w:w="87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11.     Related Party Transactions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Transactions with related parties included in the condensed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463"/>
        <w:gridCol w:w="208"/>
        <w:gridCol w:w="210"/>
        <w:gridCol w:w="229"/>
        <w:gridCol w:w="439"/>
        <w:gridCol w:w="139"/>
        <w:gridCol w:w="109"/>
        <w:gridCol w:w="109"/>
        <w:gridCol w:w="109"/>
        <w:gridCol w:w="247"/>
        <w:gridCol w:w="553"/>
        <w:gridCol w:w="149"/>
        <w:gridCol w:w="109"/>
        <w:gridCol w:w="109"/>
        <w:gridCol w:w="109"/>
        <w:gridCol w:w="244"/>
        <w:gridCol w:w="549"/>
        <w:gridCol w:w="148"/>
        <w:gridCol w:w="109"/>
        <w:gridCol w:w="109"/>
        <w:gridCol w:w="109"/>
        <w:gridCol w:w="206"/>
        <w:gridCol w:w="462"/>
        <w:gridCol w:w="123"/>
        <w:gridCol w:w="109"/>
        <w:gridCol w:w="109"/>
        <w:gridCol w:w="109"/>
        <w:gridCol w:w="209"/>
        <w:gridCol w:w="471"/>
        <w:gridCol w:w="127"/>
        <w:gridCol w:w="109"/>
        <w:gridCol w:w="109"/>
        <w:gridCol w:w="109"/>
        <w:gridCol w:w="247"/>
        <w:gridCol w:w="553"/>
        <w:gridCol w:w="149"/>
        <w:gridCol w:w="109"/>
        <w:gridCol w:w="109"/>
        <w:gridCol w:w="109"/>
        <w:gridCol w:w="244"/>
        <w:gridCol w:w="549"/>
        <w:gridCol w:w="148"/>
        <w:gridCol w:w="109"/>
        <w:gridCol w:w="109"/>
        <w:gridCol w:w="109"/>
        <w:gridCol w:w="204"/>
        <w:gridCol w:w="458"/>
        <w:gridCol w:w="188"/>
      </w:tblGrid>
      <w:tr>
        <w:trPr/>
        <w:tc>
          <w:tcPr>
            <w:tcW w:w="4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Condensed Consolidated Balance Sheets</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October 31, 2024</w:t>
            </w:r>
          </w:p>
        </w:tc>
      </w:tr>
      <w:tr>
        <w:trPr/>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r>
      <w:tr>
        <w:trPr/>
        <w:tc>
          <w:tcPr>
            <w:tcW w:w="168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0"/>
                <wp:effectExtent l="0" t="0" r="0" b="0"/>
                <wp:wrapNone/>
                <wp:docPr id="16" name="Frame1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tbl>
      <w:tblPr>
        <w:tblW w:w="9057" w:type="dxa"/>
        <w:jc w:val="left"/>
        <w:tblInd w:w="0" w:type="dxa"/>
        <w:tblLayout w:type="fixed"/>
        <w:tblCellMar>
          <w:top w:w="28" w:type="dxa"/>
          <w:left w:w="28" w:type="dxa"/>
          <w:bottom w:w="28" w:type="dxa"/>
          <w:right w:w="28" w:type="dxa"/>
        </w:tblCellMar>
      </w:tblPr>
      <w:tblGrid>
        <w:gridCol w:w="631"/>
        <w:gridCol w:w="551"/>
        <w:gridCol w:w="557"/>
        <w:gridCol w:w="200"/>
        <w:gridCol w:w="384"/>
        <w:gridCol w:w="120"/>
        <w:gridCol w:w="109"/>
        <w:gridCol w:w="109"/>
        <w:gridCol w:w="109"/>
        <w:gridCol w:w="269"/>
        <w:gridCol w:w="514"/>
        <w:gridCol w:w="162"/>
        <w:gridCol w:w="109"/>
        <w:gridCol w:w="109"/>
        <w:gridCol w:w="109"/>
        <w:gridCol w:w="304"/>
        <w:gridCol w:w="683"/>
        <w:gridCol w:w="183"/>
        <w:gridCol w:w="109"/>
        <w:gridCol w:w="109"/>
        <w:gridCol w:w="109"/>
        <w:gridCol w:w="200"/>
        <w:gridCol w:w="384"/>
        <w:gridCol w:w="120"/>
        <w:gridCol w:w="109"/>
        <w:gridCol w:w="109"/>
        <w:gridCol w:w="109"/>
        <w:gridCol w:w="246"/>
        <w:gridCol w:w="551"/>
        <w:gridCol w:w="148"/>
        <w:gridCol w:w="109"/>
        <w:gridCol w:w="109"/>
        <w:gridCol w:w="109"/>
        <w:gridCol w:w="297"/>
        <w:gridCol w:w="666"/>
        <w:gridCol w:w="252"/>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Condensed Consolidated Statements of Income</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r>
      <w:tr>
        <w:trPr/>
        <w:tc>
          <w:tcPr>
            <w:tcW w:w="17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2024</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2024</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 xml:space="preserve">(1)The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The portion of lease costs attributable to noncontrolling interest, net of income taxes, was $0.2 million for both the three months ended July 31, 2025 and 2024 and $0.7 million for both the nine months ended July 31, 2025 and 2024; amounts were included as part of net income attributable to noncontrolling interest in the condensed consolidated statements of income. </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Segment and Revenue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three operating segments which are also reportable segments. Our reportable segments are presented based on how information is used by our CEO, who is the chief operating decision maker, to measure performance and allocate resources.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Marketing &amp; Distribution.</w:t>
      </w:r>
      <w:r>
        <w:rPr>
          <w:color w:val="000000"/>
        </w:rPr>
        <w:t xml:space="preserve"> </w:t>
      </w:r>
      <w:r>
        <w:rPr>
          <w:rFonts w:ascii="Arial;sans-serif" w:hAnsi="Arial;sans-serif"/>
          <w:b w:val="false"/>
          <w:color w:val="000000"/>
          <w:sz w:val="16"/>
        </w:rPr>
        <w:t xml:space="preserve">Our Marketing &amp;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 xml:space="preserve">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to total adjusted EBITDA. We believe the addition of the subtotal within the reconciliation is useful because it better aligns with management’s sequence of review of the information in the reconciliation.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0"/>
                <wp:effectExtent l="0" t="0" r="0" b="0"/>
                <wp:wrapNone/>
                <wp:docPr id="17" name="Frame1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from each of our reportable segments were as follows.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41"/>
        <w:gridCol w:w="288"/>
        <w:gridCol w:w="244"/>
        <w:gridCol w:w="224"/>
        <w:gridCol w:w="674"/>
        <w:gridCol w:w="150"/>
        <w:gridCol w:w="109"/>
        <w:gridCol w:w="109"/>
        <w:gridCol w:w="109"/>
        <w:gridCol w:w="249"/>
        <w:gridCol w:w="521"/>
        <w:gridCol w:w="166"/>
        <w:gridCol w:w="109"/>
        <w:gridCol w:w="109"/>
        <w:gridCol w:w="109"/>
        <w:gridCol w:w="196"/>
        <w:gridCol w:w="410"/>
        <w:gridCol w:w="130"/>
        <w:gridCol w:w="109"/>
        <w:gridCol w:w="109"/>
        <w:gridCol w:w="109"/>
        <w:gridCol w:w="166"/>
        <w:gridCol w:w="496"/>
        <w:gridCol w:w="109"/>
        <w:gridCol w:w="109"/>
        <w:gridCol w:w="109"/>
        <w:gridCol w:w="109"/>
        <w:gridCol w:w="255"/>
        <w:gridCol w:w="625"/>
        <w:gridCol w:w="168"/>
        <w:gridCol w:w="109"/>
        <w:gridCol w:w="109"/>
        <w:gridCol w:w="109"/>
        <w:gridCol w:w="275"/>
        <w:gridCol w:w="477"/>
        <w:gridCol w:w="183"/>
        <w:gridCol w:w="109"/>
        <w:gridCol w:w="109"/>
        <w:gridCol w:w="109"/>
        <w:gridCol w:w="196"/>
        <w:gridCol w:w="410"/>
        <w:gridCol w:w="130"/>
        <w:gridCol w:w="109"/>
        <w:gridCol w:w="109"/>
        <w:gridCol w:w="109"/>
        <w:gridCol w:w="166"/>
        <w:gridCol w:w="406"/>
        <w:gridCol w:w="161"/>
      </w:tblGrid>
      <w:tr>
        <w:trPr/>
        <w:tc>
          <w:tcPr>
            <w:tcW w:w="4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Three Months Ended</w:t>
              <w:br/>
              <w:t>July 31,</w:t>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w:t>
            </w:r>
          </w:p>
        </w:tc>
        <w:tc>
          <w:tcPr>
            <w:tcW w:w="4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2024</w:t>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49.0 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27.4 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350.3 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357.7 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4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Nine Months Ended</w:t>
              <w:br/>
              <w:t>July 31,</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2024</w:t>
            </w:r>
          </w:p>
        </w:tc>
      </w:tr>
      <w:tr>
        <w:trPr/>
        <w:tc>
          <w:tcPr>
            <w:tcW w:w="97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66.3 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1,125.3 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911.7 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1,072.2 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sales information is as follows.</w:t>
      </w:r>
    </w:p>
    <w:tbl>
      <w:tblPr>
        <w:tblW w:w="6254" w:type="dxa"/>
        <w:jc w:val="left"/>
        <w:tblInd w:w="0" w:type="dxa"/>
        <w:tblLayout w:type="fixed"/>
        <w:tblCellMar>
          <w:top w:w="28" w:type="dxa"/>
          <w:left w:w="28" w:type="dxa"/>
          <w:bottom w:w="28" w:type="dxa"/>
          <w:right w:w="28" w:type="dxa"/>
        </w:tblCellMar>
      </w:tblPr>
      <w:tblGrid>
        <w:gridCol w:w="597"/>
        <w:gridCol w:w="523"/>
        <w:gridCol w:w="52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16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type</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Blueberry</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customer location</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0"/>
                <wp:effectExtent l="0" t="0" r="0" b="0"/>
                <wp:wrapNone/>
                <wp:docPr id="18" name="Frame1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(as defined above) for each of our reportable segments was as follows:</w:t>
      </w:r>
    </w:p>
    <w:p>
      <w:pPr>
        <w:pStyle w:val="TextBody"/>
        <w:bidi w:val="0"/>
        <w:spacing w:before="0" w:after="0"/>
        <w:ind w:left="0" w:right="0" w:firstLine="720"/>
        <w:jc w:val="left"/>
        <w:rPr/>
      </w:pPr>
      <w:r>
        <w:rPr/>
      </w:r>
    </w:p>
    <w:tbl>
      <w:tblPr>
        <w:tblW w:w="8714" w:type="dxa"/>
        <w:jc w:val="center"/>
        <w:tblInd w:w="0" w:type="dxa"/>
        <w:tblLayout w:type="fixed"/>
        <w:tblCellMar>
          <w:top w:w="28" w:type="dxa"/>
          <w:left w:w="28" w:type="dxa"/>
          <w:bottom w:w="28" w:type="dxa"/>
          <w:right w:w="28" w:type="dxa"/>
        </w:tblCellMar>
      </w:tblPr>
      <w:tblGrid>
        <w:gridCol w:w="1666"/>
        <w:gridCol w:w="1459"/>
        <w:gridCol w:w="147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2024</w:t>
            </w:r>
          </w:p>
        </w:tc>
      </w:tr>
      <w:tr>
        <w:trPr/>
        <w:tc>
          <w:tcPr>
            <w:tcW w:w="46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Interest expense</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(2)</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Canada site closures</w:t>
            </w:r>
            <w:r>
              <w:rPr>
                <w:rFonts w:ascii="Arial;sans-serif" w:hAnsi="Arial;sans-serif"/>
                <w:b w:val="false"/>
                <w:color w:val="000000"/>
                <w:sz w:val="10"/>
              </w:rPr>
              <w:t>(3)</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Tariffs</w:t>
            </w:r>
            <w:r>
              <w:rPr>
                <w:rFonts w:ascii="Arial;sans-serif" w:hAnsi="Arial;sans-serif"/>
                <w:b w:val="false"/>
                <w:color w:val="000000"/>
                <w:sz w:val="10"/>
              </w:rPr>
              <w:t>(4)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before adjustment for noncontrolling interest</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(5)</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interest expense from finance leases, the most significant of which is for land at our Blueberries segment of $0.5 million for both the three months ended July 31, 2025 and 2024 and $1.5 million for both the nine months ended July 31, 2025 and 2024.</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depreciation and amortization of purchase accounting assets of zero and $0.2 million for the three months ended July 31, 2025 and 2024, respectively, and $0.8 million and $3.5 million nine months ended July 31, 2025 and 2024, respectively. Includes $0.3 million of amortization of the Blueberries finance lease for both the three months ended July 31, 2025 and 2024 and $0.7 million for both the nine months ended July 31, 2025 and 2024. The nine months ended July 31, 2025 also include $0.9 million of accelerated depreciation expense from fixed assets related to the closure of our Canada facilities during the second quarter. The nine months ended July 31, 2024 also include $4.1 million of accelerated depreciation expense, $2.0 million of which was from purchase accounting assets, for certain blueberry plants determined to have no remaining useful life.</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(3)Represents charges recognized in cost of sales related to the closure of our Canada facilities, including: accelerated amortization of operating lease right-of-use assets, early lease termination costs and severance costs, partially offset by gains on settlement of asset retirement obligations.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and additional adjustments are not expected in the future.</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(5)Represents net income (loss) attributable to noncontrolling interest plus the impact of non-GAAP adjustments, allocable to the noncontrolling owner based on their percentage of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0"/>
                <wp:effectExtent l="0" t="0" r="0" b="0"/>
                <wp:wrapNone/>
                <wp:docPr id="19" name="Frame1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 world leader in sourcing, producing, growing and distributing Hass avocados, serving retail, wholesale and foodservice customers. We source, produce, pack and distribute avocados along with other fruits, including mangos,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three operating segments which are also reportable segments:</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&amp; Distribution. </w:t>
      </w:r>
      <w:r>
        <w:rPr>
          <w:rFonts w:ascii="Arial;sans-serif" w:hAnsi="Arial;sans-serif"/>
          <w:b w:val="false"/>
          <w:color w:val="000000"/>
          <w:sz w:val="16"/>
        </w:rPr>
        <w:t>Our Marketing &amp; Distribution reportable segment sources fruit from growers and then distributes the fruit through our global distribution network.</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International Farming owns and operates orchards from which the vast majority of fruit produced is sold to our Marketing &amp;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consists of farming activities that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Macroeconomic environment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February 1, 2025, the United States imposed 25% tariffs against certain foreign goods, including a 25% tariff on all imports from Mexico. The tariffs were effective March 4 through March 6, 2025, during which we incurred $1.1 million in tariffs on Mexican imports. Due to the abrupt and brief duration of tariff application, we were unable to effectively pass the charges to customers. On March 6, 2025, the United States exempted imports from Mexico satisfying the United States–Mexico–Canada Agreement (USMCA) requirements.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April 2, 2025, the U.S. imposed a minimum 10% tariff on all foreign imports, effective April 9, 2025. Our imported avocados and mangos are primarily sourced from Mexico and Peru with additional sourcing from various Central and South American countries, some of which are subject to tariff rates higher than 10%. As Mexican fruit is exempted under the USMCA, we are primarily impacted by 10% tariffs on Peruvian fruit. Our International Farming segment cultivates and exports avocados from Peru. Sales of Peruvian fruit are concentrated in the second half of the fiscal year in alignment with the Peruvian avocado harvest season. If we are unable to pass the cost of tariffs to customers, we could experience an adverse impact on gross profit.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If U.S. or global trade policies change again, our costs of foreign fruit could be impacted. It is difficult to predict the impact of future changes. We continue to monitor regulatory changes and their impact on our industry, and are actively strategizing to align our pricing strategy to policy changes.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Supply chain optimization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closed its Canadian distribution centers within its Marketing &amp; Distribution segment during the first quarter of 2025. In connection with the closure, we recognized approximately $2.7 million in charges for the nine months ended July 31, 2025. Charges consisted of accelerated depreciation expense of property, plant and equipment, accelerated amortization expense of operating lease right-of-use assets, loss on disposal of property, plant and equipment, and severance costs which were partially offset by gains on settlement of asset retirement obligations. Volume from these facilities has been absorbed by our other distribution centers and third-party service providers.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0"/>
                <wp:effectExtent l="0" t="0" r="0" b="0"/>
                <wp:wrapNone/>
                <wp:docPr id="20" name="Frame2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tariffs;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typically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70"/>
        <w:gridCol w:w="909"/>
        <w:gridCol w:w="912"/>
        <w:gridCol w:w="196"/>
        <w:gridCol w:w="556"/>
        <w:gridCol w:w="109"/>
        <w:gridCol w:w="210"/>
        <w:gridCol w:w="211"/>
        <w:gridCol w:w="256"/>
        <w:gridCol w:w="109"/>
        <w:gridCol w:w="109"/>
        <w:gridCol w:w="109"/>
        <w:gridCol w:w="196"/>
        <w:gridCol w:w="556"/>
        <w:gridCol w:w="109"/>
        <w:gridCol w:w="210"/>
        <w:gridCol w:w="211"/>
        <w:gridCol w:w="256"/>
        <w:gridCol w:w="109"/>
        <w:gridCol w:w="109"/>
        <w:gridCol w:w="109"/>
        <w:gridCol w:w="196"/>
        <w:gridCol w:w="691"/>
        <w:gridCol w:w="109"/>
        <w:gridCol w:w="210"/>
        <w:gridCol w:w="211"/>
        <w:gridCol w:w="256"/>
        <w:gridCol w:w="109"/>
        <w:gridCol w:w="109"/>
        <w:gridCol w:w="109"/>
        <w:gridCol w:w="196"/>
        <w:gridCol w:w="556"/>
        <w:gridCol w:w="109"/>
        <w:gridCol w:w="210"/>
        <w:gridCol w:w="211"/>
        <w:gridCol w:w="302"/>
      </w:tblGrid>
      <w:tr>
        <w:trPr/>
        <w:tc>
          <w:tcPr>
            <w:tcW w:w="107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w:t>
            </w:r>
          </w:p>
        </w:tc>
      </w:tr>
      <w:tr>
        <w:trPr/>
        <w:tc>
          <w:tcPr>
            <w:tcW w:w="2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(loss) income attributable to noncontrolling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89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attributable to Mission Produce</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pStyle w:val="TextBody"/>
        <w:bidi w:val="0"/>
        <w:spacing w:before="0" w:after="0"/>
        <w:ind w:left="0" w:right="0" w:firstLine="720"/>
        <w:jc w:val="left"/>
        <w:rPr/>
      </w:pPr>
      <w:r>
        <w:rPr/>
      </w:r>
    </w:p>
    <w:tbl>
      <w:tblPr>
        <w:tblW w:w="6615" w:type="dxa"/>
        <w:jc w:val="center"/>
        <w:tblInd w:w="0" w:type="dxa"/>
        <w:tblLayout w:type="fixed"/>
        <w:tblCellMar>
          <w:top w:w="28" w:type="dxa"/>
          <w:left w:w="28" w:type="dxa"/>
          <w:bottom w:w="28" w:type="dxa"/>
          <w:right w:w="28" w:type="dxa"/>
        </w:tblCellMar>
      </w:tblPr>
      <w:tblGrid>
        <w:gridCol w:w="727"/>
        <w:gridCol w:w="638"/>
        <w:gridCol w:w="645"/>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55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20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 by segment:</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increased $33.7 million or 10% in the three months ended July 31, 2025 compared to the same period last year, primarily driven by our Marketing &amp; Distribution segment, where avocado volume sold increased 10%, partially offset by a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0"/>
                <wp:effectExtent l="0" t="0" r="0" b="0"/>
                <wp:wrapNone/>
                <wp:docPr id="21" name="Frame2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in average per-unit avocado sales prices of 5%. Volume and price movements resulted from higher Peruvian avocado production driven by more favorable weather conditions in the current year and greater availability of Mexican fruit due to harvest disruptions in the previous year.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increased $191.9 million or 22% in the nine months ended July 31, 2025 compared to the same period last year, primarily driven by our Marketing &amp; Distribution segment, where average per-unit avocado sales prices increased 13% and avocado volume sold increased 5%. The year-to-date volume increase was concentrated in the third quarter due to factors mentioned above. Per-unit avocado sales prices were significantly higher than the prior year through our second fiscal quarter, and were lower in our fiscal third quarter than the same period in the prior year due to higher Peruvian and Mexican fruit availability.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Gross profit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Logistics costs include land and sea transportation and expenses related to port facilities and distribution centers as well as tariffs/import duties.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tbl>
      <w:tblPr>
        <w:tblW w:w="7312" w:type="dxa"/>
        <w:jc w:val="center"/>
        <w:tblInd w:w="0" w:type="dxa"/>
        <w:tblLayout w:type="fixed"/>
        <w:tblCellMar>
          <w:top w:w="28" w:type="dxa"/>
          <w:left w:w="28" w:type="dxa"/>
          <w:bottom w:w="28" w:type="dxa"/>
          <w:right w:w="28" w:type="dxa"/>
        </w:tblCellMar>
      </w:tblPr>
      <w:tblGrid>
        <w:gridCol w:w="1027"/>
        <w:gridCol w:w="899"/>
        <w:gridCol w:w="908"/>
        <w:gridCol w:w="196"/>
        <w:gridCol w:w="466"/>
        <w:gridCol w:w="256"/>
        <w:gridCol w:w="109"/>
        <w:gridCol w:w="109"/>
        <w:gridCol w:w="109"/>
        <w:gridCol w:w="284"/>
        <w:gridCol w:w="182"/>
        <w:gridCol w:w="296"/>
        <w:gridCol w:w="109"/>
        <w:gridCol w:w="109"/>
        <w:gridCol w:w="109"/>
        <w:gridCol w:w="196"/>
        <w:gridCol w:w="556"/>
        <w:gridCol w:w="256"/>
        <w:gridCol w:w="109"/>
        <w:gridCol w:w="109"/>
        <w:gridCol w:w="109"/>
        <w:gridCol w:w="286"/>
        <w:gridCol w:w="180"/>
        <w:gridCol w:w="343"/>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2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(in millions)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w:t>
            </w:r>
          </w:p>
        </w:tc>
      </w:tr>
      <w:tr>
        <w:trPr/>
        <w:tc>
          <w:tcPr>
            <w:tcW w:w="2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as a percentage of sales</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Gross profit increased $8.1 million or 22% in the three months ended July 31, 2025 to $45.1 million, while gross profit percentage increased 120 basis points compared to the same period last year, to 12.6% of revenue. The increase was driven by our International Farming segment where avocado production was significantly higher due to increased yields at our farms.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Gross profit increased $8.3 million or 9% in the nine months ended July 31, 2025 compared to the same period last year, while gross profit percentage decreased 120 basis points to 9.8% of revenue. Gross profit growth was driven by improved avocado and mango yields in our International Farming segment in the current year, partially offset by lower per-unit margins in our Marketing and Distribution segment. Marketing and Distribution segment results were negatively impacted by charges incurred in relation to the closure of Canadian facilities totaling $2.7 million and $1.1 million in tariffs levied on USMCA-compliant goods imported from Mexico for the three days they were in effect during March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0"/>
                <wp:effectExtent l="0" t="0" r="0" b="0"/>
                <wp:wrapNone/>
                <wp:docPr id="22" name="Frame2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SG&amp;A</w:t>
      </w:r>
    </w:p>
    <w:p>
      <w:pPr>
        <w:pStyle w:val="TextBody"/>
        <w:bidi w:val="0"/>
        <w:spacing w:lineRule="auto" w:line="288" w:before="240" w:after="120"/>
        <w:ind w:left="0" w:right="0" w:firstLine="720"/>
        <w:jc w:val="left"/>
        <w:rPr>
          <w:rFonts w:ascii="Arial;sans-serif" w:hAnsi="Arial;sans-serif"/>
          <w:b w:val="false"/>
          <w:color w:val="000000"/>
          <w:sz w:val="16"/>
        </w:rPr>
      </w:pPr>
      <w:r>
        <w:rPr>
          <w:rFonts w:ascii="Arial;sans-serif" w:hAnsi="Arial;sans-serif"/>
          <w:b w:val="false"/>
          <w:color w:val="000000"/>
          <w:sz w:val="16"/>
        </w:rPr>
        <w:t>Selling, general and administrative (“SG&amp;A”) expenses primarily include the costs associated with selling, professional fees, general corporate overhead and other related administrative functions.</w:t>
      </w:r>
    </w:p>
    <w:tbl>
      <w:tblPr>
        <w:tblW w:w="7454" w:type="dxa"/>
        <w:jc w:val="center"/>
        <w:tblInd w:w="0" w:type="dxa"/>
        <w:tblLayout w:type="fixed"/>
        <w:tblCellMar>
          <w:top w:w="28" w:type="dxa"/>
          <w:left w:w="28" w:type="dxa"/>
          <w:bottom w:w="28" w:type="dxa"/>
          <w:right w:w="28" w:type="dxa"/>
        </w:tblCellMar>
      </w:tblPr>
      <w:tblGrid>
        <w:gridCol w:w="1209"/>
        <w:gridCol w:w="1060"/>
        <w:gridCol w:w="107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33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SG&amp;A expenses increased $3.9 million or 19% and $8.2 million or 14% in the three and nine months ended July 31, 2025 compared to the same periods last year. The increases were primarily due to higher employee related costs, inclusive of incentive, performance-based stock compensation expense, and higher statutory profit-sharing expense in our International Farming segment associated with performance.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expense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 </w:t>
      </w:r>
    </w:p>
    <w:p>
      <w:pPr>
        <w:pStyle w:val="TextBody"/>
        <w:bidi w:val="0"/>
        <w:spacing w:before="0" w:after="0"/>
        <w:ind w:left="0" w:right="0" w:firstLine="720"/>
        <w:jc w:val="left"/>
        <w:rPr/>
      </w:pPr>
      <w:r>
        <w:rPr/>
      </w:r>
    </w:p>
    <w:tbl>
      <w:tblPr>
        <w:tblW w:w="5161" w:type="dxa"/>
        <w:jc w:val="center"/>
        <w:tblInd w:w="0" w:type="dxa"/>
        <w:tblLayout w:type="fixed"/>
        <w:tblCellMar>
          <w:top w:w="28" w:type="dxa"/>
          <w:left w:w="28" w:type="dxa"/>
          <w:bottom w:w="28" w:type="dxa"/>
          <w:right w:w="28" w:type="dxa"/>
        </w:tblCellMar>
      </w:tblPr>
      <w:tblGrid>
        <w:gridCol w:w="488"/>
        <w:gridCol w:w="428"/>
        <w:gridCol w:w="43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decreased $0.8 million or 25% and $2.8 million or 28% in the three and nine months ended July 31, 2025 compared to the same periods last year. The decreases were due to lower average balances on our revolving line of credit and lower interest rates on our borrowings under our credit facility. Interest rates applicable to our credit facility are variable, based on SOFR and a spread depending on our net leverage ratio.</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income</w:t>
      </w:r>
    </w:p>
    <w:p>
      <w:pPr>
        <w:pStyle w:val="TextBody"/>
        <w:bidi w:val="0"/>
        <w:spacing w:lineRule="auto" w:line="288" w:before="240" w:after="24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material equity method investees include Henry Avocado (“HAC”), Mr. Avocado and Copaltas. </w:t>
      </w:r>
    </w:p>
    <w:tbl>
      <w:tblPr>
        <w:tblW w:w="5536" w:type="dxa"/>
        <w:jc w:val="center"/>
        <w:tblInd w:w="0" w:type="dxa"/>
        <w:tblLayout w:type="fixed"/>
        <w:tblCellMar>
          <w:top w:w="28" w:type="dxa"/>
          <w:left w:w="28" w:type="dxa"/>
          <w:bottom w:w="28" w:type="dxa"/>
          <w:right w:w="28" w:type="dxa"/>
        </w:tblCellMar>
      </w:tblPr>
      <w:tblGrid>
        <w:gridCol w:w="624"/>
        <w:gridCol w:w="547"/>
        <w:gridCol w:w="55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17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method income increased $0.3 million or 18% and $1.1 million or 42% in the three and nine months ended July 31, 2025 compared to the same periods last year. Equity method income is mostly comprised of earnings in our investment in Henry Avocado Corporation. The increase in the three month period ended July 31, 2025 was primarily due to higher volumes and per-box margin at Henry Avocado Corporation while the increases for the nine month period ended July 31, 2025 were primarily due to improved margins on fruit sold by Mr. Avocado in China.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income, net consists of interest income, currency exchange gains or losses, interest rate derivative gains or losses and other miscellaneous income and expense items.</w:t>
      </w:r>
    </w:p>
    <w:p>
      <w:pPr>
        <w:pStyle w:val="TextBody"/>
        <w:bidi w:val="0"/>
        <w:spacing w:before="0" w:after="0"/>
        <w:jc w:val="left"/>
        <w:rPr/>
      </w:pPr>
      <w:r>
        <w:rPr/>
      </w:r>
    </w:p>
    <w:tbl>
      <w:tblPr>
        <w:tblW w:w="6045" w:type="dxa"/>
        <w:jc w:val="center"/>
        <w:tblInd w:w="0" w:type="dxa"/>
        <w:tblLayout w:type="fixed"/>
        <w:tblCellMar>
          <w:top w:w="28" w:type="dxa"/>
          <w:left w:w="28" w:type="dxa"/>
          <w:bottom w:w="28" w:type="dxa"/>
          <w:right w:w="28" w:type="dxa"/>
        </w:tblCellMar>
      </w:tblPr>
      <w:tblGrid>
        <w:gridCol w:w="803"/>
        <w:gridCol w:w="705"/>
        <w:gridCol w:w="712"/>
        <w:gridCol w:w="196"/>
        <w:gridCol w:w="451"/>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222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0"/>
                <wp:effectExtent l="0" t="0" r="0" b="0"/>
                <wp:wrapNone/>
                <wp:docPr id="23" name="Frame2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Other expense was $0.8 million in the three months ended July 31, 2025 compared to other income of $1.3 million for the same period last year. Other income was $0.1 million in the nine months ended July 31, 2025 compared to $1.3 million for the same period last year. Changes in both periods were primarily attributed to foreign currency transaction losses resulting from the weakening of the U.S. dollar relative to the Mexican peso in the current year.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before="0" w:after="0"/>
        <w:jc w:val="left"/>
        <w:rPr/>
      </w:pPr>
      <w:r>
        <w:rPr/>
      </w:r>
    </w:p>
    <w:tbl>
      <w:tblPr>
        <w:tblW w:w="7428" w:type="dxa"/>
        <w:jc w:val="center"/>
        <w:tblInd w:w="0" w:type="dxa"/>
        <w:tblLayout w:type="fixed"/>
        <w:tblCellMar>
          <w:top w:w="28" w:type="dxa"/>
          <w:left w:w="28" w:type="dxa"/>
          <w:bottom w:w="28" w:type="dxa"/>
          <w:right w:w="28" w:type="dxa"/>
        </w:tblCellMar>
      </w:tblPr>
      <w:tblGrid>
        <w:gridCol w:w="1053"/>
        <w:gridCol w:w="925"/>
        <w:gridCol w:w="932"/>
        <w:gridCol w:w="196"/>
        <w:gridCol w:w="376"/>
        <w:gridCol w:w="256"/>
        <w:gridCol w:w="109"/>
        <w:gridCol w:w="109"/>
        <w:gridCol w:w="109"/>
        <w:gridCol w:w="196"/>
        <w:gridCol w:w="376"/>
        <w:gridCol w:w="256"/>
        <w:gridCol w:w="109"/>
        <w:gridCol w:w="109"/>
        <w:gridCol w:w="109"/>
        <w:gridCol w:w="196"/>
        <w:gridCol w:w="466"/>
        <w:gridCol w:w="256"/>
        <w:gridCol w:w="109"/>
        <w:gridCol w:w="109"/>
        <w:gridCol w:w="109"/>
        <w:gridCol w:w="196"/>
        <w:gridCol w:w="466"/>
        <w:gridCol w:w="301"/>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29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Provision for income taxes (in millions)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 increased $0.8 million or 18% and $0.2 million or 2% in the three and nine months ended July 31, 2025 compared to the same periods last year, primarily due to the effect of higher income before taxes in the current year. Our effective tax rate was impacted by book losses in jurisdictions where either a full valuation allowance has been recorded or where loss carryforward is disallowed in both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on the total adjusted EBITDA. We believe the addition of the subtotal within the reconciliation is useful because it better aligns with management’s sequence of review of the information in the reconciliation.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0"/>
                <wp:effectExtent l="0" t="0" r="0" b="0"/>
                <wp:wrapNone/>
                <wp:docPr id="24" name="Frame2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tbl>
      <w:tblPr>
        <w:tblW w:w="10205" w:type="dxa"/>
        <w:jc w:val="center"/>
        <w:tblInd w:w="0" w:type="dxa"/>
        <w:tblLayout w:type="fixed"/>
        <w:tblCellMar>
          <w:top w:w="28" w:type="dxa"/>
          <w:left w:w="28" w:type="dxa"/>
          <w:bottom w:w="28" w:type="dxa"/>
          <w:right w:w="28" w:type="dxa"/>
        </w:tblCellMar>
      </w:tblPr>
      <w:tblGrid>
        <w:gridCol w:w="441"/>
        <w:gridCol w:w="288"/>
        <w:gridCol w:w="244"/>
        <w:gridCol w:w="224"/>
        <w:gridCol w:w="674"/>
        <w:gridCol w:w="150"/>
        <w:gridCol w:w="109"/>
        <w:gridCol w:w="109"/>
        <w:gridCol w:w="109"/>
        <w:gridCol w:w="249"/>
        <w:gridCol w:w="521"/>
        <w:gridCol w:w="166"/>
        <w:gridCol w:w="109"/>
        <w:gridCol w:w="109"/>
        <w:gridCol w:w="109"/>
        <w:gridCol w:w="196"/>
        <w:gridCol w:w="410"/>
        <w:gridCol w:w="130"/>
        <w:gridCol w:w="109"/>
        <w:gridCol w:w="109"/>
        <w:gridCol w:w="109"/>
        <w:gridCol w:w="166"/>
        <w:gridCol w:w="496"/>
        <w:gridCol w:w="109"/>
        <w:gridCol w:w="109"/>
        <w:gridCol w:w="109"/>
        <w:gridCol w:w="109"/>
        <w:gridCol w:w="255"/>
        <w:gridCol w:w="625"/>
        <w:gridCol w:w="168"/>
        <w:gridCol w:w="109"/>
        <w:gridCol w:w="109"/>
        <w:gridCol w:w="109"/>
        <w:gridCol w:w="275"/>
        <w:gridCol w:w="477"/>
        <w:gridCol w:w="183"/>
        <w:gridCol w:w="109"/>
        <w:gridCol w:w="109"/>
        <w:gridCol w:w="109"/>
        <w:gridCol w:w="196"/>
        <w:gridCol w:w="410"/>
        <w:gridCol w:w="130"/>
        <w:gridCol w:w="109"/>
        <w:gridCol w:w="109"/>
        <w:gridCol w:w="109"/>
        <w:gridCol w:w="166"/>
        <w:gridCol w:w="406"/>
        <w:gridCol w:w="161"/>
      </w:tblGrid>
      <w:tr>
        <w:trPr/>
        <w:tc>
          <w:tcPr>
            <w:tcW w:w="4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Three Months Ended</w:t>
              <w:br/>
              <w:t>July 31,</w:t>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w:t>
            </w:r>
          </w:p>
        </w:tc>
        <w:tc>
          <w:tcPr>
            <w:tcW w:w="4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2024</w:t>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49.0 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27.4 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350.3 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344.1 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357.7 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4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Nine Months Ended</w:t>
              <w:br/>
              <w:t>July 31,</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2024</w:t>
            </w:r>
          </w:p>
        </w:tc>
      </w:tr>
      <w:tr>
        <w:trPr/>
        <w:tc>
          <w:tcPr>
            <w:tcW w:w="97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66.3 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1,125.3 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911.7 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1,002.4 </w:t>
            </w:r>
          </w:p>
        </w:tc>
        <w:tc>
          <w:tcPr>
            <w:tcW w:w="1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1,072.2 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60" w:after="283"/>
        <w:jc w:val="left"/>
        <w:rPr>
          <w:rFonts w:ascii="Arial;sans-serif" w:hAnsi="Arial;sans-serif"/>
          <w:b/>
          <w:color w:val="000000"/>
          <w:sz w:val="18"/>
        </w:rPr>
      </w:pPr>
      <w:r>
        <w:rPr>
          <w:rFonts w:ascii="Arial;sans-serif" w:hAnsi="Arial;sans-serif"/>
          <w:b/>
          <w:color w:val="000000"/>
          <w:sz w:val="18"/>
        </w:rPr>
        <w:t>Adjusted EBITDA</w:t>
      </w:r>
    </w:p>
    <w:p>
      <w:pPr>
        <w:pStyle w:val="TextBody"/>
        <w:bidi w:val="0"/>
        <w:spacing w:before="60" w:after="60"/>
        <w:jc w:val="center"/>
        <w:rPr/>
      </w:pPr>
      <w:r>
        <w:rPr/>
      </w:r>
    </w:p>
    <w:tbl>
      <w:tblPr>
        <w:tblW w:w="8714" w:type="dxa"/>
        <w:jc w:val="center"/>
        <w:tblInd w:w="0" w:type="dxa"/>
        <w:tblLayout w:type="fixed"/>
        <w:tblCellMar>
          <w:top w:w="28" w:type="dxa"/>
          <w:left w:w="28" w:type="dxa"/>
          <w:bottom w:w="28" w:type="dxa"/>
          <w:right w:w="28" w:type="dxa"/>
        </w:tblCellMar>
      </w:tblPr>
      <w:tblGrid>
        <w:gridCol w:w="1666"/>
        <w:gridCol w:w="1459"/>
        <w:gridCol w:w="147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2024</w:t>
            </w:r>
          </w:p>
        </w:tc>
      </w:tr>
      <w:tr>
        <w:trPr/>
        <w:tc>
          <w:tcPr>
            <w:tcW w:w="46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Interest expense</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(2)</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Canada site closures</w:t>
            </w:r>
            <w:r>
              <w:rPr>
                <w:rFonts w:ascii="Arial;sans-serif" w:hAnsi="Arial;sans-serif"/>
                <w:b w:val="false"/>
                <w:color w:val="000000"/>
                <w:sz w:val="10"/>
              </w:rPr>
              <w:t>(3)</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Tariffs</w:t>
            </w:r>
            <w:r>
              <w:rPr>
                <w:rFonts w:ascii="Arial;sans-serif" w:hAnsi="Arial;sans-serif"/>
                <w:b w:val="false"/>
                <w:color w:val="000000"/>
                <w:sz w:val="10"/>
              </w:rPr>
              <w:t>(4)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before adjustment for noncontrolling interest</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(5)</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interest expense from finance leases, the most significant of which is for land at our Blueberries segment of $0.5 million for both the three months ended July 31, 2025 and 2024 and $1.5 million for both the nine months ended July 31, 2025 and 2024.</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depreciation and amortization of purchase accounting assets of zero and $0.2 million for the three months ended July 31, 2025 and 2024, respectively, and $0.8 million and $3.5 million nine months ended July 31, 2025 and 2024, respectively. Includes $0.3 million of amortization of the Blueberries finance lease for both the three months ended July 31, 2025 and 2024 and $0.7 million for both the nine months ended July 31, 2025 and 2024. The nine months ended July 31, 2025 also include $0.9 million of accelerated depreciation expense from fixed assets related to the closure of our Canada facilities during the second quarter. The nine months ended July 31, 2024 also include $4.1 million of accelerated depreciation expense, $2.0 million of which was from purchase accounting assets, for certain blueberry plants determined to have no remaining useful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0"/>
                <wp:effectExtent l="0" t="0" r="0" b="0"/>
                <wp:wrapNone/>
                <wp:docPr id="25" name="Frame2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(3)Represents charges recognized in cost of sales related to the closure of our Canada facilities, including accelerated amortization of operating lease right-of-use assets, early lease termination costs and severance costs, partially offset by gains on settlement of asset retirement obligations.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and additional adjustments are not expected in the future.</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(5)Represents net income (loss) attributable to noncontrolling interest plus the impact of non-GAAP adjustments, allocable to the noncontrolling owner based on their percentage of ownership interest.</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Marketing &amp; Distribution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Marketing &amp; Distribution segment increased $22.8 million or 7% and $169.4 million or 20% in the three and nine months ended July 31, 2025 compared to the same periods last year, driven by the avocado volume and price dynamics described above.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$6.8 million or 25% and $13.0 million or 22% in the three and nine months ended July 31, 2025 compared to the same periods last year, primarily due to lower per-unit gross margin on avocados sold and higher SG&amp;A expenses, as described above.</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International Farming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The timing of the mango harvest is generally concentrated in the fiscal second quarter.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increased $21.6 million or 79% and $31.7 million or 92% in the three and nine months ended July 31, 2025 compared to the same periods last year. Segment adjusted EBITDA increased $7.5 million or 163% and $13.5 million or 711% in the three and nine months ended July 31, 2025 compared to the same periods last year. The increases were driven by higher yield from owned avocado orchards as well as higher volume of avocado packing and cooling services provided to third parties.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Sales in our Blueberries segment have traditionally been concentrated in the first and fourth quarters of our fiscal year in alignment with the Peruvian blueberry harvest season.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Blueberries segment increased $2.9 million or 181% in the three months ended July 31, 2025 compared to the same period last year, primarily due to an increase in volume produced in our farms and an increase in average per-unit sales price.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adjusted EBITDA increased $0.4 million or 400% for the three months ended July 31, 2025 compared to the same period last year due to higher volume and average per-unit sales price.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in our Blueberries segment increased $12.5 million or 28% in the nine months ended July 31, 2025 compared to the same period last year, due to a 66% increase in volume, partially offset by a 23% decrease in average per-unit sales price. Higher volumes were driven by both increased total acreage and higher yields from our farms, while decreased prices were driven by higher total industry production from Peru after unfavorable regional weather conditions negatively impacted supply during the prior year.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$2.0 million or 21% for the nine months ended July 31, 2025 compared to the same period last year, primarily due to lower per-unit margins attributed to lower selling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Operating activities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0"/>
                <wp:effectExtent l="0" t="0" r="0" b="0"/>
                <wp:wrapNone/>
                <wp:docPr id="26" name="Frame2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 </w:t>
      </w:r>
    </w:p>
    <w:tbl>
      <w:tblPr>
        <w:tblW w:w="5618" w:type="dxa"/>
        <w:jc w:val="left"/>
        <w:tblInd w:w="0" w:type="dxa"/>
        <w:tblLayout w:type="fixed"/>
        <w:tblCellMar>
          <w:top w:w="28" w:type="dxa"/>
          <w:left w:w="28" w:type="dxa"/>
          <w:bottom w:w="28" w:type="dxa"/>
          <w:right w:w="28" w:type="dxa"/>
        </w:tblCellMar>
      </w:tblPr>
      <w:tblGrid>
        <w:gridCol w:w="1340"/>
        <w:gridCol w:w="1173"/>
        <w:gridCol w:w="1191"/>
        <w:gridCol w:w="196"/>
        <w:gridCol w:w="466"/>
        <w:gridCol w:w="109"/>
        <w:gridCol w:w="109"/>
        <w:gridCol w:w="109"/>
        <w:gridCol w:w="109"/>
        <w:gridCol w:w="196"/>
        <w:gridCol w:w="46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37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cash provided by operating activities was $21.4 million for the nine months ended July 31, 2025 compared to $55.4 million for the same period last year. Higher working capital requirements in the current year were due to significantly higher avocado production and harvest timing in the International Farming segment which resulted in higher inventory balances as well as lower payable balances with third-party suppliers and growers.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Investing activities</w:t>
      </w:r>
    </w:p>
    <w:tbl>
      <w:tblPr>
        <w:tblW w:w="5363" w:type="dxa"/>
        <w:jc w:val="left"/>
        <w:tblInd w:w="0" w:type="dxa"/>
        <w:tblLayout w:type="fixed"/>
        <w:tblCellMar>
          <w:top w:w="28" w:type="dxa"/>
          <w:left w:w="28" w:type="dxa"/>
          <w:bottom w:w="28" w:type="dxa"/>
          <w:right w:w="28" w:type="dxa"/>
        </w:tblCellMar>
      </w:tblPr>
      <w:tblGrid>
        <w:gridCol w:w="1194"/>
        <w:gridCol w:w="1047"/>
        <w:gridCol w:w="1058"/>
        <w:gridCol w:w="196"/>
        <w:gridCol w:w="541"/>
        <w:gridCol w:w="109"/>
        <w:gridCol w:w="109"/>
        <w:gridCol w:w="109"/>
        <w:gridCol w:w="109"/>
        <w:gridCol w:w="196"/>
        <w:gridCol w:w="541"/>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32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equity method investees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Property, plant and equipment</w:t>
      </w:r>
    </w:p>
    <w:p>
      <w:pPr>
        <w:pStyle w:val="TextBody"/>
        <w:bidi w:val="0"/>
        <w:spacing w:before="0" w:after="0"/>
        <w:ind w:left="0" w:right="0" w:firstLine="720"/>
        <w:jc w:val="left"/>
        <w:rPr/>
      </w:pPr>
      <w:r>
        <w:rPr/>
      </w:r>
    </w:p>
    <w:tbl>
      <w:tblPr>
        <w:tblW w:w="6158" w:type="dxa"/>
        <w:jc w:val="left"/>
        <w:tblInd w:w="0" w:type="dxa"/>
        <w:tblLayout w:type="fixed"/>
        <w:tblCellMar>
          <w:top w:w="28" w:type="dxa"/>
          <w:left w:w="28" w:type="dxa"/>
          <w:bottom w:w="28" w:type="dxa"/>
          <w:right w:w="28" w:type="dxa"/>
        </w:tblCellMar>
      </w:tblPr>
      <w:tblGrid>
        <w:gridCol w:w="1536"/>
        <w:gridCol w:w="1347"/>
        <w:gridCol w:w="1361"/>
        <w:gridCol w:w="196"/>
        <w:gridCol w:w="466"/>
        <w:gridCol w:w="109"/>
        <w:gridCol w:w="109"/>
        <w:gridCol w:w="109"/>
        <w:gridCol w:w="109"/>
        <w:gridCol w:w="196"/>
        <w:gridCol w:w="46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purchases of property, plant and equipment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nine months ended July 31, 2025 and 2024, capital expenditures were comprised primarily of avocado orchard development, pre-production orchard maintenance and land improvements, packhouse construction in Guatemala and pre-production land development and blueberry plant cultivation in Peru.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0"/>
                <wp:effectExtent l="0" t="0" r="0" b="0"/>
                <wp:wrapNone/>
                <wp:docPr id="27" name="Frame2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Financing activities</w:t>
      </w:r>
    </w:p>
    <w:tbl>
      <w:tblPr>
        <w:tblW w:w="8003" w:type="dxa"/>
        <w:jc w:val="left"/>
        <w:tblInd w:w="0" w:type="dxa"/>
        <w:tblLayout w:type="fixed"/>
        <w:tblCellMar>
          <w:top w:w="28" w:type="dxa"/>
          <w:left w:w="28" w:type="dxa"/>
          <w:bottom w:w="28" w:type="dxa"/>
          <w:right w:w="28" w:type="dxa"/>
        </w:tblCellMar>
      </w:tblPr>
      <w:tblGrid>
        <w:gridCol w:w="2174"/>
        <w:gridCol w:w="1907"/>
        <w:gridCol w:w="1933"/>
        <w:gridCol w:w="196"/>
        <w:gridCol w:w="466"/>
        <w:gridCol w:w="109"/>
        <w:gridCol w:w="109"/>
        <w:gridCol w:w="109"/>
        <w:gridCol w:w="109"/>
        <w:gridCol w:w="196"/>
        <w:gridCol w:w="54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Borrowings and repayments of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utilize a revolving line of credit for short-term working capital purposes. Principal payments on our credit facility are made in accordance with debt maturity schedules.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with intermediaries and directly with vendors.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Purchase and retirement of common stock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Shares of the company’s common stock may be repurchased from time to time in the open market or privately negotiated transactions under our share repurchase program. For more information on our stock repurchase program, see “Item 2. Unregistered Sales of Equity Securities and Use of Proceeds” in this quarterly report.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Capital resources</w:t>
      </w:r>
    </w:p>
    <w:tbl>
      <w:tblPr>
        <w:tblW w:w="5007" w:type="dxa"/>
        <w:jc w:val="left"/>
        <w:tblInd w:w="0" w:type="dxa"/>
        <w:tblLayout w:type="fixed"/>
        <w:tblCellMar>
          <w:top w:w="28" w:type="dxa"/>
          <w:left w:w="28" w:type="dxa"/>
          <w:bottom w:w="28" w:type="dxa"/>
          <w:right w:w="28" w:type="dxa"/>
        </w:tblCellMar>
      </w:tblPr>
      <w:tblGrid>
        <w:gridCol w:w="759"/>
        <w:gridCol w:w="666"/>
        <w:gridCol w:w="675"/>
        <w:gridCol w:w="282"/>
        <w:gridCol w:w="671"/>
        <w:gridCol w:w="157"/>
        <w:gridCol w:w="109"/>
        <w:gridCol w:w="109"/>
        <w:gridCol w:w="109"/>
        <w:gridCol w:w="353"/>
        <w:gridCol w:w="840"/>
        <w:gridCol w:w="277"/>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2024</w:t>
            </w:r>
          </w:p>
        </w:tc>
      </w:tr>
      <w:tr>
        <w:trPr/>
        <w:tc>
          <w:tcPr>
            <w:tcW w:w="2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Working capital</w:t>
            </w:r>
            <w:r>
              <w:rPr>
                <w:rFonts w:ascii="Arial;sans-serif" w:hAnsi="Arial;sans-serif"/>
                <w:b w:val="false"/>
                <w:color w:val="000000"/>
                <w:sz w:val="10"/>
              </w:rPr>
              <w:t>(1)</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144.8 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129.9 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270"/>
        <w:jc w:val="left"/>
        <w:rPr/>
      </w:pPr>
      <w:r>
        <w:rPr>
          <w:rFonts w:ascii="Arial;sans-serif" w:hAnsi="Arial;sans-serif"/>
          <w:b w:val="false"/>
          <w:color w:val="000000"/>
          <w:sz w:val="14"/>
        </w:rPr>
        <w:t>(1)C</w:t>
      </w:r>
      <w:r>
        <w:rPr>
          <w:rFonts w:ascii="Arial;sans-serif" w:hAnsi="Arial;sans-serif"/>
          <w:b w:val="false"/>
          <w:color w:val="000000"/>
          <w:sz w:val="16"/>
        </w:rPr>
        <w:t>urrent assets minus current liabilities.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Capital resources include cash flows from operations, cash and cash equivalents, and debt financing. Our Blueberries segment may from time to time also receive capital contributions or loans from shareholders.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2025, we were required to comply with the following financial covenants: (a) a quarterly consolidated leverage ratio of not more than 3.5 to 1.00 and (b) a quarterly consolidated fixed charge coverage ratio of not less than 1.25 to 1.00. As of July 31, 2025, we were in compliance with all such covenants of the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0"/>
                <wp:effectExtent l="0" t="0" r="0" b="0"/>
                <wp:wrapNone/>
                <wp:docPr id="28" name="Frame2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Material cash requirements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Capital expenditures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various capital projects in progress for farming expansion and facility improvements which we intend to fund through our operating cash flow as well as cash and cash equivalents on hand. For fiscal 2025, we expect total capital expenditures to be between $50 to $55 million. The spend will be allocated primarily to our International Farming and Blueberries segments. Within our International Farming segment, spend will be concentrated in Guatemala for pre-production avocado orchard maintenance and packhouse construction. Within our Blueberries segment, spend will be concentrated on land development and plant cultivation in Peru.</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Leases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party to various leases, the most material of which are for facilities and land. Our undiscounted cash liabilities were approximately $174.6 million as of July 31, 2025, of which, approximately $109.2 million was for long-term land leases in our International Farming and Blueberries segments.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Long-term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of July 31, 2025, outstanding borrowings on our syndicated debt facility totaled $131.8 million. See Note 6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For a discussion of our critical accounting estimates, see “Part II, Item 7. Management’s Discussion and Analysis of Financial Condition and Operations” in our Annual Report on Form 10-K for the year ended October 31, 2024, filed with the SEC on December 19, 2024. There have been no material changes to the critical accounting estimates disclosed in such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There have been no material changes to “Part II, Item 7A. Quantitative and Qualitative Disclosures About Market Risk” in our Annual Report on Form 10-K for the year ended October 31, 2024.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There were no changes in our internal control over financial reporting during the quarter ended July 31, 2025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Limitations on Effectiveness of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0"/>
                <wp:effectExtent l="0" t="0" r="0" b="0"/>
                <wp:wrapNone/>
                <wp:docPr id="29" name="Frame2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PART II- OTHER INFORMATION </w:t>
      </w:r>
    </w:p>
    <w:p>
      <w:pPr>
        <w:pStyle w:val="TextBody"/>
        <w:bidi w:val="0"/>
        <w:spacing w:lineRule="auto" w:line="288" w:before="120" w:after="240"/>
        <w:jc w:val="left"/>
        <w:rPr>
          <w:rFonts w:ascii="Arial;sans-serif" w:hAnsi="Arial;sans-serif"/>
          <w:b/>
          <w:color w:val="000000"/>
          <w:sz w:val="22"/>
        </w:rPr>
      </w:pPr>
      <w:bookmarkStart w:id="0" w:name="ie9094ef26f244f768cf04b5296e02569_3432"/>
      <w:bookmarkEnd w:id="0"/>
      <w:r>
        <w:rPr>
          <w:rFonts w:ascii="Arial;sans-serif" w:hAnsi="Arial;sans-serif"/>
          <w:b/>
          <w:color w:val="000000"/>
          <w:sz w:val="22"/>
        </w:rPr>
        <w:t>Item 1.        Legal Proceedings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is incorporated by reference from Note 7, “Commitments and Contingencies”, which is included in Part I, Item 2 of this Form 10-Q.</w:t>
      </w:r>
    </w:p>
    <w:p>
      <w:pPr>
        <w:pStyle w:val="TextBody"/>
        <w:bidi w:val="0"/>
        <w:spacing w:lineRule="auto" w:line="288" w:before="240" w:after="240"/>
        <w:jc w:val="left"/>
        <w:rPr>
          <w:rFonts w:ascii="Arial;sans-serif" w:hAnsi="Arial;sans-serif"/>
          <w:b/>
          <w:color w:val="000000"/>
          <w:sz w:val="22"/>
        </w:rPr>
      </w:pPr>
      <w:bookmarkStart w:id="1" w:name="ie9094ef26f244f768cf04b5296e02569_3433"/>
      <w:bookmarkEnd w:id="1"/>
      <w:r>
        <w:rPr>
          <w:rFonts w:ascii="Arial;sans-serif" w:hAnsi="Arial;sans-serif"/>
          <w:b/>
          <w:color w:val="000000"/>
          <w:sz w:val="22"/>
        </w:rPr>
        <w:t xml:space="preserve">Item 1A.    Risk Factors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a discussion of our risk factors, see “Part I, Item 1A. Risk Factors” in our Annual Report on Form 10-K for the year ended October 31, 2024, filed with the SEC on December 19, 2024 and “Part II, Item 1A. Risk Factors” in the quarterly report on Form 10-Q for the quarter ended January 31, 2025, filed with the SEC on March 10, 2025 . The risks and uncertainties that we face are not limited to those set forth in the 2024 Form 10-K and subsequent quarterly reports. You should carefully consider the risk factors in the 2024 Form 10-K and subsequent reports,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 </w:t>
      </w:r>
    </w:p>
    <w:p>
      <w:pPr>
        <w:pStyle w:val="TextBody"/>
        <w:bidi w:val="0"/>
        <w:spacing w:lineRule="auto" w:line="288" w:before="240" w:after="240"/>
        <w:jc w:val="left"/>
        <w:rPr>
          <w:rFonts w:ascii="Arial;sans-serif" w:hAnsi="Arial;sans-serif"/>
          <w:b/>
          <w:color w:val="000000"/>
          <w:sz w:val="22"/>
        </w:rPr>
      </w:pPr>
      <w:bookmarkStart w:id="2" w:name="ie9094ef26f244f768cf04b5296e02569_3434"/>
      <w:bookmarkEnd w:id="2"/>
      <w:r>
        <w:rPr>
          <w:rFonts w:ascii="Arial;sans-serif" w:hAnsi="Arial;sans-serif"/>
          <w:b/>
          <w:color w:val="000000"/>
          <w:sz w:val="22"/>
        </w:rPr>
        <w:t>Item 2.        Unregistered Sales of Equity Securities and Use of Proceeds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Issuer repurchases of equity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 repurchases were made by us or our “affiliated purchasers” (as defined in Rule 10b-18(a)(3) of the Exchange Act) of registered equity securities during the third quarter of 2025. As of July 31, 2025, the approximate dollar value of shares that may yet be purchased as part of our stock repurchase program was $13.9 million.</w:t>
      </w:r>
    </w:p>
    <w:p>
      <w:pPr>
        <w:pStyle w:val="TextBody"/>
        <w:bidi w:val="0"/>
        <w:spacing w:lineRule="auto" w:line="288" w:before="240" w:after="240"/>
        <w:jc w:val="left"/>
        <w:rPr>
          <w:rFonts w:ascii="Arial;sans-serif" w:hAnsi="Arial;sans-serif"/>
          <w:b/>
          <w:color w:val="000000"/>
          <w:sz w:val="22"/>
        </w:rPr>
      </w:pPr>
      <w:bookmarkStart w:id="3" w:name="ie9094ef26f244f768cf04b5296e02569_464"/>
      <w:bookmarkEnd w:id="3"/>
      <w:r>
        <w:rPr>
          <w:rFonts w:ascii="Arial;sans-serif" w:hAnsi="Arial;sans-serif"/>
          <w:b/>
          <w:color w:val="000000"/>
          <w:sz w:val="22"/>
        </w:rPr>
        <w:t>Item 3.        Defaults Upon Senior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4" w:name="ie9094ef26f244f768cf04b5296e02569_467"/>
      <w:bookmarkEnd w:id="4"/>
      <w:r>
        <w:rPr>
          <w:rFonts w:ascii="Arial;sans-serif" w:hAnsi="Arial;sans-serif"/>
          <w:b/>
          <w:color w:val="000000"/>
          <w:sz w:val="22"/>
        </w:rPr>
        <w:t>Item 4.        Mine Safety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5" w:name="ie9094ef26f244f768cf04b5296e02569_466"/>
      <w:bookmarkEnd w:id="5"/>
      <w:r>
        <w:rPr>
          <w:rFonts w:ascii="Arial;sans-serif" w:hAnsi="Arial;sans-serif"/>
          <w:b/>
          <w:color w:val="000000"/>
          <w:sz w:val="22"/>
        </w:rPr>
        <w:t>Item 5.        Other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During the fiscal quarter ended July 31, 2025, no director or officer of the Company adopted or terminated a “Rule 10b5-1 trading arrangement” or a “non-Rule 10b5-1 trading arrangement” (in each case, as defined in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0"/>
                <wp:effectExtent l="0" t="0" r="0" b="0"/>
                <wp:wrapNone/>
                <wp:docPr id="30" name="Frame3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40"/>
        <w:jc w:val="left"/>
        <w:rPr>
          <w:rFonts w:ascii="Arial;sans-serif" w:hAnsi="Arial;sans-serif"/>
          <w:b/>
          <w:color w:val="000000"/>
          <w:sz w:val="22"/>
        </w:rPr>
      </w:pPr>
      <w:bookmarkStart w:id="6" w:name="ie9094ef26f244f768cf04b5296e02569_465"/>
      <w:bookmarkEnd w:id="6"/>
      <w:r>
        <w:rPr>
          <w:rFonts w:ascii="Arial;sans-serif" w:hAnsi="Arial;sans-serif"/>
          <w:b/>
          <w:color w:val="000000"/>
          <w:sz w:val="22"/>
        </w:rPr>
        <w:t>Item 6.        Exhibits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documents set forth are filed herewith or incorporated herein by reference.</w:t>
      </w:r>
    </w:p>
    <w:p>
      <w:pPr>
        <w:pStyle w:val="TextBody"/>
        <w:bidi w:val="0"/>
        <w:spacing w:lineRule="auto" w:line="288" w:before="300" w:after="40"/>
        <w:jc w:val="center"/>
        <w:rPr>
          <w:rFonts w:ascii="Arial;sans-serif" w:hAnsi="Arial;sans-serif"/>
          <w:b/>
          <w:color w:val="000000"/>
          <w:sz w:val="20"/>
        </w:rPr>
      </w:pPr>
      <w:r>
        <w:rPr>
          <w:rFonts w:ascii="Arial;sans-serif" w:hAnsi="Arial;sans-serif"/>
          <w:b/>
          <w:color w:val="000000"/>
          <w:sz w:val="20"/>
        </w:rPr>
        <w:t>INDEX</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20"/>
        <w:gridCol w:w="192"/>
        <w:gridCol w:w="194"/>
        <w:gridCol w:w="109"/>
        <w:gridCol w:w="109"/>
        <w:gridCol w:w="109"/>
        <w:gridCol w:w="2038"/>
        <w:gridCol w:w="1820"/>
        <w:gridCol w:w="1828"/>
        <w:gridCol w:w="109"/>
        <w:gridCol w:w="109"/>
        <w:gridCol w:w="109"/>
        <w:gridCol w:w="145"/>
        <w:gridCol w:w="145"/>
        <w:gridCol w:w="146"/>
        <w:gridCol w:w="120"/>
        <w:gridCol w:w="120"/>
        <w:gridCol w:w="120"/>
        <w:gridCol w:w="149"/>
        <w:gridCol w:w="149"/>
        <w:gridCol w:w="153"/>
        <w:gridCol w:w="120"/>
        <w:gridCol w:w="120"/>
        <w:gridCol w:w="120"/>
        <w:gridCol w:w="199"/>
        <w:gridCol w:w="199"/>
        <w:gridCol w:w="203"/>
        <w:gridCol w:w="109"/>
        <w:gridCol w:w="109"/>
        <w:gridCol w:w="109"/>
        <w:gridCol w:w="211"/>
        <w:gridCol w:w="211"/>
        <w:gridCol w:w="302"/>
      </w:tblGrid>
      <w:tr>
        <w:trPr/>
        <w:tc>
          <w:tcPr>
            <w:tcW w:w="2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00"/>
                  <w:sz w:val="14"/>
                  <w:u w:val="single"/>
                </w:rPr>
                <w:t>Amended and Restated Certificate of Incorporation</w:t>
              </w:r>
            </w:hyperlink>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00"/>
                  <w:sz w:val="14"/>
                  <w:u w:val="single"/>
                </w:rPr>
                <w:t>Amendment to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14"/>
                  <w:u w:val="single"/>
                </w:rPr>
                <w:t>Amended and Restated Bylaws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_2025-q3.htm">
              <w:r>
                <w:rPr>
                  <w:rStyle w:val="InternetLink"/>
                  <w:rFonts w:ascii="Arial;sans-serif" w:hAnsi="Arial;sans-serif"/>
                  <w:b w:val="false"/>
                  <w:color w:val="000000"/>
                  <w:sz w:val="14"/>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12_2025-q3.htm">
              <w:r>
                <w:rPr>
                  <w:rStyle w:val="InternetLink"/>
                  <w:rFonts w:ascii="Arial;sans-serif" w:hAnsi="Arial;sans-serif"/>
                  <w:b w:val="false"/>
                  <w:color w:val="000000"/>
                  <w:sz w:val="14"/>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_2025-q3.htm">
              <w:r>
                <w:rPr>
                  <w:rStyle w:val="InternetLink"/>
                  <w:rFonts w:ascii="Arial;sans-serif" w:hAnsi="Arial;sans-serif"/>
                  <w:b w:val="false"/>
                  <w:color w:val="000000"/>
                  <w:sz w:val="14"/>
                  <w:u w:val="single"/>
                </w:rPr>
                <w:t xml:space="preserve">Certification of Chief Executive Officer pursuant to Section 906 of the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22_2025-q3.htm">
              <w:r>
                <w:rPr>
                  <w:rStyle w:val="InternetLink"/>
                  <w:rFonts w:ascii="Arial;sans-serif" w:hAnsi="Arial;sans-serif"/>
                  <w:b w:val="false"/>
                  <w:color w:val="000000"/>
                  <w:sz w:val="14"/>
                  <w:u w:val="single"/>
                </w:rPr>
                <w:t>Certification of Chief Financial Officer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The following financial statements from the Company's Quarterly Report on Form 10-Q for the quarter ended July 31, 2025 formatted in Inline XBRL: (i) Condensed Consolidated Balance Sheets, (ii) Condensed Consolidated Statements of Income, (iii) Condensed Consolidated Statements of Income (iv) Condensed Consolidated Statements of Changes in Equity, (v) Condensed Consolidated Statements of Cash Flows, and (vi) Notes to Consolidated Financial Statements, tagged as blocks of text and including detailed tags.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Cover Page Interactive Data File (formatted as Inline XBRL and contained in Exhibit 101)</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SIGNATURES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Section 13 or 15(d) of the Securities Exchange Act of 1934, the registrant has duly caused this quarterly report to be signed on its behalf by the undersigned, thereunto duly authorized, on September 8, 2025. </w:t>
      </w:r>
    </w:p>
    <w:p>
      <w:pPr>
        <w:pStyle w:val="TextBody"/>
        <w:bidi w:val="0"/>
        <w:spacing w:before="0" w:after="0"/>
        <w:ind w:left="0" w:right="0" w:firstLine="720"/>
        <w:jc w:val="left"/>
        <w:rPr/>
      </w:pPr>
      <w:r>
        <w:rPr/>
      </w:r>
    </w:p>
    <w:tbl>
      <w:tblPr>
        <w:tblW w:w="2324" w:type="dxa"/>
        <w:jc w:val="right"/>
        <w:tblInd w:w="0" w:type="dxa"/>
        <w:tblLayout w:type="fixed"/>
        <w:tblCellMar>
          <w:top w:w="28" w:type="dxa"/>
          <w:left w:w="28" w:type="dxa"/>
          <w:bottom w:w="28" w:type="dxa"/>
          <w:right w:w="28" w:type="dxa"/>
        </w:tblCellMar>
      </w:tblPr>
      <w:tblGrid>
        <w:gridCol w:w="743"/>
        <w:gridCol w:w="654"/>
        <w:gridCol w:w="927"/>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MISSION PRODUCE, INC.</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Executive Officer</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Financial Officer</w:t>
            </w:r>
          </w:p>
        </w:tc>
      </w:tr>
    </w:tbl>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0"/>
                <wp:effectExtent l="0" t="0" r="0" b="0"/>
                <wp:wrapNone/>
                <wp:docPr id="31" name="Frame3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Stephen J. Barnard,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13360"/>
                <wp:effectExtent l="0" t="0" r="0" b="0"/>
                <wp:wrapNone/>
                <wp:docPr id="32" name="Frame3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Bryan E. Giles,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13360"/>
                <wp:effectExtent l="0" t="0" r="0" b="0"/>
                <wp:wrapNone/>
                <wp:docPr id="33" name="Frame3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2025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13360"/>
                <wp:effectExtent l="0" t="0" r="0" b="0"/>
                <wp:wrapNone/>
                <wp:docPr id="34" name="Frame3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2025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8, 2025</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13360"/>
                <wp:effectExtent l="0" t="0" r="0" b="0"/>
                <wp:wrapNone/>
                <wp:docPr id="35" name="Frame3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974/000119312520265099/d32849dex31.htm" TargetMode="External"/><Relationship Id="rId3" Type="http://schemas.openxmlformats.org/officeDocument/2006/relationships/hyperlink" Target="https://www.sec.gov/Archives/edgar/data/1802974/000180297424000028/ex32amendmenttoamendedandr.htm" TargetMode="External"/><Relationship Id="rId4" Type="http://schemas.openxmlformats.org/officeDocument/2006/relationships/hyperlink" Target="https://www.sec.gov/Archives/edgar/data/1802974/000119312520265099/d32849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16117</Words>
  <Characters>88240</Characters>
  <CharactersWithSpaces>103172</CharactersWithSpaces>
  <Paragraphs>2833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