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598170</wp:posOffset>
            </wp:positionH>
            <wp:positionV relativeFrom="page">
              <wp:posOffset>514350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539115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jc w:val="center"/>
        <w:ind w:left="600"/>
        <w:spacing w:after="0" w:line="213" w:lineRule="auto"/>
        <w:rPr>
          <w:sz w:val="20"/>
          <w:szCs w:val="20"/>
          <w:color w:val="auto"/>
        </w:rPr>
      </w:pPr>
      <w:r>
        <w:rPr>
          <w:rFonts w:ascii="Arial" w:cs="Arial" w:eastAsia="Arial" w:hAnsi="Arial"/>
          <w:sz w:val="24"/>
          <w:szCs w:val="24"/>
          <w:b w:val="1"/>
          <w:bCs w:val="1"/>
          <w:color w:val="auto"/>
        </w:rPr>
        <w:t>SECURITIES AND EXCHANGE COMMISSION</w:t>
      </w:r>
    </w:p>
    <w:p>
      <w:pPr>
        <w:jc w:val="center"/>
        <w:ind w:left="600"/>
        <w:spacing w:after="0" w:line="226" w:lineRule="auto"/>
        <w:rPr>
          <w:sz w:val="20"/>
          <w:szCs w:val="20"/>
          <w:color w:val="auto"/>
        </w:rPr>
      </w:pPr>
      <w:r>
        <w:rPr>
          <w:rFonts w:ascii="Arial" w:cs="Arial" w:eastAsia="Arial" w:hAnsi="Arial"/>
          <w:sz w:val="15"/>
          <w:szCs w:val="15"/>
          <w:b w:val="1"/>
          <w:bCs w:val="1"/>
          <w:color w:val="auto"/>
        </w:rPr>
        <w:t>WASHINGTON, D.C. 20549</w:t>
      </w:r>
    </w:p>
    <w:p>
      <w:pPr>
        <w:spacing w:after="0" w:line="1" w:lineRule="exact"/>
        <w:rPr>
          <w:sz w:val="24"/>
          <w:szCs w:val="24"/>
          <w:color w:val="auto"/>
        </w:rPr>
      </w:pPr>
    </w:p>
    <w:p>
      <w:pPr>
        <w:ind w:left="5560"/>
        <w:spacing w:after="0"/>
        <w:rPr>
          <w:sz w:val="20"/>
          <w:szCs w:val="20"/>
          <w:color w:val="auto"/>
        </w:rPr>
      </w:pPr>
      <w:r>
        <w:rPr>
          <w:rFonts w:ascii="Arial" w:cs="Arial" w:eastAsia="Arial" w:hAnsi="Arial"/>
          <w:sz w:val="10"/>
          <w:szCs w:val="10"/>
          <w:u w:val="single" w:color="auto"/>
          <w:color w:val="auto"/>
        </w:rPr>
        <w:t>_____________</w:t>
      </w:r>
    </w:p>
    <w:p>
      <w:pPr>
        <w:spacing w:after="0" w:line="66" w:lineRule="exact"/>
        <w:rPr>
          <w:sz w:val="24"/>
          <w:szCs w:val="24"/>
          <w:color w:val="auto"/>
        </w:rPr>
      </w:pPr>
    </w:p>
    <w:p>
      <w:pPr>
        <w:jc w:val="center"/>
        <w:ind w:left="600"/>
        <w:spacing w:after="0"/>
        <w:rPr>
          <w:sz w:val="20"/>
          <w:szCs w:val="20"/>
          <w:color w:val="auto"/>
        </w:rPr>
      </w:pPr>
      <w:r>
        <w:rPr>
          <w:rFonts w:ascii="Arial" w:cs="Arial" w:eastAsia="Arial" w:hAnsi="Arial"/>
          <w:sz w:val="24"/>
          <w:szCs w:val="24"/>
          <w:b w:val="1"/>
          <w:bCs w:val="1"/>
          <w:color w:val="auto"/>
        </w:rPr>
        <w:t>FORM 10-Q</w:t>
      </w:r>
    </w:p>
    <w:p>
      <w:pPr>
        <w:spacing w:after="0" w:line="7" w:lineRule="exact"/>
        <w:rPr>
          <w:sz w:val="24"/>
          <w:szCs w:val="24"/>
          <w:color w:val="auto"/>
        </w:rPr>
      </w:pPr>
    </w:p>
    <w:p>
      <w:pPr>
        <w:ind w:left="5560"/>
        <w:spacing w:after="0"/>
        <w:rPr>
          <w:sz w:val="20"/>
          <w:szCs w:val="20"/>
          <w:color w:val="auto"/>
        </w:rPr>
      </w:pPr>
      <w:r>
        <w:rPr>
          <w:rFonts w:ascii="Arial" w:cs="Arial" w:eastAsia="Arial" w:hAnsi="Arial"/>
          <w:sz w:val="10"/>
          <w:szCs w:val="10"/>
          <w:u w:val="single" w:color="auto"/>
          <w:color w:val="auto"/>
        </w:rPr>
        <w:t>_____________</w:t>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2040" w:hanging="782"/>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03"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For the quarterly period ended July 31, 2021</w:t>
      </w:r>
    </w:p>
    <w:p>
      <w:pPr>
        <w:spacing w:after="0" w:line="32"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OR</w:t>
      </w:r>
    </w:p>
    <w:p>
      <w:pPr>
        <w:spacing w:after="0" w:line="260" w:lineRule="exact"/>
        <w:rPr>
          <w:sz w:val="24"/>
          <w:szCs w:val="24"/>
          <w:color w:val="auto"/>
        </w:rPr>
      </w:pPr>
    </w:p>
    <w:p>
      <w:pPr>
        <w:ind w:left="2060" w:hanging="802"/>
        <w:spacing w:after="0"/>
        <w:tabs>
          <w:tab w:leader="none" w:pos="20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0" w:lineRule="exact"/>
        <w:rPr>
          <w:sz w:val="24"/>
          <w:szCs w:val="24"/>
          <w:color w:val="auto"/>
        </w:rPr>
      </w:pPr>
    </w:p>
    <w:p>
      <w:pPr>
        <w:ind w:left="408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3843020</wp:posOffset>
            </wp:positionH>
            <wp:positionV relativeFrom="paragraph">
              <wp:posOffset>-4445</wp:posOffset>
            </wp:positionV>
            <wp:extent cx="1099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2"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Commission file number: 001-39561</w:t>
      </w:r>
    </w:p>
    <w:p>
      <w:pPr>
        <w:spacing w:after="0" w:line="2" w:lineRule="exact"/>
        <w:rPr>
          <w:sz w:val="24"/>
          <w:szCs w:val="24"/>
          <w:color w:val="auto"/>
        </w:rPr>
      </w:pPr>
    </w:p>
    <w:p>
      <w:pPr>
        <w:ind w:left="5560"/>
        <w:spacing w:after="0"/>
        <w:rPr>
          <w:sz w:val="20"/>
          <w:szCs w:val="20"/>
          <w:color w:val="auto"/>
        </w:rPr>
      </w:pPr>
      <w:r>
        <w:rPr>
          <w:rFonts w:ascii="Arial" w:cs="Arial" w:eastAsia="Arial" w:hAnsi="Arial"/>
          <w:sz w:val="10"/>
          <w:szCs w:val="10"/>
          <w:u w:val="single" w:color="auto"/>
          <w:color w:val="auto"/>
        </w:rPr>
        <w:t>_____________</w:t>
      </w:r>
    </w:p>
    <w:p>
      <w:pPr>
        <w:spacing w:after="0" w:line="309" w:lineRule="exact"/>
        <w:rPr>
          <w:sz w:val="24"/>
          <w:szCs w:val="24"/>
          <w:color w:val="auto"/>
        </w:rPr>
      </w:pPr>
    </w:p>
    <w:p>
      <w:pPr>
        <w:ind w:left="3560"/>
        <w:spacing w:after="0"/>
        <w:rPr>
          <w:sz w:val="20"/>
          <w:szCs w:val="20"/>
          <w:color w:val="auto"/>
        </w:rPr>
      </w:pPr>
      <w:r>
        <w:rPr>
          <w:rFonts w:ascii="Arial" w:cs="Arial" w:eastAsia="Arial" w:hAnsi="Arial"/>
          <w:sz w:val="34"/>
          <w:szCs w:val="34"/>
          <w:b w:val="1"/>
          <w:bCs w:val="1"/>
          <w:color w:val="232F84"/>
        </w:rPr>
        <w:t>MISSION PRODUCE, INC.</w:t>
      </w:r>
    </w:p>
    <w:p>
      <w:pPr>
        <w:spacing w:after="0" w:line="30"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5560"/>
        <w:spacing w:after="0"/>
        <w:rPr>
          <w:sz w:val="20"/>
          <w:szCs w:val="20"/>
          <w:color w:val="auto"/>
        </w:rPr>
      </w:pPr>
      <w:r>
        <w:rPr>
          <w:rFonts w:ascii="Arial" w:cs="Arial" w:eastAsia="Arial" w:hAnsi="Arial"/>
          <w:sz w:val="10"/>
          <w:szCs w:val="10"/>
          <w:u w:val="single" w:color="auto"/>
          <w:color w:val="auto"/>
        </w:rPr>
        <w:t>_____________</w:t>
      </w:r>
    </w:p>
    <w:p>
      <w:pPr>
        <w:sectPr>
          <w:pgSz w:w="11900" w:h="16838" w:orient="portrait"/>
          <w:cols w:equalWidth="0" w:num="1">
            <w:col w:w="11240"/>
          </w:cols>
          <w:pgMar w:left="320" w:top="974" w:right="339" w:bottom="1440" w:gutter="0" w:footer="0" w:header="0"/>
        </w:sectPr>
      </w:pPr>
    </w:p>
    <w:p>
      <w:pPr>
        <w:spacing w:after="0" w:line="212"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Delaware</w:t>
      </w:r>
    </w:p>
    <w:p>
      <w:pPr>
        <w:spacing w:after="0" w:line="5"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49"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2710 Camino Del Sol</w:t>
      </w:r>
    </w:p>
    <w:p>
      <w:pPr>
        <w:jc w:val="center"/>
        <w:ind w:right="2300"/>
        <w:spacing w:after="0" w:line="237" w:lineRule="auto"/>
        <w:rPr>
          <w:sz w:val="20"/>
          <w:szCs w:val="20"/>
          <w:color w:val="auto"/>
        </w:rPr>
      </w:pPr>
      <w:r>
        <w:rPr>
          <w:rFonts w:ascii="Arial" w:cs="Arial" w:eastAsia="Arial" w:hAnsi="Arial"/>
          <w:sz w:val="14"/>
          <w:szCs w:val="14"/>
          <w:b w:val="1"/>
          <w:bCs w:val="1"/>
          <w:color w:val="auto"/>
        </w:rPr>
        <w:t>Oxnard, California</w:t>
      </w:r>
    </w:p>
    <w:p>
      <w:pPr>
        <w:ind w:left="172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4" w:lineRule="exact"/>
        <w:rPr>
          <w:sz w:val="24"/>
          <w:szCs w:val="24"/>
          <w:color w:val="auto"/>
        </w:rPr>
      </w:pPr>
    </w:p>
    <w:p>
      <w:pPr>
        <w:jc w:val="center"/>
        <w:ind w:left="3680"/>
        <w:spacing w:after="0"/>
        <w:rPr>
          <w:sz w:val="20"/>
          <w:szCs w:val="20"/>
          <w:color w:val="auto"/>
        </w:rPr>
      </w:pPr>
      <w:r>
        <w:rPr>
          <w:rFonts w:ascii="Arial" w:cs="Arial" w:eastAsia="Arial" w:hAnsi="Arial"/>
          <w:sz w:val="13"/>
          <w:szCs w:val="13"/>
          <w:b w:val="1"/>
          <w:bCs w:val="1"/>
          <w:color w:val="auto"/>
        </w:rPr>
        <w:t>Registrant’s Telephone Number, Including Area Code: (805) 981-3650</w:t>
      </w:r>
    </w:p>
    <w:p>
      <w:pPr>
        <w:spacing w:after="0" w:line="14" w:lineRule="exact"/>
        <w:rPr>
          <w:sz w:val="24"/>
          <w:szCs w:val="24"/>
          <w:color w:val="auto"/>
        </w:rPr>
      </w:pPr>
    </w:p>
    <w:p>
      <w:pPr>
        <w:ind w:left="5560"/>
        <w:spacing w:after="0"/>
        <w:rPr>
          <w:sz w:val="20"/>
          <w:szCs w:val="20"/>
          <w:color w:val="auto"/>
        </w:rPr>
      </w:pPr>
      <w:r>
        <w:rPr>
          <w:rFonts w:ascii="Arial" w:cs="Arial" w:eastAsia="Arial" w:hAnsi="Arial"/>
          <w:sz w:val="10"/>
          <w:szCs w:val="10"/>
          <w:u w:val="single" w:color="auto"/>
          <w:color w:val="auto"/>
        </w:rPr>
        <w:t>_____________</w:t>
      </w:r>
    </w:p>
    <w:p>
      <w:pPr>
        <w:spacing w:after="0" w:line="83"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880"/>
        <w:spacing w:after="0"/>
        <w:rPr>
          <w:sz w:val="20"/>
          <w:szCs w:val="20"/>
          <w:color w:val="auto"/>
        </w:rPr>
      </w:pPr>
      <w:r>
        <w:rPr>
          <w:rFonts w:ascii="Arial" w:cs="Arial" w:eastAsia="Arial" w:hAnsi="Arial"/>
          <w:sz w:val="14"/>
          <w:szCs w:val="14"/>
          <w:b w:val="1"/>
          <w:bCs w:val="1"/>
          <w:color w:val="auto"/>
        </w:rPr>
        <w:t>95-3847744</w:t>
      </w:r>
    </w:p>
    <w:p>
      <w:pPr>
        <w:spacing w:after="0" w:line="5"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(I.R.S. Employer</w:t>
      </w:r>
    </w:p>
    <w:p>
      <w:pPr>
        <w:spacing w:after="0" w:line="5" w:lineRule="exact"/>
        <w:rPr>
          <w:sz w:val="24"/>
          <w:szCs w:val="24"/>
          <w:color w:val="auto"/>
        </w:rPr>
      </w:pPr>
    </w:p>
    <w:p>
      <w:pPr>
        <w:jc w:val="center"/>
        <w:ind w:right="1880"/>
        <w:spacing w:after="0"/>
        <w:rPr>
          <w:sz w:val="20"/>
          <w:szCs w:val="20"/>
          <w:color w:val="auto"/>
        </w:rPr>
      </w:pPr>
      <w:r>
        <w:rPr>
          <w:rFonts w:ascii="Arial" w:cs="Arial" w:eastAsia="Arial" w:hAnsi="Arial"/>
          <w:sz w:val="12"/>
          <w:szCs w:val="12"/>
          <w:b w:val="1"/>
          <w:bCs w:val="1"/>
          <w:color w:val="auto"/>
        </w:rPr>
        <w:t>Identification No.)</w:t>
      </w:r>
    </w:p>
    <w:p>
      <w:pPr>
        <w:spacing w:after="0" w:line="161" w:lineRule="exact"/>
        <w:rPr>
          <w:sz w:val="24"/>
          <w:szCs w:val="24"/>
          <w:color w:val="auto"/>
        </w:rPr>
      </w:pPr>
    </w:p>
    <w:p>
      <w:pPr>
        <w:jc w:val="center"/>
        <w:ind w:right="1880"/>
        <w:spacing w:after="0"/>
        <w:rPr>
          <w:sz w:val="20"/>
          <w:szCs w:val="20"/>
          <w:color w:val="auto"/>
        </w:rPr>
      </w:pPr>
      <w:r>
        <w:rPr>
          <w:rFonts w:ascii="Arial" w:cs="Arial" w:eastAsia="Arial" w:hAnsi="Arial"/>
          <w:sz w:val="14"/>
          <w:szCs w:val="14"/>
          <w:b w:val="1"/>
          <w:bCs w:val="1"/>
          <w:color w:val="auto"/>
        </w:rPr>
        <w:t>93030</w:t>
      </w:r>
    </w:p>
    <w:p>
      <w:pPr>
        <w:spacing w:after="0" w:line="5"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(Zip Code)</w:t>
      </w:r>
    </w:p>
    <w:p>
      <w:pPr>
        <w:spacing w:after="0" w:line="1077" w:lineRule="exact"/>
        <w:rPr>
          <w:sz w:val="24"/>
          <w:szCs w:val="24"/>
          <w:color w:val="auto"/>
        </w:rPr>
      </w:pPr>
    </w:p>
    <w:p>
      <w:pPr>
        <w:sectPr>
          <w:pgSz w:w="11900" w:h="16838" w:orient="portrait"/>
          <w:cols w:equalWidth="0" w:num="2">
            <w:col w:w="8180" w:space="100"/>
            <w:col w:w="2960"/>
          </w:cols>
          <w:pgMar w:left="320" w:top="974" w:right="339" w:bottom="1440" w:gutter="0" w:footer="0" w:header="0"/>
          <w:type w:val="continuous"/>
        </w:sectPr>
      </w:pPr>
    </w:p>
    <w:p>
      <w:pPr>
        <w:spacing w:after="0" w:line="116" w:lineRule="exact"/>
        <w:rPr>
          <w:sz w:val="24"/>
          <w:szCs w:val="24"/>
          <w:color w:val="auto"/>
        </w:rPr>
      </w:pPr>
    </w:p>
    <w:tbl>
      <w:tblPr>
        <w:tblLayout w:type="fixed"/>
        <w:tblInd w:w="1160" w:type="dxa"/>
        <w:tblCellMar>
          <w:top w:w="0" w:type="dxa"/>
          <w:left w:w="0" w:type="dxa"/>
          <w:bottom w:w="0" w:type="dxa"/>
          <w:right w:w="0" w:type="dxa"/>
        </w:tblCellMar>
      </w:tblPr>
      <w:tr>
        <w:trPr>
          <w:trHeight w:val="179"/>
        </w:trPr>
        <w:tc>
          <w:tcPr>
            <w:tcW w:w="3700" w:type="dxa"/>
            <w:vAlign w:val="bottom"/>
            <w:tcBorders>
              <w:bottom w:val="single" w:sz="8" w:color="auto"/>
            </w:tcBorders>
          </w:tcPr>
          <w:p>
            <w:pPr>
              <w:jc w:val="center"/>
              <w:ind w:left="531"/>
              <w:spacing w:after="0"/>
              <w:rPr>
                <w:sz w:val="20"/>
                <w:szCs w:val="20"/>
                <w:color w:val="auto"/>
              </w:rPr>
            </w:pPr>
            <w:r>
              <w:rPr>
                <w:rFonts w:ascii="Arial" w:cs="Arial" w:eastAsia="Arial" w:hAnsi="Arial"/>
                <w:sz w:val="14"/>
                <w:szCs w:val="14"/>
                <w:b w:val="1"/>
                <w:bCs w:val="1"/>
                <w:color w:val="auto"/>
                <w:w w:val="97"/>
              </w:rPr>
              <w:t>Title of each class</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b w:val="1"/>
                <w:bCs w:val="1"/>
                <w:color w:val="auto"/>
                <w:w w:val="97"/>
              </w:rPr>
              <w:t>Trading Symbol(s)</w:t>
            </w:r>
          </w:p>
        </w:tc>
        <w:tc>
          <w:tcPr>
            <w:tcW w:w="120" w:type="dxa"/>
            <w:vAlign w:val="bottom"/>
          </w:tcPr>
          <w:p>
            <w:pPr>
              <w:spacing w:after="0"/>
              <w:rPr>
                <w:sz w:val="15"/>
                <w:szCs w:val="15"/>
                <w:color w:val="auto"/>
              </w:rPr>
            </w:pPr>
          </w:p>
        </w:tc>
        <w:tc>
          <w:tcPr>
            <w:tcW w:w="372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5"/>
        </w:trPr>
        <w:tc>
          <w:tcPr>
            <w:tcW w:w="382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w w:val="98"/>
              </w:rPr>
              <w:t>Common Stock, par value $0.001 per share</w:t>
            </w:r>
          </w:p>
        </w:tc>
        <w:tc>
          <w:tcPr>
            <w:tcW w:w="202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w w:val="92"/>
              </w:rPr>
              <w:t>AVO</w:t>
            </w:r>
          </w:p>
        </w:tc>
        <w:tc>
          <w:tcPr>
            <w:tcW w:w="3720" w:type="dxa"/>
            <w:vAlign w:val="bottom"/>
          </w:tcPr>
          <w:p>
            <w:pPr>
              <w:jc w:val="center"/>
              <w:ind w:left="551"/>
              <w:spacing w:after="0"/>
              <w:rPr>
                <w:sz w:val="20"/>
                <w:szCs w:val="20"/>
                <w:color w:val="auto"/>
              </w:rPr>
            </w:pPr>
            <w:r>
              <w:rPr>
                <w:rFonts w:ascii="Arial" w:cs="Arial" w:eastAsia="Arial" w:hAnsi="Arial"/>
                <w:sz w:val="14"/>
                <w:szCs w:val="14"/>
                <w:b w:val="1"/>
                <w:bCs w:val="1"/>
                <w:color w:val="auto"/>
                <w:w w:val="97"/>
              </w:rPr>
              <w:t>NASDAQ Global Select Market</w:t>
            </w:r>
          </w:p>
        </w:tc>
      </w:tr>
    </w:tbl>
    <w:p>
      <w:pPr>
        <w:spacing w:after="0" w:line="200" w:lineRule="exact"/>
        <w:rPr>
          <w:sz w:val="24"/>
          <w:szCs w:val="24"/>
          <w:color w:val="auto"/>
        </w:rPr>
      </w:pPr>
    </w:p>
    <w:p>
      <w:pPr>
        <w:spacing w:after="0" w:line="205" w:lineRule="exact"/>
        <w:rPr>
          <w:sz w:val="24"/>
          <w:szCs w:val="24"/>
          <w:color w:val="auto"/>
        </w:rPr>
      </w:pPr>
    </w:p>
    <w:p>
      <w:pPr>
        <w:ind w:right="40" w:firstLine="421"/>
        <w:spacing w:after="0" w:line="13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1" w:lineRule="exact"/>
        <w:rPr>
          <w:sz w:val="24"/>
          <w:szCs w:val="24"/>
          <w:color w:val="auto"/>
        </w:rPr>
      </w:pPr>
    </w:p>
    <w:p>
      <w:pPr>
        <w:ind w:right="20" w:firstLine="421"/>
        <w:spacing w:after="0" w:line="13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1" w:lineRule="exact"/>
        <w:rPr>
          <w:sz w:val="24"/>
          <w:szCs w:val="24"/>
          <w:color w:val="auto"/>
        </w:rPr>
      </w:pPr>
    </w:p>
    <w:p>
      <w:pPr>
        <w:ind w:right="120" w:firstLine="421"/>
        <w:spacing w:after="0" w:line="22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1260" w:type="dxa"/>
        <w:tblCellMar>
          <w:top w:w="0" w:type="dxa"/>
          <w:left w:w="0" w:type="dxa"/>
          <w:bottom w:w="0" w:type="dxa"/>
          <w:right w:w="0" w:type="dxa"/>
        </w:tblCellMar>
      </w:tblPr>
      <w:tr>
        <w:trPr>
          <w:trHeight w:val="168"/>
        </w:trPr>
        <w:tc>
          <w:tcPr>
            <w:tcW w:w="16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540" w:type="dxa"/>
            <w:vAlign w:val="bottom"/>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tcPr>
          <w:p>
            <w:pPr>
              <w:ind w:left="2600"/>
              <w:spacing w:after="0"/>
              <w:rPr>
                <w:sz w:val="20"/>
                <w:szCs w:val="20"/>
                <w:color w:val="auto"/>
              </w:rPr>
            </w:pPr>
            <w:r>
              <w:rPr>
                <w:rFonts w:ascii="Arial" w:cs="Arial" w:eastAsia="Arial" w:hAnsi="Arial"/>
                <w:sz w:val="12"/>
                <w:szCs w:val="12"/>
                <w:color w:val="auto"/>
              </w:rPr>
              <w:t>Accelerated filer</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2"/>
                <w:szCs w:val="12"/>
                <w:color w:val="auto"/>
              </w:rPr>
              <w:t>Non-accelerated filer</w:t>
            </w:r>
          </w:p>
        </w:tc>
        <w:tc>
          <w:tcPr>
            <w:tcW w:w="2540" w:type="dxa"/>
            <w:vAlign w:val="bottom"/>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tcPr>
          <w:p>
            <w:pPr>
              <w:ind w:left="2600"/>
              <w:spacing w:after="0"/>
              <w:rPr>
                <w:sz w:val="20"/>
                <w:szCs w:val="20"/>
                <w:color w:val="auto"/>
              </w:rPr>
            </w:pPr>
            <w:r>
              <w:rPr>
                <w:rFonts w:ascii="Arial" w:cs="Arial" w:eastAsia="Arial" w:hAnsi="Arial"/>
                <w:sz w:val="12"/>
                <w:szCs w:val="12"/>
                <w:color w:val="auto"/>
              </w:rPr>
              <w:t>Smaller reporting</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5"/>
        </w:trPr>
        <w:tc>
          <w:tcPr>
            <w:tcW w:w="1640" w:type="dxa"/>
            <w:vAlign w:val="bottom"/>
          </w:tcPr>
          <w:p>
            <w:pPr>
              <w:spacing w:after="0"/>
              <w:rPr>
                <w:sz w:val="12"/>
                <w:szCs w:val="12"/>
                <w:color w:val="auto"/>
              </w:rPr>
            </w:pPr>
          </w:p>
        </w:tc>
        <w:tc>
          <w:tcPr>
            <w:tcW w:w="2540" w:type="dxa"/>
            <w:vAlign w:val="bottom"/>
            <w:vMerge w:val="restart"/>
          </w:tcPr>
          <w:p>
            <w:pPr>
              <w:ind w:left="44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tcPr>
          <w:p>
            <w:pPr>
              <w:ind w:left="1980"/>
              <w:spacing w:after="0"/>
              <w:rPr>
                <w:sz w:val="20"/>
                <w:szCs w:val="20"/>
                <w:color w:val="auto"/>
              </w:rPr>
            </w:pPr>
            <w:r>
              <w:rPr>
                <w:rFonts w:ascii="Arial" w:cs="Arial" w:eastAsia="Arial" w:hAnsi="Arial"/>
                <w:sz w:val="12"/>
                <w:szCs w:val="12"/>
                <w:color w:val="auto"/>
              </w:rPr>
              <w:t>company</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Arial" w:cs="Arial" w:eastAsia="Arial" w:hAnsi="Arial"/>
                <w:sz w:val="12"/>
                <w:szCs w:val="12"/>
                <w:color w:val="auto"/>
              </w:rPr>
              <w:t>Emerging growth</w:t>
            </w:r>
          </w:p>
        </w:tc>
        <w:tc>
          <w:tcPr>
            <w:tcW w:w="2540" w:type="dxa"/>
            <w:vAlign w:val="bottom"/>
            <w:vMerge w:val="continue"/>
          </w:tcPr>
          <w:p>
            <w:pPr>
              <w:spacing w:after="0"/>
              <w:rPr>
                <w:sz w:val="12"/>
                <w:szCs w:val="12"/>
                <w:color w:val="auto"/>
              </w:rPr>
            </w:pPr>
          </w:p>
        </w:tc>
        <w:tc>
          <w:tcPr>
            <w:tcW w:w="4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40"/>
        <w:spacing w:after="0"/>
        <w:rPr>
          <w:sz w:val="20"/>
          <w:szCs w:val="20"/>
          <w:color w:val="auto"/>
        </w:rPr>
      </w:pPr>
      <w:r>
        <w:rPr>
          <w:rFonts w:ascii="Arial" w:cs="Arial" w:eastAsia="Arial" w:hAnsi="Arial"/>
          <w:sz w:val="12"/>
          <w:szCs w:val="12"/>
          <w:color w:val="auto"/>
        </w:rPr>
        <w:t>company</w:t>
      </w:r>
    </w:p>
    <w:p>
      <w:pPr>
        <w:spacing w:after="0" w:line="326" w:lineRule="exact"/>
        <w:rPr>
          <w:sz w:val="24"/>
          <w:szCs w:val="24"/>
          <w:color w:val="auto"/>
        </w:rPr>
      </w:pPr>
    </w:p>
    <w:p>
      <w:pPr>
        <w:ind w:firstLine="421"/>
        <w:spacing w:after="0" w:line="13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420" w:right="4520"/>
        <w:spacing w:after="0" w:line="162"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September 6, 2021, the registrant had 70,609,485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717550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386715</wp:posOffset>
            </wp:positionV>
            <wp:extent cx="6805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410845</wp:posOffset>
            </wp:positionV>
            <wp:extent cx="6805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24"/>
          <w:szCs w:val="24"/>
          <w:b w:val="1"/>
          <w:bCs w:val="1"/>
          <w:color w:val="232F84"/>
        </w:rPr>
        <w:t>MISSION PRODUCE, INC.</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232F8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232F84"/>
        </w:rPr>
        <w:t>FORM 10-Q</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232F84"/>
        </w:rPr>
        <w:t>FISCAL THIRD QUARTER 2021</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232F84"/>
        </w:rPr>
        <w:t>INDEX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9"/>
          </w:tcPr>
          <w:p>
            <w:pPr>
              <w:spacing w:after="0"/>
              <w:rPr>
                <w:rFonts w:ascii="Arial" w:cs="Arial" w:eastAsia="Arial" w:hAnsi="Arial"/>
                <w:sz w:val="14"/>
                <w:szCs w:val="14"/>
                <w:color w:val="0000FF"/>
                <w:w w:val="96"/>
              </w:rPr>
            </w:pPr>
            <w:hyperlink w:anchor="page24">
              <w:r>
                <w:rPr>
                  <w:rFonts w:ascii="Arial" w:cs="Arial" w:eastAsia="Arial" w:hAnsi="Arial"/>
                  <w:sz w:val="14"/>
                  <w:szCs w:val="14"/>
                  <w:color w:val="0000FF"/>
                  <w:w w:val="96"/>
                </w:rPr>
                <w:t>PART I- FINANCIAL INFORMATION</w:t>
              </w:r>
            </w:hyperlink>
          </w:p>
        </w:tc>
        <w:tc>
          <w:tcPr>
            <w:tcW w:w="7760" w:type="dxa"/>
            <w:vAlign w:val="bottom"/>
            <w:gridSpan w:val="13"/>
          </w:tcPr>
          <w:p>
            <w:pPr>
              <w:spacing w:after="0"/>
              <w:rPr>
                <w:sz w:val="14"/>
                <w:szCs w:val="14"/>
                <w:color w:val="auto"/>
              </w:rPr>
            </w:pPr>
          </w:p>
        </w:tc>
        <w:tc>
          <w:tcPr>
            <w:tcW w:w="100" w:type="dxa"/>
            <w:vAlign w:val="bottom"/>
            <w:gridSpan w:val="2"/>
          </w:tcPr>
          <w:p>
            <w:pPr>
              <w:jc w:val="right"/>
              <w:ind w:right="20"/>
              <w:spacing w:after="0"/>
              <w:rPr>
                <w:rFonts w:ascii="Arial" w:cs="Arial" w:eastAsia="Arial" w:hAnsi="Arial"/>
                <w:sz w:val="14"/>
                <w:szCs w:val="14"/>
                <w:color w:val="0000FF"/>
                <w:w w:val="76"/>
              </w:rPr>
            </w:pPr>
            <w:hyperlink w:anchor="page4">
              <w:r>
                <w:rPr>
                  <w:rFonts w:ascii="Arial" w:cs="Arial" w:eastAsia="Arial" w:hAnsi="Arial"/>
                  <w:sz w:val="14"/>
                  <w:szCs w:val="14"/>
                  <w:color w:val="0000FF"/>
                  <w:w w:val="76"/>
                </w:rPr>
                <w:t>5</w:t>
              </w:r>
            </w:hyperlink>
          </w:p>
        </w:tc>
      </w:tr>
      <w:tr>
        <w:trPr>
          <w:trHeight w:val="328"/>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0000FF"/>
              </w:rPr>
              <w:t>Item</w:t>
            </w:r>
          </w:p>
        </w:tc>
        <w:tc>
          <w:tcPr>
            <w:tcW w:w="7760" w:type="dxa"/>
            <w:vAlign w:val="bottom"/>
            <w:gridSpan w:val="13"/>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840" w:type="dxa"/>
            <w:vAlign w:val="bottom"/>
            <w:gridSpan w:val="3"/>
          </w:tcPr>
          <w:p>
            <w:pPr>
              <w:ind w:left="640"/>
              <w:spacing w:after="0" w:line="135" w:lineRule="exact"/>
              <w:rPr>
                <w:sz w:val="20"/>
                <w:szCs w:val="20"/>
                <w:color w:val="auto"/>
              </w:rPr>
            </w:pPr>
            <w:r>
              <w:rPr>
                <w:rFonts w:ascii="Arial" w:cs="Arial" w:eastAsia="Arial" w:hAnsi="Arial"/>
                <w:sz w:val="14"/>
                <w:szCs w:val="14"/>
                <w:color w:val="0000FF"/>
              </w:rPr>
              <w:t>1.</w:t>
            </w:r>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sz w:val="20"/>
                <w:szCs w:val="20"/>
                <w:color w:val="auto"/>
              </w:rPr>
            </w:pPr>
            <w:r>
              <w:rPr>
                <w:rFonts w:ascii="Arial" w:cs="Arial" w:eastAsia="Arial" w:hAnsi="Arial"/>
                <w:sz w:val="14"/>
                <w:szCs w:val="14"/>
                <w:color w:val="0000FF"/>
              </w:rPr>
              <w:t>Financial Statements</w:t>
            </w:r>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5">
              <w:r>
                <w:rPr>
                  <w:rFonts w:ascii="Arial" w:cs="Arial" w:eastAsia="Arial" w:hAnsi="Arial"/>
                  <w:sz w:val="14"/>
                  <w:szCs w:val="14"/>
                  <w:color w:val="0000FF"/>
                  <w:w w:val="76"/>
                </w:rPr>
                <w:t>5</w:t>
              </w:r>
            </w:hyperlink>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0" w:type="dxa"/>
            <w:vAlign w:val="bottom"/>
            <w:gridSpan w:val="13"/>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Balance Sheets (Unaudited)</w:t>
              </w:r>
            </w:hyperlink>
          </w:p>
        </w:tc>
        <w:tc>
          <w:tcPr>
            <w:tcW w:w="5340" w:type="dxa"/>
            <w:vAlign w:val="bottom"/>
            <w:gridSpan w:val="7"/>
          </w:tcPr>
          <w:p>
            <w:pPr>
              <w:spacing w:after="0"/>
              <w:rPr>
                <w:sz w:val="16"/>
                <w:szCs w:val="16"/>
                <w:color w:val="auto"/>
              </w:rPr>
            </w:pPr>
          </w:p>
        </w:tc>
        <w:tc>
          <w:tcPr>
            <w:tcW w:w="100" w:type="dxa"/>
            <w:vAlign w:val="bottom"/>
            <w:gridSpan w:val="2"/>
          </w:tcPr>
          <w:p>
            <w:pPr>
              <w:jc w:val="right"/>
              <w:ind w:right="20"/>
              <w:spacing w:after="0"/>
              <w:rPr>
                <w:rFonts w:ascii="Arial" w:cs="Arial" w:eastAsia="Arial" w:hAnsi="Arial"/>
                <w:sz w:val="14"/>
                <w:szCs w:val="14"/>
                <w:color w:val="0000FF"/>
                <w:w w:val="76"/>
              </w:rPr>
            </w:pPr>
            <w:hyperlink w:anchor="page5">
              <w:r>
                <w:rPr>
                  <w:rFonts w:ascii="Arial" w:cs="Arial" w:eastAsia="Arial" w:hAnsi="Arial"/>
                  <w:sz w:val="14"/>
                  <w:szCs w:val="14"/>
                  <w:color w:val="0000FF"/>
                  <w:w w:val="76"/>
                </w:rPr>
                <w:t>5</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40" w:type="dxa"/>
            <w:vAlign w:val="bottom"/>
            <w:gridSpan w:val="20"/>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 xml:space="preserve">Condensed Consolidated Statements of </w:t>
              </w:r>
            </w:hyperlink>
            <w:r>
              <w:rPr>
                <w:rFonts w:ascii="Arial" w:cs="Arial" w:eastAsia="Arial" w:hAnsi="Arial"/>
                <w:sz w:val="14"/>
                <w:szCs w:val="14"/>
                <w:color w:val="3051F2"/>
              </w:rPr>
              <w:t>Comprehensive</w:t>
            </w:r>
            <w:r>
              <w:rPr>
                <w:rFonts w:ascii="Arial" w:cs="Arial" w:eastAsia="Arial" w:hAnsi="Arial"/>
                <w:sz w:val="14"/>
                <w:szCs w:val="14"/>
                <w:color w:val="0000FF"/>
              </w:rPr>
              <w:t xml:space="preserve"> </w:t>
            </w:r>
            <w:r>
              <w:rPr>
                <w:rFonts w:ascii="Arial" w:cs="Arial" w:eastAsia="Arial" w:hAnsi="Arial"/>
                <w:sz w:val="14"/>
                <w:szCs w:val="14"/>
                <w:color w:val="3051F2"/>
              </w:rPr>
              <w:t>Income (Unaudited)</w:t>
            </w:r>
          </w:p>
        </w:tc>
        <w:tc>
          <w:tcPr>
            <w:tcW w:w="100" w:type="dxa"/>
            <w:vAlign w:val="bottom"/>
            <w:gridSpan w:val="2"/>
          </w:tcPr>
          <w:p>
            <w:pPr>
              <w:jc w:val="right"/>
              <w:ind w:right="20"/>
              <w:spacing w:after="0"/>
              <w:rPr>
                <w:rFonts w:ascii="Arial" w:cs="Arial" w:eastAsia="Arial" w:hAnsi="Arial"/>
                <w:sz w:val="14"/>
                <w:szCs w:val="14"/>
                <w:color w:val="0000FF"/>
                <w:w w:val="76"/>
              </w:rPr>
            </w:pPr>
            <w:hyperlink w:anchor="page5">
              <w:r>
                <w:rPr>
                  <w:rFonts w:ascii="Arial" w:cs="Arial" w:eastAsia="Arial" w:hAnsi="Arial"/>
                  <w:sz w:val="14"/>
                  <w:szCs w:val="14"/>
                  <w:color w:val="0000FF"/>
                  <w:w w:val="76"/>
                </w:rPr>
                <w:t>6</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40" w:type="dxa"/>
            <w:vAlign w:val="bottom"/>
            <w:gridSpan w:val="20"/>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Cash Flows (Unaudited)</w:t>
              </w:r>
            </w:hyperlink>
          </w:p>
        </w:tc>
        <w:tc>
          <w:tcPr>
            <w:tcW w:w="100" w:type="dxa"/>
            <w:vAlign w:val="bottom"/>
            <w:gridSpan w:val="2"/>
          </w:tcPr>
          <w:p>
            <w:pPr>
              <w:jc w:val="right"/>
              <w:ind w:right="20"/>
              <w:spacing w:after="0"/>
              <w:rPr>
                <w:rFonts w:ascii="Arial" w:cs="Arial" w:eastAsia="Arial" w:hAnsi="Arial"/>
                <w:sz w:val="14"/>
                <w:szCs w:val="14"/>
                <w:color w:val="0000FF"/>
                <w:w w:val="76"/>
              </w:rPr>
            </w:pPr>
            <w:hyperlink w:anchor="page7">
              <w:r>
                <w:rPr>
                  <w:rFonts w:ascii="Arial" w:cs="Arial" w:eastAsia="Arial" w:hAnsi="Arial"/>
                  <w:sz w:val="14"/>
                  <w:szCs w:val="14"/>
                  <w:color w:val="0000FF"/>
                  <w:w w:val="76"/>
                </w:rPr>
                <w:t>8</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0" w:type="dxa"/>
            <w:vAlign w:val="bottom"/>
            <w:gridSpan w:val="19"/>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Shareholders’ Equity (Unaudited)</w:t>
              </w:r>
            </w:hyperlink>
          </w:p>
        </w:tc>
        <w:tc>
          <w:tcPr>
            <w:tcW w:w="3540" w:type="dxa"/>
            <w:vAlign w:val="bottom"/>
          </w:tcPr>
          <w:p>
            <w:pPr>
              <w:spacing w:after="0"/>
              <w:rPr>
                <w:sz w:val="16"/>
                <w:szCs w:val="16"/>
                <w:color w:val="auto"/>
              </w:rPr>
            </w:pPr>
          </w:p>
        </w:tc>
        <w:tc>
          <w:tcPr>
            <w:tcW w:w="100" w:type="dxa"/>
            <w:vAlign w:val="bottom"/>
            <w:gridSpan w:val="2"/>
          </w:tcPr>
          <w:p>
            <w:pPr>
              <w:jc w:val="right"/>
              <w:ind w:right="20"/>
              <w:spacing w:after="0"/>
              <w:rPr>
                <w:rFonts w:ascii="Arial" w:cs="Arial" w:eastAsia="Arial" w:hAnsi="Arial"/>
                <w:sz w:val="14"/>
                <w:szCs w:val="14"/>
                <w:color w:val="0000FF"/>
                <w:w w:val="76"/>
              </w:rPr>
            </w:pPr>
            <w:hyperlink w:anchor="page6">
              <w:r>
                <w:rPr>
                  <w:rFonts w:ascii="Arial" w:cs="Arial" w:eastAsia="Arial" w:hAnsi="Arial"/>
                  <w:sz w:val="14"/>
                  <w:szCs w:val="14"/>
                  <w:color w:val="0000FF"/>
                  <w:w w:val="76"/>
                </w:rPr>
                <w:t>7</w:t>
              </w:r>
            </w:hyperlink>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0" w:type="dxa"/>
            <w:vAlign w:val="bottom"/>
            <w:gridSpan w:val="19"/>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Notes to Unaudited Condensed Consolidated Financial Statements</w:t>
              </w:r>
            </w:hyperlink>
          </w:p>
        </w:tc>
        <w:tc>
          <w:tcPr>
            <w:tcW w:w="3540" w:type="dxa"/>
            <w:vAlign w:val="bottom"/>
          </w:tcPr>
          <w:p>
            <w:pPr>
              <w:spacing w:after="0"/>
              <w:rPr>
                <w:sz w:val="16"/>
                <w:szCs w:val="16"/>
                <w:color w:val="auto"/>
              </w:rPr>
            </w:pPr>
          </w:p>
        </w:tc>
        <w:tc>
          <w:tcPr>
            <w:tcW w:w="100" w:type="dxa"/>
            <w:vAlign w:val="bottom"/>
            <w:gridSpan w:val="2"/>
          </w:tcPr>
          <w:p>
            <w:pPr>
              <w:jc w:val="right"/>
              <w:ind w:right="20"/>
              <w:spacing w:after="0"/>
              <w:rPr>
                <w:rFonts w:ascii="Arial" w:cs="Arial" w:eastAsia="Arial" w:hAnsi="Arial"/>
                <w:sz w:val="14"/>
                <w:szCs w:val="14"/>
                <w:color w:val="0000FF"/>
                <w:w w:val="76"/>
              </w:rPr>
            </w:pPr>
            <w:hyperlink w:anchor="page9">
              <w:r>
                <w:rPr>
                  <w:rFonts w:ascii="Arial" w:cs="Arial" w:eastAsia="Arial" w:hAnsi="Arial"/>
                  <w:sz w:val="14"/>
                  <w:szCs w:val="14"/>
                  <w:color w:val="0000FF"/>
                  <w:w w:val="76"/>
                </w:rPr>
                <w:t>1</w:t>
              </w:r>
            </w:hyperlink>
          </w:p>
        </w:tc>
      </w:tr>
      <w:tr>
        <w:trPr>
          <w:trHeight w:val="186"/>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16">
              <w:r>
                <w:rPr>
                  <w:rFonts w:ascii="Arial" w:cs="Arial" w:eastAsia="Arial" w:hAnsi="Arial"/>
                  <w:sz w:val="14"/>
                  <w:szCs w:val="14"/>
                  <w:color w:val="0000FF"/>
                </w:rPr>
                <w:t>Item</w:t>
              </w:r>
            </w:hyperlink>
          </w:p>
        </w:tc>
        <w:tc>
          <w:tcPr>
            <w:tcW w:w="4080" w:type="dxa"/>
            <w:vAlign w:val="bottom"/>
            <w:tcBorders>
              <w:top w:val="single" w:sz="8" w:color="0000FF"/>
            </w:tcBorders>
            <w:gridSpan w:val="16"/>
          </w:tcPr>
          <w:p>
            <w:pPr>
              <w:spacing w:after="0"/>
              <w:rPr>
                <w:sz w:val="16"/>
                <w:szCs w:val="16"/>
                <w:color w:val="auto"/>
              </w:rPr>
            </w:pPr>
          </w:p>
        </w:tc>
        <w:tc>
          <w:tcPr>
            <w:tcW w:w="4860" w:type="dxa"/>
            <w:vAlign w:val="bottom"/>
            <w:gridSpan w:val="4"/>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16">
              <w:r>
                <w:rPr>
                  <w:rFonts w:ascii="Arial" w:cs="Arial" w:eastAsia="Arial" w:hAnsi="Arial"/>
                  <w:sz w:val="14"/>
                  <w:szCs w:val="14"/>
                  <w:color w:val="0000FF"/>
                </w:rPr>
                <w:t>2.</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16">
              <w:r>
                <w:rPr>
                  <w:rFonts w:ascii="Arial" w:cs="Arial" w:eastAsia="Arial" w:hAnsi="Arial"/>
                  <w:sz w:val="14"/>
                  <w:szCs w:val="14"/>
                  <w:color w:val="0000FF"/>
                </w:rPr>
                <w:t>Management's Discussion and Analysis of Financial Condition and Results of Operations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16">
              <w:r>
                <w:rPr>
                  <w:rFonts w:ascii="Arial" w:cs="Arial" w:eastAsia="Arial" w:hAnsi="Arial"/>
                  <w:sz w:val="14"/>
                  <w:szCs w:val="14"/>
                  <w:color w:val="0000FF"/>
                  <w:w w:val="76"/>
                </w:rPr>
                <w:t>1</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0000FF"/>
              </w:rPr>
              <w:t>Item</w:t>
            </w:r>
          </w:p>
        </w:tc>
        <w:tc>
          <w:tcPr>
            <w:tcW w:w="5400" w:type="dxa"/>
            <w:vAlign w:val="bottom"/>
            <w:tcBorders>
              <w:top w:val="single" w:sz="8" w:color="0000FF"/>
            </w:tcBorders>
            <w:gridSpan w:val="19"/>
          </w:tcPr>
          <w:p>
            <w:pPr>
              <w:spacing w:after="0"/>
              <w:rPr>
                <w:sz w:val="16"/>
                <w:szCs w:val="16"/>
                <w:color w:val="auto"/>
              </w:rPr>
            </w:pPr>
          </w:p>
        </w:tc>
        <w:tc>
          <w:tcPr>
            <w:tcW w:w="354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sz w:val="20"/>
                <w:szCs w:val="20"/>
                <w:color w:val="auto"/>
              </w:rPr>
            </w:pPr>
            <w:r>
              <w:rPr>
                <w:rFonts w:ascii="Arial" w:cs="Arial" w:eastAsia="Arial" w:hAnsi="Arial"/>
                <w:sz w:val="14"/>
                <w:szCs w:val="14"/>
                <w:color w:val="0000FF"/>
              </w:rPr>
              <w:t>3.</w:t>
            </w:r>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sz w:val="20"/>
                <w:szCs w:val="20"/>
                <w:color w:val="auto"/>
              </w:rPr>
            </w:pPr>
            <w:r>
              <w:rPr>
                <w:rFonts w:ascii="Arial" w:cs="Arial" w:eastAsia="Arial" w:hAnsi="Arial"/>
                <w:sz w:val="14"/>
                <w:szCs w:val="14"/>
                <w:color w:val="0000FF"/>
              </w:rPr>
              <w:t>Quantitative and Qualitative Disclosures About Market Risk</w:t>
            </w:r>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4">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0000FF"/>
              </w:rPr>
              <w:t>Item</w:t>
            </w:r>
          </w:p>
        </w:tc>
        <w:tc>
          <w:tcPr>
            <w:tcW w:w="3600" w:type="dxa"/>
            <w:vAlign w:val="bottom"/>
            <w:tcBorders>
              <w:top w:val="single" w:sz="8" w:color="0000FF"/>
            </w:tcBorders>
            <w:gridSpan w:val="13"/>
          </w:tcPr>
          <w:p>
            <w:pPr>
              <w:spacing w:after="0"/>
              <w:rPr>
                <w:sz w:val="16"/>
                <w:szCs w:val="16"/>
                <w:color w:val="auto"/>
              </w:rPr>
            </w:pPr>
          </w:p>
        </w:tc>
        <w:tc>
          <w:tcPr>
            <w:tcW w:w="5340" w:type="dxa"/>
            <w:vAlign w:val="bottom"/>
            <w:gridSpan w:val="7"/>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sz w:val="20"/>
                <w:szCs w:val="20"/>
                <w:color w:val="auto"/>
              </w:rPr>
            </w:pPr>
            <w:r>
              <w:rPr>
                <w:rFonts w:ascii="Arial" w:cs="Arial" w:eastAsia="Arial" w:hAnsi="Arial"/>
                <w:sz w:val="14"/>
                <w:szCs w:val="14"/>
                <w:color w:val="0000FF"/>
              </w:rPr>
              <w:t>4.</w:t>
            </w:r>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sz w:val="20"/>
                <w:szCs w:val="20"/>
                <w:color w:val="auto"/>
              </w:rPr>
            </w:pPr>
            <w:r>
              <w:rPr>
                <w:rFonts w:ascii="Arial" w:cs="Arial" w:eastAsia="Arial" w:hAnsi="Arial"/>
                <w:sz w:val="14"/>
                <w:szCs w:val="14"/>
                <w:color w:val="0000FF"/>
              </w:rPr>
              <w:t>Controls and Procedures</w:t>
            </w:r>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4">
              <w:r>
                <w:rPr>
                  <w:rFonts w:ascii="Arial" w:cs="Arial" w:eastAsia="Arial" w:hAnsi="Arial"/>
                  <w:sz w:val="14"/>
                  <w:szCs w:val="14"/>
                  <w:color w:val="0000FF"/>
                  <w:w w:val="76"/>
                </w:rPr>
                <w:t>2</w:t>
              </w:r>
            </w:hyperlink>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r>
      <w:tr>
        <w:trPr>
          <w:trHeight w:val="444"/>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PART II- OTHER INFORMATION</w:t>
              </w:r>
            </w:hyperlink>
          </w:p>
        </w:tc>
        <w:tc>
          <w:tcPr>
            <w:tcW w:w="100" w:type="dxa"/>
            <w:vAlign w:val="bottom"/>
            <w:gridSpan w:val="2"/>
          </w:tcPr>
          <w:p>
            <w:pPr>
              <w:jc w:val="right"/>
              <w:ind w:right="20"/>
              <w:spacing w:after="0"/>
              <w:rPr>
                <w:rFonts w:ascii="Arial" w:cs="Arial" w:eastAsia="Arial" w:hAnsi="Arial"/>
                <w:sz w:val="14"/>
                <w:szCs w:val="14"/>
                <w:color w:val="0000FF"/>
                <w:w w:val="76"/>
              </w:rPr>
            </w:pPr>
            <w:hyperlink w:anchor="page24">
              <w:r>
                <w:rPr>
                  <w:rFonts w:ascii="Arial" w:cs="Arial" w:eastAsia="Arial" w:hAnsi="Arial"/>
                  <w:sz w:val="14"/>
                  <w:szCs w:val="14"/>
                  <w:color w:val="0000FF"/>
                  <w:w w:val="76"/>
                </w:rPr>
                <w:t>2</w:t>
              </w:r>
            </w:hyperlink>
          </w:p>
        </w:tc>
      </w:tr>
      <w:tr>
        <w:trPr>
          <w:trHeight w:val="328"/>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Borders>
              <w:top w:val="single" w:sz="8" w:color="0000FF"/>
            </w:tcBorders>
            <w:gridSpan w:val="6"/>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7960" w:type="dxa"/>
            <w:vAlign w:val="bottom"/>
            <w:gridSpan w:val="1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1.</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Legal Proceedings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1140" w:type="dxa"/>
            <w:vAlign w:val="bottom"/>
            <w:tcBorders>
              <w:top w:val="single" w:sz="8" w:color="0000FF"/>
            </w:tcBorders>
            <w:gridSpan w:val="6"/>
          </w:tcPr>
          <w:p>
            <w:pPr>
              <w:spacing w:after="0"/>
              <w:rPr>
                <w:sz w:val="16"/>
                <w:szCs w:val="16"/>
                <w:color w:val="auto"/>
              </w:rPr>
            </w:pPr>
          </w:p>
        </w:tc>
        <w:tc>
          <w:tcPr>
            <w:tcW w:w="7800" w:type="dxa"/>
            <w:vAlign w:val="bottom"/>
            <w:gridSpan w:val="14"/>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1260" w:type="dxa"/>
            <w:vAlign w:val="bottom"/>
            <w:gridSpan w:val="4"/>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1A.</w:t>
              </w:r>
            </w:hyperlink>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Risk Factors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760" w:type="dxa"/>
            <w:vAlign w:val="bottom"/>
            <w:tcBorders>
              <w:top w:val="single" w:sz="8" w:color="0000FF"/>
            </w:tcBorders>
            <w:gridSpan w:val="3"/>
          </w:tcPr>
          <w:p>
            <w:pPr>
              <w:spacing w:after="0"/>
              <w:rPr>
                <w:sz w:val="16"/>
                <w:szCs w:val="16"/>
                <w:color w:val="auto"/>
              </w:rPr>
            </w:pPr>
          </w:p>
        </w:tc>
        <w:tc>
          <w:tcPr>
            <w:tcW w:w="8180" w:type="dxa"/>
            <w:vAlign w:val="bottom"/>
            <w:gridSpan w:val="17"/>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2.</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Unregistered Sales of Equity Securities and Use of Proceeds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3700" w:type="dxa"/>
            <w:vAlign w:val="bottom"/>
            <w:tcBorders>
              <w:top w:val="single" w:sz="8" w:color="0000FF"/>
            </w:tcBorders>
            <w:gridSpan w:val="14"/>
          </w:tcPr>
          <w:p>
            <w:pPr>
              <w:spacing w:after="0"/>
              <w:rPr>
                <w:sz w:val="16"/>
                <w:szCs w:val="16"/>
                <w:color w:val="auto"/>
              </w:rPr>
            </w:pPr>
          </w:p>
        </w:tc>
        <w:tc>
          <w:tcPr>
            <w:tcW w:w="5240" w:type="dxa"/>
            <w:vAlign w:val="bottom"/>
            <w:gridSpan w:val="6"/>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3.</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Defaults Upon Senior Securities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1940" w:type="dxa"/>
            <w:vAlign w:val="bottom"/>
            <w:tcBorders>
              <w:top w:val="single" w:sz="8" w:color="0000FF"/>
            </w:tcBorders>
            <w:gridSpan w:val="10"/>
          </w:tcPr>
          <w:p>
            <w:pPr>
              <w:spacing w:after="0"/>
              <w:rPr>
                <w:sz w:val="16"/>
                <w:szCs w:val="16"/>
                <w:color w:val="auto"/>
              </w:rPr>
            </w:pPr>
          </w:p>
        </w:tc>
        <w:tc>
          <w:tcPr>
            <w:tcW w:w="7000" w:type="dxa"/>
            <w:vAlign w:val="bottom"/>
            <w:gridSpan w:val="10"/>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4.</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Mine Safety Disclosures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1520" w:type="dxa"/>
            <w:vAlign w:val="bottom"/>
            <w:tcBorders>
              <w:top w:val="single" w:sz="8" w:color="0000FF"/>
            </w:tcBorders>
            <w:gridSpan w:val="9"/>
          </w:tcPr>
          <w:p>
            <w:pPr>
              <w:spacing w:after="0"/>
              <w:rPr>
                <w:sz w:val="16"/>
                <w:szCs w:val="16"/>
                <w:color w:val="auto"/>
              </w:rPr>
            </w:pPr>
          </w:p>
        </w:tc>
        <w:tc>
          <w:tcPr>
            <w:tcW w:w="7420" w:type="dxa"/>
            <w:vAlign w:val="bottom"/>
            <w:gridSpan w:val="11"/>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5.</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Other Information</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186"/>
        </w:trPr>
        <w:tc>
          <w:tcPr>
            <w:tcW w:w="6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w:t>
              </w:r>
            </w:hyperlink>
          </w:p>
        </w:tc>
        <w:tc>
          <w:tcPr>
            <w:tcW w:w="1080" w:type="dxa"/>
            <w:vAlign w:val="bottom"/>
            <w:tcBorders>
              <w:top w:val="single" w:sz="8" w:color="0000FF"/>
            </w:tcBorders>
            <w:gridSpan w:val="5"/>
          </w:tcPr>
          <w:p>
            <w:pPr>
              <w:spacing w:after="0"/>
              <w:rPr>
                <w:sz w:val="16"/>
                <w:szCs w:val="16"/>
                <w:color w:val="auto"/>
              </w:rPr>
            </w:pPr>
          </w:p>
        </w:tc>
        <w:tc>
          <w:tcPr>
            <w:tcW w:w="7860" w:type="dxa"/>
            <w:vAlign w:val="bottom"/>
            <w:gridSpan w:val="15"/>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r>
      <w:tr>
        <w:trPr>
          <w:trHeight w:val="135"/>
        </w:trPr>
        <w:tc>
          <w:tcPr>
            <w:tcW w:w="840" w:type="dxa"/>
            <w:vAlign w:val="bottom"/>
            <w:gridSpan w:val="3"/>
          </w:tcPr>
          <w:p>
            <w:pPr>
              <w:ind w:left="640"/>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6.</w:t>
              </w:r>
            </w:hyperlink>
          </w:p>
        </w:tc>
        <w:tc>
          <w:tcPr>
            <w:tcW w:w="4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8940" w:type="dxa"/>
            <w:vAlign w:val="bottom"/>
            <w:gridSpan w:val="20"/>
          </w:tcPr>
          <w:p>
            <w:pPr>
              <w:spacing w:after="0" w:line="135" w:lineRule="exact"/>
              <w:rPr>
                <w:rFonts w:ascii="Arial" w:cs="Arial" w:eastAsia="Arial" w:hAnsi="Arial"/>
                <w:sz w:val="14"/>
                <w:szCs w:val="14"/>
                <w:color w:val="0000FF"/>
              </w:rPr>
            </w:pPr>
            <w:hyperlink w:anchor="page25">
              <w:r>
                <w:rPr>
                  <w:rFonts w:ascii="Arial" w:cs="Arial" w:eastAsia="Arial" w:hAnsi="Arial"/>
                  <w:sz w:val="14"/>
                  <w:szCs w:val="14"/>
                  <w:color w:val="0000FF"/>
                </w:rPr>
                <w:t>Exhibits</w:t>
              </w:r>
            </w:hyperlink>
          </w:p>
        </w:tc>
        <w:tc>
          <w:tcPr>
            <w:tcW w:w="100" w:type="dxa"/>
            <w:vAlign w:val="bottom"/>
            <w:gridSpan w:val="2"/>
          </w:tcPr>
          <w:p>
            <w:pPr>
              <w:jc w:val="right"/>
              <w:ind w:right="20"/>
              <w:spacing w:after="0" w:line="135" w:lineRule="exact"/>
              <w:rPr>
                <w:rFonts w:ascii="Arial" w:cs="Arial" w:eastAsia="Arial" w:hAnsi="Arial"/>
                <w:sz w:val="14"/>
                <w:szCs w:val="14"/>
                <w:color w:val="0000FF"/>
                <w:w w:val="76"/>
              </w:rPr>
            </w:pPr>
            <w:hyperlink w:anchor="page25">
              <w:r>
                <w:rPr>
                  <w:rFonts w:ascii="Arial" w:cs="Arial" w:eastAsia="Arial" w:hAnsi="Arial"/>
                  <w:sz w:val="14"/>
                  <w:szCs w:val="14"/>
                  <w:color w:val="0000FF"/>
                  <w:w w:val="76"/>
                </w:rPr>
                <w:t>2</w:t>
              </w:r>
            </w:hyperlink>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gridSpan w:val="18"/>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r>
      <w:tr>
        <w:trPr>
          <w:trHeight w:val="393"/>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40" w:type="dxa"/>
            <w:vAlign w:val="bottom"/>
            <w:gridSpan w:val="20"/>
          </w:tcPr>
          <w:p>
            <w:pPr>
              <w:spacing w:after="0"/>
              <w:rPr>
                <w:rFonts w:ascii="Arial" w:cs="Arial" w:eastAsia="Arial" w:hAnsi="Arial"/>
                <w:sz w:val="14"/>
                <w:szCs w:val="14"/>
                <w:color w:val="0000FF"/>
              </w:rPr>
            </w:pPr>
            <w:hyperlink w:anchor="page26">
              <w:r>
                <w:rPr>
                  <w:rFonts w:ascii="Arial" w:cs="Arial" w:eastAsia="Arial" w:hAnsi="Arial"/>
                  <w:sz w:val="14"/>
                  <w:szCs w:val="14"/>
                  <w:color w:val="0000FF"/>
                </w:rPr>
                <w:t>Signatures</w:t>
              </w:r>
            </w:hyperlink>
          </w:p>
        </w:tc>
        <w:tc>
          <w:tcPr>
            <w:tcW w:w="100" w:type="dxa"/>
            <w:vAlign w:val="bottom"/>
            <w:gridSpan w:val="2"/>
          </w:tcPr>
          <w:p>
            <w:pPr>
              <w:jc w:val="right"/>
              <w:ind w:right="20"/>
              <w:spacing w:after="0"/>
              <w:rPr>
                <w:rFonts w:ascii="Arial" w:cs="Arial" w:eastAsia="Arial" w:hAnsi="Arial"/>
                <w:sz w:val="14"/>
                <w:szCs w:val="14"/>
                <w:color w:val="0000FF"/>
                <w:w w:val="76"/>
              </w:rPr>
            </w:pPr>
            <w:hyperlink w:anchor="page26">
              <w:r>
                <w:rPr>
                  <w:rFonts w:ascii="Arial" w:cs="Arial" w:eastAsia="Arial" w:hAnsi="Arial"/>
                  <w:sz w:val="14"/>
                  <w:szCs w:val="14"/>
                  <w:color w:val="0000FF"/>
                  <w:w w:val="76"/>
                </w:rPr>
                <w:t>2</w:t>
              </w:r>
            </w:hyperlink>
          </w:p>
        </w:tc>
      </w:tr>
      <w:tr>
        <w:trPr>
          <w:trHeight w:val="837"/>
        </w:trPr>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232F84"/>
        </w:rPr>
        <w:t>FORWARD LOOKING STATEMENTS</w:t>
      </w:r>
    </w:p>
    <w:p>
      <w:pPr>
        <w:spacing w:after="0" w:line="236" w:lineRule="exact"/>
        <w:rPr>
          <w:sz w:val="20"/>
          <w:szCs w:val="20"/>
          <w:color w:val="auto"/>
        </w:rPr>
      </w:pPr>
    </w:p>
    <w:p>
      <w:pPr>
        <w:ind w:right="180" w:firstLine="619"/>
        <w:spacing w:after="0" w:line="254" w:lineRule="auto"/>
        <w:rPr>
          <w:sz w:val="20"/>
          <w:szCs w:val="20"/>
          <w:color w:val="auto"/>
        </w:rPr>
      </w:pPr>
      <w:r>
        <w:rPr>
          <w:rFonts w:ascii="Arial" w:cs="Arial" w:eastAsia="Arial" w:hAnsi="Arial"/>
          <w:sz w:val="15"/>
          <w:szCs w:val="15"/>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372" w:lineRule="exact"/>
        <w:rPr>
          <w:sz w:val="20"/>
          <w:szCs w:val="20"/>
          <w:color w:val="auto"/>
        </w:rPr>
      </w:pPr>
    </w:p>
    <w:p>
      <w:pPr>
        <w:ind w:left="1240" w:right="20" w:hanging="309"/>
        <w:spacing w:after="0" w:line="253" w:lineRule="auto"/>
        <w:tabs>
          <w:tab w:leader="none" w:pos="1217"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related to our business, including: limitations regarding the supply of avocados, either through purchasing or growing; the loss of one or more of our largest customers or a reduction in the level of purchases by customers; doing business internationally, including Mexican and Peruvian economic, political and/or societal conditions; fluctuations in market prices of avocados; increasing competition; inherent farming risks; variations in operating results due to the seasonality of the business; general economic conditions; the effects of the COVID-19 pandemic; increases in costs of commodities or other products used in our business; food safety events and recalls of our products; changes to USDA and FDA regulations, U.S. trade policy, and/or tariff and import/export regulations; restrictions due to health and safety laws; significant costs associated with compliance with environmental laws and regulations; acquisitions of other businesses; the ability of our infrastructure to handle our business needs; supply chain optimization failures or disruptions; disruption to the supply of reliable and cost-effective transportation; loss of key personnel and an adequate labor supply; information system security risks, data protection breaches and systems integration issues; changes in privacy and/or information security laws, policies and/or contractual arrangements; failure to maintain or protect our brand; and changes in tax rates or international tax legislation.</w:t>
      </w:r>
    </w:p>
    <w:p>
      <w:pPr>
        <w:spacing w:after="0" w:line="373" w:lineRule="exact"/>
        <w:rPr>
          <w:rFonts w:ascii="Arial" w:cs="Arial" w:eastAsia="Arial" w:hAnsi="Arial"/>
          <w:sz w:val="15"/>
          <w:szCs w:val="15"/>
          <w:color w:val="auto"/>
        </w:rPr>
      </w:pPr>
    </w:p>
    <w:p>
      <w:pPr>
        <w:ind w:left="1240" w:right="100" w:hanging="309"/>
        <w:spacing w:after="0" w:line="254" w:lineRule="auto"/>
        <w:tabs>
          <w:tab w:leader="none" w:pos="1217"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related to our common stock, including: the viability of an active, liquid, and orderly market for our common stock; volatility in the trading price of our common stock; failure to meet continued Nasdaq listing requirements; concentration of control in our executive officers, directors and principal stockholders over matters submitted to stockholders for approval; limited sources of capital appreciation; the sale into the market of restricted shares; reduced disclosure requirements due to our emerging growth company status;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91" w:lineRule="exact"/>
        <w:rPr>
          <w:rFonts w:ascii="Arial" w:cs="Arial" w:eastAsia="Arial" w:hAnsi="Arial"/>
          <w:sz w:val="15"/>
          <w:szCs w:val="15"/>
          <w:color w:val="auto"/>
        </w:rPr>
      </w:pPr>
    </w:p>
    <w:p>
      <w:pPr>
        <w:ind w:left="1240" w:right="160" w:hanging="309"/>
        <w:spacing w:after="0" w:line="269" w:lineRule="auto"/>
        <w:tabs>
          <w:tab w:leader="none" w:pos="1217"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risks and factors listed under “Item 1A. Risk Factors” in our most recent Annual Report on Form 10-K for the year ended October 31, 2020 and elsewhere in this report.</w:t>
      </w:r>
    </w:p>
    <w:p>
      <w:pPr>
        <w:spacing w:after="0" w:line="181" w:lineRule="exact"/>
        <w:rPr>
          <w:sz w:val="20"/>
          <w:szCs w:val="20"/>
          <w:color w:val="auto"/>
        </w:rPr>
      </w:pPr>
    </w:p>
    <w:p>
      <w:pPr>
        <w:ind w:firstLine="619"/>
        <w:spacing w:after="0" w:line="253" w:lineRule="auto"/>
        <w:rPr>
          <w:sz w:val="20"/>
          <w:szCs w:val="20"/>
          <w:color w:val="auto"/>
        </w:rPr>
      </w:pPr>
      <w:r>
        <w:rPr>
          <w:rFonts w:ascii="Arial" w:cs="Arial" w:eastAsia="Arial" w:hAnsi="Arial"/>
          <w:sz w:val="15"/>
          <w:szCs w:val="15"/>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2020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6" w:lineRule="exact"/>
        <w:rPr>
          <w:sz w:val="20"/>
          <w:szCs w:val="20"/>
          <w:color w:val="auto"/>
        </w:rPr>
      </w:pPr>
    </w:p>
    <w:p>
      <w:pPr>
        <w:jc w:val="both"/>
        <w:ind w:right="120" w:firstLine="619"/>
        <w:spacing w:after="0" w:line="25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9" w:lineRule="exact"/>
        <w:rPr>
          <w:sz w:val="20"/>
          <w:szCs w:val="20"/>
          <w:color w:val="auto"/>
        </w:rPr>
      </w:pPr>
    </w:p>
    <w:p>
      <w:pPr>
        <w:jc w:val="both"/>
        <w:ind w:right="120" w:firstLine="619"/>
        <w:spacing w:after="0" w:line="260" w:lineRule="auto"/>
        <w:rPr>
          <w:sz w:val="20"/>
          <w:szCs w:val="20"/>
          <w:color w:val="auto"/>
        </w:rPr>
      </w:pPr>
      <w:r>
        <w:rPr>
          <w:rFonts w:ascii="Arial" w:cs="Arial" w:eastAsia="Arial" w:hAnsi="Arial"/>
          <w:sz w:val="15"/>
          <w:szCs w:val="15"/>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87" w:lineRule="exact"/>
        <w:rPr>
          <w:sz w:val="20"/>
          <w:szCs w:val="20"/>
          <w:color w:val="auto"/>
        </w:rPr>
      </w:pPr>
    </w:p>
    <w:p>
      <w:pPr>
        <w:ind w:right="60" w:firstLine="619"/>
        <w:spacing w:after="0" w:line="267" w:lineRule="auto"/>
        <w:rPr>
          <w:sz w:val="20"/>
          <w:szCs w:val="20"/>
          <w:color w:val="auto"/>
        </w:rPr>
      </w:pPr>
      <w:r>
        <w:rPr>
          <w:rFonts w:ascii="Arial" w:cs="Arial" w:eastAsia="Arial" w:hAnsi="Arial"/>
          <w:sz w:val="15"/>
          <w:szCs w:val="15"/>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364" w:lineRule="exact"/>
        <w:rPr>
          <w:sz w:val="20"/>
          <w:szCs w:val="20"/>
          <w:color w:val="auto"/>
        </w:rPr>
      </w:pPr>
    </w:p>
    <w:p>
      <w:pPr>
        <w:ind w:right="40" w:firstLine="619"/>
        <w:spacing w:after="0" w:line="257" w:lineRule="auto"/>
        <w:rPr>
          <w:sz w:val="20"/>
          <w:szCs w:val="20"/>
          <w:color w:val="auto"/>
        </w:rPr>
      </w:pPr>
      <w:r>
        <w:rPr>
          <w:rFonts w:ascii="Arial" w:cs="Arial" w:eastAsia="Arial" w:hAnsi="Arial"/>
          <w:sz w:val="15"/>
          <w:szCs w:val="15"/>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2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 w:name="page4"/>
    <w:bookmarkEnd w:id="3"/>
    <w:p>
      <w:pPr>
        <w:ind w:firstLine="619"/>
        <w:spacing w:after="0" w:line="260" w:lineRule="auto"/>
        <w:rPr>
          <w:sz w:val="20"/>
          <w:szCs w:val="20"/>
          <w:color w:val="auto"/>
        </w:rPr>
      </w:pPr>
      <w:r>
        <w:rPr>
          <w:rFonts w:ascii="Arial" w:cs="Arial" w:eastAsia="Arial" w:hAnsi="Arial"/>
          <w:sz w:val="15"/>
          <w:szCs w:val="15"/>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20"/>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tcPr>
          <w:p>
            <w:pPr>
              <w:jc w:val="center"/>
              <w:ind w:left="2368"/>
              <w:spacing w:after="0"/>
              <w:rPr>
                <w:sz w:val="20"/>
                <w:szCs w:val="20"/>
                <w:color w:val="auto"/>
              </w:rPr>
            </w:pPr>
            <w:r>
              <w:rPr>
                <w:rFonts w:ascii="Arial" w:cs="Arial" w:eastAsia="Arial" w:hAnsi="Arial"/>
                <w:sz w:val="24"/>
                <w:szCs w:val="24"/>
                <w:b w:val="1"/>
                <w:bCs w:val="1"/>
                <w:color w:val="232F84"/>
                <w:w w:val="99"/>
              </w:rPr>
              <w:t>PART I- FINANCIAL INFORMATION</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0"/>
        </w:trPr>
        <w:tc>
          <w:tcPr>
            <w:tcW w:w="900" w:type="dxa"/>
            <w:vAlign w:val="bottom"/>
            <w:gridSpan w:val="2"/>
          </w:tcPr>
          <w:p>
            <w:pPr>
              <w:spacing w:after="0"/>
              <w:rPr>
                <w:sz w:val="20"/>
                <w:szCs w:val="20"/>
                <w:color w:val="auto"/>
              </w:rPr>
            </w:pPr>
            <w:r>
              <w:rPr>
                <w:rFonts w:ascii="Arial" w:cs="Arial" w:eastAsia="Arial" w:hAnsi="Arial"/>
                <w:sz w:val="24"/>
                <w:szCs w:val="24"/>
                <w:b w:val="1"/>
                <w:bCs w:val="1"/>
                <w:color w:val="232F84"/>
              </w:rPr>
              <w:t>Item 1.</w:t>
            </w:r>
          </w:p>
        </w:tc>
        <w:tc>
          <w:tcPr>
            <w:tcW w:w="7000" w:type="dxa"/>
            <w:vAlign w:val="bottom"/>
          </w:tcPr>
          <w:p>
            <w:pPr>
              <w:ind w:left="460"/>
              <w:spacing w:after="0"/>
              <w:rPr>
                <w:sz w:val="20"/>
                <w:szCs w:val="20"/>
                <w:color w:val="auto"/>
              </w:rPr>
            </w:pPr>
            <w:r>
              <w:rPr>
                <w:rFonts w:ascii="Arial" w:cs="Arial" w:eastAsia="Arial" w:hAnsi="Arial"/>
                <w:sz w:val="24"/>
                <w:szCs w:val="24"/>
                <w:b w:val="1"/>
                <w:bCs w:val="1"/>
                <w:color w:val="232F84"/>
              </w:rPr>
              <w:t>Financial Statements</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2"/>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0" w:type="dxa"/>
            <w:vAlign w:val="bottom"/>
          </w:tcPr>
          <w:p>
            <w:pPr>
              <w:jc w:val="center"/>
              <w:ind w:left="2368"/>
              <w:spacing w:after="0"/>
              <w:rPr>
                <w:sz w:val="20"/>
                <w:szCs w:val="20"/>
                <w:color w:val="auto"/>
              </w:rPr>
            </w:pPr>
            <w:r>
              <w:rPr>
                <w:rFonts w:ascii="Arial" w:cs="Arial" w:eastAsia="Arial" w:hAnsi="Arial"/>
                <w:sz w:val="19"/>
                <w:szCs w:val="19"/>
                <w:b w:val="1"/>
                <w:bCs w:val="1"/>
                <w:color w:val="232F84"/>
                <w:w w:val="99"/>
              </w:rPr>
              <w:t>MISSION PRODUCE, INC.</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1"/>
        </w:trPr>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760" w:type="dxa"/>
            <w:vAlign w:val="bottom"/>
            <w:gridSpan w:val="2"/>
          </w:tcPr>
          <w:p>
            <w:pPr>
              <w:jc w:val="center"/>
              <w:ind w:left="1608"/>
              <w:spacing w:after="0"/>
              <w:rPr>
                <w:sz w:val="20"/>
                <w:szCs w:val="20"/>
                <w:color w:val="auto"/>
              </w:rPr>
            </w:pPr>
            <w:r>
              <w:rPr>
                <w:rFonts w:ascii="Arial" w:cs="Arial" w:eastAsia="Arial" w:hAnsi="Arial"/>
                <w:sz w:val="19"/>
                <w:szCs w:val="19"/>
                <w:b w:val="1"/>
                <w:bCs w:val="1"/>
                <w:color w:val="232F84"/>
                <w:w w:val="99"/>
              </w:rPr>
              <w:t>CONDENSED CONSOLIDATED BALANCE SHEETS (UNAUDITED)</w:t>
            </w: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73"/>
        </w:trPr>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06"/>
        </w:trPr>
        <w:tc>
          <w:tcPr>
            <w:tcW w:w="620" w:type="dxa"/>
            <w:vAlign w:val="bottom"/>
          </w:tcPr>
          <w:p>
            <w:pPr>
              <w:spacing w:after="0"/>
              <w:rPr>
                <w:sz w:val="17"/>
                <w:szCs w:val="17"/>
                <w:color w:val="auto"/>
              </w:rPr>
            </w:pPr>
          </w:p>
        </w:tc>
        <w:tc>
          <w:tcPr>
            <w:tcW w:w="280" w:type="dxa"/>
            <w:vAlign w:val="bottom"/>
            <w:shd w:val="clear" w:color="auto" w:fill="232F84"/>
          </w:tcPr>
          <w:p>
            <w:pPr>
              <w:spacing w:after="0"/>
              <w:rPr>
                <w:sz w:val="17"/>
                <w:szCs w:val="17"/>
                <w:color w:val="auto"/>
              </w:rPr>
            </w:pPr>
          </w:p>
        </w:tc>
        <w:tc>
          <w:tcPr>
            <w:tcW w:w="7000" w:type="dxa"/>
            <w:vAlign w:val="bottom"/>
            <w:shd w:val="clear" w:color="auto" w:fill="232F84"/>
          </w:tcPr>
          <w:p>
            <w:pPr>
              <w:ind w:left="360"/>
              <w:spacing w:after="0"/>
              <w:rPr>
                <w:sz w:val="20"/>
                <w:szCs w:val="20"/>
                <w:color w:val="auto"/>
              </w:rPr>
            </w:pPr>
            <w:r>
              <w:rPr>
                <w:rFonts w:ascii="Arial" w:cs="Arial" w:eastAsia="Arial" w:hAnsi="Arial"/>
                <w:sz w:val="14"/>
                <w:szCs w:val="14"/>
                <w:b w:val="1"/>
                <w:bCs w:val="1"/>
                <w:color w:val="FFFFFF"/>
              </w:rPr>
              <w:t>(In millions, except for shares)</w:t>
            </w:r>
          </w:p>
        </w:tc>
        <w:tc>
          <w:tcPr>
            <w:tcW w:w="760" w:type="dxa"/>
            <w:vAlign w:val="bottom"/>
            <w:shd w:val="clear" w:color="auto" w:fill="232F84"/>
          </w:tcPr>
          <w:p>
            <w:pPr>
              <w:spacing w:after="0"/>
              <w:rPr>
                <w:sz w:val="17"/>
                <w:szCs w:val="17"/>
                <w:color w:val="auto"/>
              </w:rPr>
            </w:pPr>
          </w:p>
        </w:tc>
        <w:tc>
          <w:tcPr>
            <w:tcW w:w="1360" w:type="dxa"/>
            <w:vAlign w:val="bottom"/>
            <w:shd w:val="clear" w:color="auto" w:fill="232F84"/>
          </w:tcPr>
          <w:p>
            <w:pPr>
              <w:jc w:val="right"/>
              <w:ind w:right="311"/>
              <w:spacing w:after="0"/>
              <w:rPr>
                <w:sz w:val="20"/>
                <w:szCs w:val="20"/>
                <w:color w:val="auto"/>
              </w:rPr>
            </w:pPr>
            <w:r>
              <w:rPr>
                <w:rFonts w:ascii="Arial" w:cs="Arial" w:eastAsia="Arial" w:hAnsi="Arial"/>
                <w:sz w:val="14"/>
                <w:szCs w:val="14"/>
                <w:b w:val="1"/>
                <w:bCs w:val="1"/>
                <w:color w:val="FFFFFF"/>
              </w:rPr>
              <w:t>July 31, 2021</w:t>
            </w: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w:t>
            </w:r>
          </w:p>
        </w:tc>
      </w:tr>
      <w:tr>
        <w:trPr>
          <w:trHeight w:val="206"/>
        </w:trPr>
        <w:tc>
          <w:tcPr>
            <w:tcW w:w="620" w:type="dxa"/>
            <w:vAlign w:val="bottom"/>
          </w:tcPr>
          <w:p>
            <w:pPr>
              <w:spacing w:after="0"/>
              <w:rPr>
                <w:sz w:val="17"/>
                <w:szCs w:val="17"/>
                <w:color w:val="auto"/>
              </w:rPr>
            </w:pPr>
          </w:p>
        </w:tc>
        <w:tc>
          <w:tcPr>
            <w:tcW w:w="280" w:type="dxa"/>
            <w:vAlign w:val="bottom"/>
            <w:shd w:val="clear" w:color="auto" w:fill="43C0B9"/>
          </w:tcPr>
          <w:p>
            <w:pPr>
              <w:spacing w:after="0"/>
              <w:rPr>
                <w:sz w:val="17"/>
                <w:szCs w:val="17"/>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b w:val="1"/>
                <w:bCs w:val="1"/>
                <w:color w:val="232F84"/>
              </w:rPr>
              <w:t>Assets</w:t>
            </w:r>
          </w:p>
        </w:tc>
        <w:tc>
          <w:tcPr>
            <w:tcW w:w="760" w:type="dxa"/>
            <w:vAlign w:val="bottom"/>
            <w:shd w:val="clear" w:color="auto" w:fill="43C0B9"/>
          </w:tcPr>
          <w:p>
            <w:pPr>
              <w:spacing w:after="0"/>
              <w:rPr>
                <w:sz w:val="17"/>
                <w:szCs w:val="17"/>
                <w:color w:val="auto"/>
              </w:rPr>
            </w:pPr>
          </w:p>
        </w:tc>
        <w:tc>
          <w:tcPr>
            <w:tcW w:w="1360" w:type="dxa"/>
            <w:vAlign w:val="bottom"/>
            <w:shd w:val="clear" w:color="auto" w:fill="43C0B9"/>
          </w:tcPr>
          <w:p>
            <w:pPr>
              <w:spacing w:after="0"/>
              <w:rPr>
                <w:sz w:val="17"/>
                <w:szCs w:val="17"/>
                <w:color w:val="auto"/>
              </w:rPr>
            </w:pPr>
          </w:p>
        </w:tc>
        <w:tc>
          <w:tcPr>
            <w:tcW w:w="1320" w:type="dxa"/>
            <w:vAlign w:val="bottom"/>
            <w:shd w:val="clear" w:color="auto" w:fill="43C0B9"/>
          </w:tcPr>
          <w:p>
            <w:pPr>
              <w:spacing w:after="0"/>
              <w:rPr>
                <w:sz w:val="17"/>
                <w:szCs w:val="17"/>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Current Assets:</w:t>
            </w: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Cash and cash equivalents</w:t>
            </w:r>
          </w:p>
        </w:tc>
        <w:tc>
          <w:tcPr>
            <w:tcW w:w="760" w:type="dxa"/>
            <w:vAlign w:val="bottom"/>
            <w:shd w:val="clear" w:color="auto" w:fill="43C0B9"/>
          </w:tcPr>
          <w:p>
            <w:pPr>
              <w:jc w:val="right"/>
              <w:ind w:right="331"/>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70.9</w:t>
            </w:r>
          </w:p>
        </w:tc>
        <w:tc>
          <w:tcPr>
            <w:tcW w:w="1320" w:type="dxa"/>
            <w:vAlign w:val="bottom"/>
            <w:shd w:val="clear" w:color="auto" w:fill="43C0B9"/>
          </w:tcPr>
          <w:p>
            <w:pPr>
              <w:jc w:val="right"/>
              <w:ind w:right="811"/>
              <w:spacing w:after="0"/>
              <w:rPr>
                <w:sz w:val="20"/>
                <w:szCs w:val="20"/>
                <w:color w:val="auto"/>
              </w:rPr>
            </w:pPr>
            <w:r>
              <w:rPr>
                <w:rFonts w:ascii="Arial" w:cs="Arial" w:eastAsia="Arial" w:hAnsi="Arial"/>
                <w:sz w:val="14"/>
                <w:szCs w:val="14"/>
                <w:color w:val="auto"/>
              </w:rPr>
              <w:t>$</w:t>
            </w: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Restricted cash</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4.2</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Accounts receivable</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1180"/>
              <w:spacing w:after="0"/>
              <w:rPr>
                <w:sz w:val="20"/>
                <w:szCs w:val="20"/>
                <w:color w:val="auto"/>
              </w:rPr>
            </w:pPr>
            <w:r>
              <w:rPr>
                <w:rFonts w:ascii="Arial" w:cs="Arial" w:eastAsia="Arial" w:hAnsi="Arial"/>
                <w:sz w:val="14"/>
                <w:szCs w:val="14"/>
                <w:color w:val="auto"/>
              </w:rPr>
              <w:t>Trade, net of allowances of $0.2 and $0.3, respectively</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69.8</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1180"/>
              <w:spacing w:after="0"/>
              <w:rPr>
                <w:sz w:val="20"/>
                <w:szCs w:val="20"/>
                <w:color w:val="auto"/>
              </w:rPr>
            </w:pPr>
            <w:r>
              <w:rPr>
                <w:rFonts w:ascii="Arial" w:cs="Arial" w:eastAsia="Arial" w:hAnsi="Arial"/>
                <w:sz w:val="14"/>
                <w:szCs w:val="14"/>
                <w:color w:val="auto"/>
              </w:rPr>
              <w:t>Grower and fruit advances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1.5</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1180"/>
              <w:spacing w:after="0"/>
              <w:rPr>
                <w:sz w:val="20"/>
                <w:szCs w:val="20"/>
                <w:color w:val="auto"/>
              </w:rPr>
            </w:pPr>
            <w:r>
              <w:rPr>
                <w:rFonts w:ascii="Arial" w:cs="Arial" w:eastAsia="Arial" w:hAnsi="Arial"/>
                <w:sz w:val="14"/>
                <w:szCs w:val="14"/>
                <w:color w:val="auto"/>
              </w:rPr>
              <w:t>Miscellaneous receivables</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15.5</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Inventory</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66.6</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Prepaid expenses and other current assets</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12.4</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Loans to equity method investees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3.2</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Income taxes receivable</w:t>
            </w:r>
          </w:p>
        </w:tc>
        <w:tc>
          <w:tcPr>
            <w:tcW w:w="7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5.9</w:t>
            </w:r>
          </w:p>
        </w:tc>
        <w:tc>
          <w:tcPr>
            <w:tcW w:w="1320" w:type="dxa"/>
            <w:vAlign w:val="bottom"/>
            <w:tcBorders>
              <w:bottom w:val="single" w:sz="8" w:color="auto"/>
            </w:tcBorders>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280" w:type="dxa"/>
            <w:vAlign w:val="bottom"/>
            <w:shd w:val="clear" w:color="auto" w:fill="43C0B9"/>
          </w:tcPr>
          <w:p>
            <w:pPr>
              <w:spacing w:after="0"/>
              <w:rPr>
                <w:sz w:val="17"/>
                <w:szCs w:val="17"/>
                <w:color w:val="auto"/>
              </w:rPr>
            </w:pPr>
          </w:p>
        </w:tc>
        <w:tc>
          <w:tcPr>
            <w:tcW w:w="7000" w:type="dxa"/>
            <w:vAlign w:val="bottom"/>
            <w:shd w:val="clear" w:color="auto" w:fill="43C0B9"/>
          </w:tcPr>
          <w:p>
            <w:pPr>
              <w:ind w:left="1600"/>
              <w:spacing w:after="0"/>
              <w:rPr>
                <w:sz w:val="20"/>
                <w:szCs w:val="20"/>
                <w:color w:val="auto"/>
              </w:rPr>
            </w:pPr>
            <w:r>
              <w:rPr>
                <w:rFonts w:ascii="Arial" w:cs="Arial" w:eastAsia="Arial" w:hAnsi="Arial"/>
                <w:sz w:val="14"/>
                <w:szCs w:val="14"/>
                <w:color w:val="auto"/>
              </w:rPr>
              <w:t>Total current assets</w:t>
            </w:r>
          </w:p>
        </w:tc>
        <w:tc>
          <w:tcPr>
            <w:tcW w:w="760" w:type="dxa"/>
            <w:vAlign w:val="bottom"/>
            <w:shd w:val="clear" w:color="auto" w:fill="43C0B9"/>
          </w:tcPr>
          <w:p>
            <w:pPr>
              <w:spacing w:after="0"/>
              <w:rPr>
                <w:sz w:val="17"/>
                <w:szCs w:val="17"/>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250.0</w:t>
            </w:r>
          </w:p>
        </w:tc>
        <w:tc>
          <w:tcPr>
            <w:tcW w:w="1320" w:type="dxa"/>
            <w:vAlign w:val="bottom"/>
            <w:shd w:val="clear" w:color="auto" w:fill="43C0B9"/>
          </w:tcPr>
          <w:p>
            <w:pPr>
              <w:spacing w:after="0"/>
              <w:rPr>
                <w:sz w:val="17"/>
                <w:szCs w:val="17"/>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Property, plant and equipment, net</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418.6</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Equity method investees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49.4</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Loans to equity method investees</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1.8</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Deferred income taxes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7.1</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Goodwill</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76.4</w:t>
            </w:r>
          </w:p>
        </w:tc>
        <w:tc>
          <w:tcPr>
            <w:tcW w:w="132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280" w:type="dxa"/>
            <w:vAlign w:val="bottom"/>
            <w:tcBorders>
              <w:bottom w:val="single" w:sz="8" w:color="auto"/>
            </w:tcBorders>
            <w:shd w:val="clear" w:color="auto" w:fill="43C0B9"/>
          </w:tcPr>
          <w:p>
            <w:pPr>
              <w:spacing w:after="0"/>
              <w:rPr>
                <w:sz w:val="17"/>
                <w:szCs w:val="17"/>
                <w:color w:val="auto"/>
              </w:rPr>
            </w:pPr>
          </w:p>
        </w:tc>
        <w:tc>
          <w:tcPr>
            <w:tcW w:w="7000" w:type="dxa"/>
            <w:vAlign w:val="bottom"/>
            <w:tcBorders>
              <w:bottom w:val="single" w:sz="8" w:color="auto"/>
            </w:tcBorders>
            <w:shd w:val="clear" w:color="auto" w:fill="43C0B9"/>
          </w:tcPr>
          <w:p>
            <w:pPr>
              <w:ind w:left="360"/>
              <w:spacing w:after="0"/>
              <w:rPr>
                <w:sz w:val="20"/>
                <w:szCs w:val="20"/>
                <w:color w:val="auto"/>
              </w:rPr>
            </w:pPr>
            <w:r>
              <w:rPr>
                <w:rFonts w:ascii="Arial" w:cs="Arial" w:eastAsia="Arial" w:hAnsi="Arial"/>
                <w:sz w:val="14"/>
                <w:szCs w:val="14"/>
                <w:color w:val="auto"/>
              </w:rPr>
              <w:t>Other assets</w:t>
            </w:r>
          </w:p>
        </w:tc>
        <w:tc>
          <w:tcPr>
            <w:tcW w:w="760" w:type="dxa"/>
            <w:vAlign w:val="bottom"/>
            <w:tcBorders>
              <w:bottom w:val="single" w:sz="8" w:color="auto"/>
            </w:tcBorders>
            <w:shd w:val="clear" w:color="auto" w:fill="43C0B9"/>
          </w:tcPr>
          <w:p>
            <w:pPr>
              <w:spacing w:after="0"/>
              <w:rPr>
                <w:sz w:val="17"/>
                <w:szCs w:val="17"/>
                <w:color w:val="auto"/>
              </w:rPr>
            </w:pPr>
          </w:p>
        </w:tc>
        <w:tc>
          <w:tcPr>
            <w:tcW w:w="136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18.1</w:t>
            </w:r>
          </w:p>
        </w:tc>
        <w:tc>
          <w:tcPr>
            <w:tcW w:w="1320" w:type="dxa"/>
            <w:vAlign w:val="bottom"/>
            <w:tcBorders>
              <w:bottom w:val="single" w:sz="8" w:color="auto"/>
            </w:tcBorders>
            <w:shd w:val="clear" w:color="auto" w:fill="43C0B9"/>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assets</w:t>
            </w: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821.4</w:t>
            </w:r>
          </w:p>
        </w:tc>
        <w:tc>
          <w:tcPr>
            <w:tcW w:w="132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r>
      <w:tr>
        <w:trPr>
          <w:trHeight w:val="205"/>
        </w:trPr>
        <w:tc>
          <w:tcPr>
            <w:tcW w:w="620" w:type="dxa"/>
            <w:vAlign w:val="bottom"/>
          </w:tcPr>
          <w:p>
            <w:pPr>
              <w:spacing w:after="0"/>
              <w:rPr>
                <w:sz w:val="17"/>
                <w:szCs w:val="17"/>
                <w:color w:val="auto"/>
              </w:rPr>
            </w:pPr>
          </w:p>
        </w:tc>
        <w:tc>
          <w:tcPr>
            <w:tcW w:w="280" w:type="dxa"/>
            <w:vAlign w:val="bottom"/>
            <w:shd w:val="clear" w:color="auto" w:fill="43C0B9"/>
          </w:tcPr>
          <w:p>
            <w:pPr>
              <w:spacing w:after="0"/>
              <w:rPr>
                <w:sz w:val="17"/>
                <w:szCs w:val="17"/>
                <w:color w:val="auto"/>
              </w:rPr>
            </w:pPr>
          </w:p>
        </w:tc>
        <w:tc>
          <w:tcPr>
            <w:tcW w:w="7000" w:type="dxa"/>
            <w:vAlign w:val="bottom"/>
            <w:shd w:val="clear" w:color="auto" w:fill="43C0B9"/>
          </w:tcPr>
          <w:p>
            <w:pPr>
              <w:spacing w:after="0"/>
              <w:rPr>
                <w:sz w:val="17"/>
                <w:szCs w:val="17"/>
                <w:color w:val="auto"/>
              </w:rPr>
            </w:pPr>
          </w:p>
        </w:tc>
        <w:tc>
          <w:tcPr>
            <w:tcW w:w="760" w:type="dxa"/>
            <w:vAlign w:val="bottom"/>
            <w:shd w:val="clear" w:color="auto" w:fill="43C0B9"/>
          </w:tcPr>
          <w:p>
            <w:pPr>
              <w:spacing w:after="0"/>
              <w:rPr>
                <w:sz w:val="17"/>
                <w:szCs w:val="17"/>
                <w:color w:val="auto"/>
              </w:rPr>
            </w:pPr>
          </w:p>
        </w:tc>
        <w:tc>
          <w:tcPr>
            <w:tcW w:w="1360" w:type="dxa"/>
            <w:vAlign w:val="bottom"/>
            <w:shd w:val="clear" w:color="auto" w:fill="43C0B9"/>
          </w:tcPr>
          <w:p>
            <w:pPr>
              <w:spacing w:after="0"/>
              <w:rPr>
                <w:sz w:val="17"/>
                <w:szCs w:val="17"/>
                <w:color w:val="auto"/>
              </w:rPr>
            </w:pPr>
          </w:p>
        </w:tc>
        <w:tc>
          <w:tcPr>
            <w:tcW w:w="1320" w:type="dxa"/>
            <w:vAlign w:val="bottom"/>
            <w:shd w:val="clear" w:color="auto" w:fill="43C0B9"/>
          </w:tcPr>
          <w:p>
            <w:pPr>
              <w:spacing w:after="0"/>
              <w:rPr>
                <w:sz w:val="17"/>
                <w:szCs w:val="17"/>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b w:val="1"/>
                <w:bCs w:val="1"/>
                <w:color w:val="232F84"/>
              </w:rPr>
              <w:t>Liabilities and Shareholders' Equity</w:t>
            </w: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Liabilities: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Accounts payable</w:t>
            </w:r>
          </w:p>
        </w:tc>
        <w:tc>
          <w:tcPr>
            <w:tcW w:w="76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24.0</w:t>
            </w:r>
          </w:p>
        </w:tc>
        <w:tc>
          <w:tcPr>
            <w:tcW w:w="1320" w:type="dxa"/>
            <w:vAlign w:val="bottom"/>
          </w:tcPr>
          <w:p>
            <w:pPr>
              <w:jc w:val="right"/>
              <w:ind w:right="811"/>
              <w:spacing w:after="0"/>
              <w:rPr>
                <w:sz w:val="20"/>
                <w:szCs w:val="20"/>
                <w:color w:val="auto"/>
              </w:rPr>
            </w:pPr>
            <w:r>
              <w:rPr>
                <w:rFonts w:ascii="Arial" w:cs="Arial" w:eastAsia="Arial" w:hAnsi="Arial"/>
                <w:sz w:val="14"/>
                <w:szCs w:val="14"/>
                <w:color w:val="auto"/>
              </w:rPr>
              <w:t>$</w:t>
            </w: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Accrued expenses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30.1</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Income taxes payable</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2.9</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Grower payables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26.7</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Long-term debt—current portion</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8.8</w:t>
            </w:r>
          </w:p>
        </w:tc>
        <w:tc>
          <w:tcPr>
            <w:tcW w:w="132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280" w:type="dxa"/>
            <w:vAlign w:val="bottom"/>
            <w:tcBorders>
              <w:bottom w:val="single" w:sz="8" w:color="auto"/>
            </w:tcBorders>
            <w:shd w:val="clear" w:color="auto" w:fill="43C0B9"/>
          </w:tcPr>
          <w:p>
            <w:pPr>
              <w:spacing w:after="0"/>
              <w:rPr>
                <w:sz w:val="17"/>
                <w:szCs w:val="17"/>
                <w:color w:val="auto"/>
              </w:rPr>
            </w:pPr>
          </w:p>
        </w:tc>
        <w:tc>
          <w:tcPr>
            <w:tcW w:w="7000" w:type="dxa"/>
            <w:vAlign w:val="bottom"/>
            <w:tcBorders>
              <w:bottom w:val="single" w:sz="8" w:color="auto"/>
            </w:tcBorders>
            <w:shd w:val="clear" w:color="auto" w:fill="43C0B9"/>
          </w:tcPr>
          <w:p>
            <w:pPr>
              <w:ind w:left="780"/>
              <w:spacing w:after="0"/>
              <w:rPr>
                <w:sz w:val="20"/>
                <w:szCs w:val="20"/>
                <w:color w:val="auto"/>
              </w:rPr>
            </w:pPr>
            <w:r>
              <w:rPr>
                <w:rFonts w:ascii="Arial" w:cs="Arial" w:eastAsia="Arial" w:hAnsi="Arial"/>
                <w:sz w:val="14"/>
                <w:szCs w:val="14"/>
                <w:color w:val="auto"/>
              </w:rPr>
              <w:t>Capital leases—current portion</w:t>
            </w:r>
          </w:p>
        </w:tc>
        <w:tc>
          <w:tcPr>
            <w:tcW w:w="760" w:type="dxa"/>
            <w:vAlign w:val="bottom"/>
            <w:tcBorders>
              <w:bottom w:val="single" w:sz="8" w:color="auto"/>
            </w:tcBorders>
            <w:shd w:val="clear" w:color="auto" w:fill="43C0B9"/>
          </w:tcPr>
          <w:p>
            <w:pPr>
              <w:spacing w:after="0"/>
              <w:rPr>
                <w:sz w:val="17"/>
                <w:szCs w:val="17"/>
                <w:color w:val="auto"/>
              </w:rPr>
            </w:pPr>
          </w:p>
        </w:tc>
        <w:tc>
          <w:tcPr>
            <w:tcW w:w="136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1.2</w:t>
            </w:r>
          </w:p>
        </w:tc>
        <w:tc>
          <w:tcPr>
            <w:tcW w:w="1320" w:type="dxa"/>
            <w:vAlign w:val="bottom"/>
            <w:tcBorders>
              <w:bottom w:val="single" w:sz="8" w:color="auto"/>
            </w:tcBorders>
            <w:shd w:val="clear" w:color="auto" w:fill="43C0B9"/>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1600"/>
              <w:spacing w:after="0"/>
              <w:rPr>
                <w:sz w:val="20"/>
                <w:szCs w:val="20"/>
                <w:color w:val="auto"/>
              </w:rPr>
            </w:pPr>
            <w:r>
              <w:rPr>
                <w:rFonts w:ascii="Arial" w:cs="Arial" w:eastAsia="Arial" w:hAnsi="Arial"/>
                <w:sz w:val="14"/>
                <w:szCs w:val="14"/>
                <w:color w:val="auto"/>
              </w:rPr>
              <w:t>Total current liabilities</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93.7</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Long-term debt, net of current portion</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159.7</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Capital leases, net of current portion</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2.4</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Income taxes payable</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3.5</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35.3</w:t>
            </w:r>
          </w:p>
        </w:tc>
        <w:tc>
          <w:tcPr>
            <w:tcW w:w="132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280" w:type="dxa"/>
            <w:vAlign w:val="bottom"/>
            <w:tcBorders>
              <w:bottom w:val="single" w:sz="8" w:color="auto"/>
            </w:tcBorders>
            <w:shd w:val="clear" w:color="auto" w:fill="43C0B9"/>
          </w:tcPr>
          <w:p>
            <w:pPr>
              <w:spacing w:after="0"/>
              <w:rPr>
                <w:sz w:val="17"/>
                <w:szCs w:val="17"/>
                <w:color w:val="auto"/>
              </w:rPr>
            </w:pPr>
          </w:p>
        </w:tc>
        <w:tc>
          <w:tcPr>
            <w:tcW w:w="7000" w:type="dxa"/>
            <w:vAlign w:val="bottom"/>
            <w:tcBorders>
              <w:bottom w:val="single" w:sz="8" w:color="auto"/>
            </w:tcBorders>
            <w:shd w:val="clear" w:color="auto" w:fill="43C0B9"/>
          </w:tcPr>
          <w:p>
            <w:pPr>
              <w:ind w:left="360"/>
              <w:spacing w:after="0"/>
              <w:rPr>
                <w:sz w:val="20"/>
                <w:szCs w:val="20"/>
                <w:color w:val="auto"/>
              </w:rPr>
            </w:pPr>
            <w:r>
              <w:rPr>
                <w:rFonts w:ascii="Arial" w:cs="Arial" w:eastAsia="Arial" w:hAnsi="Arial"/>
                <w:sz w:val="14"/>
                <w:szCs w:val="14"/>
                <w:color w:val="auto"/>
              </w:rPr>
              <w:t>Other long-term liabilities</w:t>
            </w:r>
          </w:p>
        </w:tc>
        <w:tc>
          <w:tcPr>
            <w:tcW w:w="760" w:type="dxa"/>
            <w:vAlign w:val="bottom"/>
            <w:tcBorders>
              <w:bottom w:val="single" w:sz="8" w:color="auto"/>
            </w:tcBorders>
            <w:shd w:val="clear" w:color="auto" w:fill="43C0B9"/>
          </w:tcPr>
          <w:p>
            <w:pPr>
              <w:spacing w:after="0"/>
              <w:rPr>
                <w:sz w:val="17"/>
                <w:szCs w:val="17"/>
                <w:color w:val="auto"/>
              </w:rPr>
            </w:pPr>
          </w:p>
        </w:tc>
        <w:tc>
          <w:tcPr>
            <w:tcW w:w="136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23.1</w:t>
            </w:r>
          </w:p>
        </w:tc>
        <w:tc>
          <w:tcPr>
            <w:tcW w:w="1320" w:type="dxa"/>
            <w:vAlign w:val="bottom"/>
            <w:tcBorders>
              <w:bottom w:val="single" w:sz="8" w:color="auto"/>
            </w:tcBorders>
            <w:shd w:val="clear" w:color="auto" w:fill="43C0B9"/>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317.7</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Commitments and contingencies (Note 5)</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360"/>
              <w:spacing w:after="0"/>
              <w:rPr>
                <w:sz w:val="20"/>
                <w:szCs w:val="20"/>
                <w:color w:val="auto"/>
              </w:rPr>
            </w:pPr>
            <w:r>
              <w:rPr>
                <w:rFonts w:ascii="Arial" w:cs="Arial" w:eastAsia="Arial" w:hAnsi="Arial"/>
                <w:sz w:val="14"/>
                <w:szCs w:val="14"/>
                <w:color w:val="auto"/>
              </w:rPr>
              <w:t>Shareholders' Equity</w:t>
            </w: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1"/>
        </w:trPr>
        <w:tc>
          <w:tcPr>
            <w:tcW w:w="620" w:type="dxa"/>
            <w:vAlign w:val="bottom"/>
          </w:tcPr>
          <w:p>
            <w:pPr>
              <w:spacing w:after="0"/>
              <w:rPr>
                <w:sz w:val="16"/>
                <w:szCs w:val="16"/>
                <w:color w:val="auto"/>
              </w:rPr>
            </w:pPr>
          </w:p>
        </w:tc>
        <w:tc>
          <w:tcPr>
            <w:tcW w:w="280" w:type="dxa"/>
            <w:vAlign w:val="bottom"/>
            <w:shd w:val="clear" w:color="auto" w:fill="43C0B9"/>
          </w:tcPr>
          <w:p>
            <w:pPr>
              <w:spacing w:after="0"/>
              <w:rPr>
                <w:sz w:val="16"/>
                <w:szCs w:val="16"/>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Common stock ($0.001 par value, 1,000,000,000 shares authorized; 70,609,485 and</w:t>
            </w:r>
          </w:p>
        </w:tc>
        <w:tc>
          <w:tcPr>
            <w:tcW w:w="760" w:type="dxa"/>
            <w:vAlign w:val="bottom"/>
            <w:shd w:val="clear" w:color="auto" w:fill="43C0B9"/>
          </w:tcPr>
          <w:p>
            <w:pPr>
              <w:spacing w:after="0"/>
              <w:rPr>
                <w:sz w:val="16"/>
                <w:szCs w:val="16"/>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0.1</w:t>
            </w:r>
          </w:p>
        </w:tc>
        <w:tc>
          <w:tcPr>
            <w:tcW w:w="1320" w:type="dxa"/>
            <w:vAlign w:val="bottom"/>
            <w:shd w:val="clear" w:color="auto" w:fill="43C0B9"/>
          </w:tcPr>
          <w:p>
            <w:pPr>
              <w:spacing w:after="0"/>
              <w:rPr>
                <w:sz w:val="16"/>
                <w:szCs w:val="16"/>
                <w:color w:val="auto"/>
              </w:rPr>
            </w:pPr>
          </w:p>
        </w:tc>
      </w:tr>
      <w:tr>
        <w:trPr>
          <w:trHeight w:val="176"/>
        </w:trPr>
        <w:tc>
          <w:tcPr>
            <w:tcW w:w="620" w:type="dxa"/>
            <w:vAlign w:val="bottom"/>
          </w:tcPr>
          <w:p>
            <w:pPr>
              <w:spacing w:after="0"/>
              <w:rPr>
                <w:sz w:val="15"/>
                <w:szCs w:val="15"/>
                <w:color w:val="auto"/>
              </w:rPr>
            </w:pPr>
          </w:p>
        </w:tc>
        <w:tc>
          <w:tcPr>
            <w:tcW w:w="280" w:type="dxa"/>
            <w:vAlign w:val="bottom"/>
            <w:shd w:val="clear" w:color="auto" w:fill="43C0B9"/>
          </w:tcPr>
          <w:p>
            <w:pPr>
              <w:spacing w:after="0"/>
              <w:rPr>
                <w:sz w:val="15"/>
                <w:szCs w:val="15"/>
                <w:color w:val="auto"/>
              </w:rPr>
            </w:pPr>
          </w:p>
        </w:tc>
        <w:tc>
          <w:tcPr>
            <w:tcW w:w="7000" w:type="dxa"/>
            <w:vAlign w:val="bottom"/>
            <w:shd w:val="clear" w:color="auto" w:fill="43C0B9"/>
          </w:tcPr>
          <w:p>
            <w:pPr>
              <w:ind w:left="160"/>
              <w:spacing w:after="0"/>
              <w:rPr>
                <w:sz w:val="20"/>
                <w:szCs w:val="20"/>
                <w:color w:val="auto"/>
              </w:rPr>
            </w:pPr>
            <w:r>
              <w:rPr>
                <w:rFonts w:ascii="Arial" w:cs="Arial" w:eastAsia="Arial" w:hAnsi="Arial"/>
                <w:sz w:val="14"/>
                <w:szCs w:val="14"/>
                <w:color w:val="auto"/>
              </w:rPr>
              <w:t>70,550,922 shares issued and outstanding as of July 31, 2021 and October 31, 2020, respectively)</w:t>
            </w:r>
          </w:p>
        </w:tc>
        <w:tc>
          <w:tcPr>
            <w:tcW w:w="760" w:type="dxa"/>
            <w:vAlign w:val="bottom"/>
            <w:shd w:val="clear" w:color="auto" w:fill="43C0B9"/>
          </w:tcPr>
          <w:p>
            <w:pPr>
              <w:spacing w:after="0"/>
              <w:rPr>
                <w:sz w:val="15"/>
                <w:szCs w:val="15"/>
                <w:color w:val="auto"/>
              </w:rPr>
            </w:pPr>
          </w:p>
        </w:tc>
        <w:tc>
          <w:tcPr>
            <w:tcW w:w="1360" w:type="dxa"/>
            <w:vAlign w:val="bottom"/>
            <w:shd w:val="clear" w:color="auto" w:fill="43C0B9"/>
          </w:tcPr>
          <w:p>
            <w:pPr>
              <w:spacing w:after="0"/>
              <w:rPr>
                <w:sz w:val="15"/>
                <w:szCs w:val="15"/>
                <w:color w:val="auto"/>
              </w:rPr>
            </w:pPr>
          </w:p>
        </w:tc>
        <w:tc>
          <w:tcPr>
            <w:tcW w:w="1320" w:type="dxa"/>
            <w:vAlign w:val="bottom"/>
            <w:shd w:val="clear" w:color="auto" w:fill="43C0B9"/>
          </w:tcPr>
          <w:p>
            <w:pPr>
              <w:spacing w:after="0"/>
              <w:rPr>
                <w:sz w:val="15"/>
                <w:szCs w:val="15"/>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Additional paid-in capital</w:t>
            </w:r>
          </w:p>
        </w:tc>
        <w:tc>
          <w:tcPr>
            <w:tcW w:w="760" w:type="dxa"/>
            <w:vAlign w:val="bottom"/>
          </w:tcPr>
          <w:p>
            <w:pPr>
              <w:spacing w:after="0"/>
              <w:rPr>
                <w:sz w:val="17"/>
                <w:szCs w:val="17"/>
                <w:color w:val="auto"/>
              </w:rPr>
            </w:pPr>
          </w:p>
        </w:tc>
        <w:tc>
          <w:tcPr>
            <w:tcW w:w="1360" w:type="dxa"/>
            <w:vAlign w:val="bottom"/>
          </w:tcPr>
          <w:p>
            <w:pPr>
              <w:jc w:val="right"/>
              <w:ind w:right="351"/>
              <w:spacing w:after="0"/>
              <w:rPr>
                <w:sz w:val="20"/>
                <w:szCs w:val="20"/>
                <w:color w:val="auto"/>
              </w:rPr>
            </w:pPr>
            <w:r>
              <w:rPr>
                <w:rFonts w:ascii="Arial" w:cs="Arial" w:eastAsia="Arial" w:hAnsi="Arial"/>
                <w:sz w:val="14"/>
                <w:szCs w:val="14"/>
                <w:color w:val="auto"/>
              </w:rPr>
              <w:t>224.8</w:t>
            </w:r>
          </w:p>
        </w:tc>
        <w:tc>
          <w:tcPr>
            <w:tcW w:w="1320" w:type="dxa"/>
            <w:vAlign w:val="bottom"/>
          </w:tcPr>
          <w:p>
            <w:pPr>
              <w:spacing w:after="0"/>
              <w:rPr>
                <w:sz w:val="17"/>
                <w:szCs w:val="17"/>
                <w:color w:val="auto"/>
              </w:rPr>
            </w:pPr>
          </w:p>
        </w:tc>
      </w:tr>
      <w:tr>
        <w:trPr>
          <w:trHeight w:val="212"/>
        </w:trPr>
        <w:tc>
          <w:tcPr>
            <w:tcW w:w="620" w:type="dxa"/>
            <w:vAlign w:val="bottom"/>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7000" w:type="dxa"/>
            <w:vAlign w:val="bottom"/>
            <w:shd w:val="clear" w:color="auto" w:fill="43C0B9"/>
          </w:tcPr>
          <w:p>
            <w:pPr>
              <w:ind w:left="780"/>
              <w:spacing w:after="0"/>
              <w:rPr>
                <w:sz w:val="20"/>
                <w:szCs w:val="20"/>
                <w:color w:val="auto"/>
              </w:rPr>
            </w:pPr>
            <w:r>
              <w:rPr>
                <w:rFonts w:ascii="Arial" w:cs="Arial" w:eastAsia="Arial" w:hAnsi="Arial"/>
                <w:sz w:val="14"/>
                <w:szCs w:val="14"/>
                <w:color w:val="auto"/>
              </w:rPr>
              <w:t>Notes receivable from shareholders</w:t>
            </w:r>
          </w:p>
        </w:tc>
        <w:tc>
          <w:tcPr>
            <w:tcW w:w="76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spacing w:after="0"/>
              <w:rPr>
                <w:sz w:val="18"/>
                <w:szCs w:val="18"/>
                <w:color w:val="auto"/>
              </w:rPr>
            </w:pPr>
          </w:p>
        </w:tc>
      </w:tr>
      <w:tr>
        <w:trPr>
          <w:trHeight w:val="200"/>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Pr>
          <w:p>
            <w:pPr>
              <w:ind w:left="780"/>
              <w:spacing w:after="0"/>
              <w:rPr>
                <w:sz w:val="20"/>
                <w:szCs w:val="20"/>
                <w:color w:val="auto"/>
              </w:rPr>
            </w:pPr>
            <w:r>
              <w:rPr>
                <w:rFonts w:ascii="Arial" w:cs="Arial" w:eastAsia="Arial" w:hAnsi="Arial"/>
                <w:sz w:val="14"/>
                <w:szCs w:val="14"/>
                <w:color w:val="auto"/>
              </w:rPr>
              <w:t>Accumulated other comprehensive loss</w:t>
            </w:r>
          </w:p>
        </w:tc>
        <w:tc>
          <w:tcPr>
            <w:tcW w:w="760" w:type="dxa"/>
            <w:vAlign w:val="bottom"/>
          </w:tcPr>
          <w:p>
            <w:pPr>
              <w:spacing w:after="0"/>
              <w:rPr>
                <w:sz w:val="17"/>
                <w:szCs w:val="17"/>
                <w:color w:val="auto"/>
              </w:rPr>
            </w:pPr>
          </w:p>
        </w:tc>
        <w:tc>
          <w:tcPr>
            <w:tcW w:w="1360" w:type="dxa"/>
            <w:vAlign w:val="bottom"/>
          </w:tcPr>
          <w:p>
            <w:pPr>
              <w:jc w:val="right"/>
              <w:ind w:right="311"/>
              <w:spacing w:after="0"/>
              <w:rPr>
                <w:sz w:val="20"/>
                <w:szCs w:val="20"/>
                <w:color w:val="auto"/>
              </w:rPr>
            </w:pPr>
            <w:r>
              <w:rPr>
                <w:rFonts w:ascii="Arial" w:cs="Arial" w:eastAsia="Arial" w:hAnsi="Arial"/>
                <w:sz w:val="14"/>
                <w:szCs w:val="14"/>
                <w:color w:val="auto"/>
              </w:rPr>
              <w:t>(0.4)</w:t>
            </w:r>
          </w:p>
        </w:tc>
        <w:tc>
          <w:tcPr>
            <w:tcW w:w="132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280" w:type="dxa"/>
            <w:vAlign w:val="bottom"/>
            <w:tcBorders>
              <w:bottom w:val="single" w:sz="8" w:color="auto"/>
            </w:tcBorders>
            <w:shd w:val="clear" w:color="auto" w:fill="43C0B9"/>
          </w:tcPr>
          <w:p>
            <w:pPr>
              <w:spacing w:after="0"/>
              <w:rPr>
                <w:sz w:val="17"/>
                <w:szCs w:val="17"/>
                <w:color w:val="auto"/>
              </w:rPr>
            </w:pPr>
          </w:p>
        </w:tc>
        <w:tc>
          <w:tcPr>
            <w:tcW w:w="7000" w:type="dxa"/>
            <w:vAlign w:val="bottom"/>
            <w:tcBorders>
              <w:bottom w:val="single" w:sz="8" w:color="auto"/>
            </w:tcBorders>
            <w:shd w:val="clear" w:color="auto" w:fill="43C0B9"/>
          </w:tcPr>
          <w:p>
            <w:pPr>
              <w:ind w:left="780"/>
              <w:spacing w:after="0"/>
              <w:rPr>
                <w:sz w:val="20"/>
                <w:szCs w:val="20"/>
                <w:color w:val="auto"/>
              </w:rPr>
            </w:pPr>
            <w:r>
              <w:rPr>
                <w:rFonts w:ascii="Arial" w:cs="Arial" w:eastAsia="Arial" w:hAnsi="Arial"/>
                <w:sz w:val="14"/>
                <w:szCs w:val="14"/>
                <w:color w:val="auto"/>
              </w:rPr>
              <w:t>Retained earnings</w:t>
            </w:r>
          </w:p>
        </w:tc>
        <w:tc>
          <w:tcPr>
            <w:tcW w:w="760" w:type="dxa"/>
            <w:vAlign w:val="bottom"/>
            <w:tcBorders>
              <w:bottom w:val="single" w:sz="8" w:color="auto"/>
            </w:tcBorders>
            <w:shd w:val="clear" w:color="auto" w:fill="43C0B9"/>
          </w:tcPr>
          <w:p>
            <w:pPr>
              <w:spacing w:after="0"/>
              <w:rPr>
                <w:sz w:val="17"/>
                <w:szCs w:val="17"/>
                <w:color w:val="auto"/>
              </w:rPr>
            </w:pPr>
          </w:p>
        </w:tc>
        <w:tc>
          <w:tcPr>
            <w:tcW w:w="136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279.2</w:t>
            </w:r>
          </w:p>
        </w:tc>
        <w:tc>
          <w:tcPr>
            <w:tcW w:w="1320" w:type="dxa"/>
            <w:vAlign w:val="bottom"/>
            <w:tcBorders>
              <w:bottom w:val="single" w:sz="8" w:color="auto"/>
            </w:tcBorders>
            <w:shd w:val="clear" w:color="auto" w:fill="43C0B9"/>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Total shareholders' equity</w:t>
            </w:r>
          </w:p>
        </w:tc>
        <w:tc>
          <w:tcPr>
            <w:tcW w:w="7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503.7</w:t>
            </w:r>
          </w:p>
        </w:tc>
        <w:tc>
          <w:tcPr>
            <w:tcW w:w="1320" w:type="dxa"/>
            <w:vAlign w:val="bottom"/>
            <w:tcBorders>
              <w:bottom w:val="single" w:sz="8" w:color="auto"/>
            </w:tcBorders>
          </w:tcPr>
          <w:p>
            <w:pPr>
              <w:spacing w:after="0"/>
              <w:rPr>
                <w:sz w:val="17"/>
                <w:szCs w:val="17"/>
                <w:color w:val="auto"/>
              </w:rPr>
            </w:pPr>
          </w:p>
        </w:tc>
      </w:tr>
      <w:tr>
        <w:trPr>
          <w:trHeight w:val="199"/>
        </w:trPr>
        <w:tc>
          <w:tcPr>
            <w:tcW w:w="620" w:type="dxa"/>
            <w:vAlign w:val="bottom"/>
          </w:tcPr>
          <w:p>
            <w:pPr>
              <w:spacing w:after="0"/>
              <w:rPr>
                <w:sz w:val="17"/>
                <w:szCs w:val="17"/>
                <w:color w:val="auto"/>
              </w:rPr>
            </w:pPr>
          </w:p>
        </w:tc>
        <w:tc>
          <w:tcPr>
            <w:tcW w:w="280" w:type="dxa"/>
            <w:vAlign w:val="bottom"/>
            <w:tcBorders>
              <w:bottom w:val="single" w:sz="8" w:color="auto"/>
            </w:tcBorders>
            <w:shd w:val="clear" w:color="auto" w:fill="43C0B9"/>
          </w:tcPr>
          <w:p>
            <w:pPr>
              <w:spacing w:after="0"/>
              <w:rPr>
                <w:sz w:val="17"/>
                <w:szCs w:val="17"/>
                <w:color w:val="auto"/>
              </w:rPr>
            </w:pPr>
          </w:p>
        </w:tc>
        <w:tc>
          <w:tcPr>
            <w:tcW w:w="7000" w:type="dxa"/>
            <w:vAlign w:val="bottom"/>
            <w:tcBorders>
              <w:bottom w:val="single" w:sz="8" w:color="auto"/>
            </w:tcBorders>
            <w:shd w:val="clear" w:color="auto" w:fill="43C0B9"/>
          </w:tcPr>
          <w:p>
            <w:pPr>
              <w:ind w:left="360"/>
              <w:spacing w:after="0"/>
              <w:rPr>
                <w:sz w:val="20"/>
                <w:szCs w:val="20"/>
                <w:color w:val="auto"/>
              </w:rPr>
            </w:pPr>
            <w:r>
              <w:rPr>
                <w:rFonts w:ascii="Arial" w:cs="Arial" w:eastAsia="Arial" w:hAnsi="Arial"/>
                <w:sz w:val="14"/>
                <w:szCs w:val="14"/>
                <w:color w:val="auto"/>
              </w:rPr>
              <w:t>Total liabilities and shareholders' equity</w:t>
            </w:r>
          </w:p>
        </w:tc>
        <w:tc>
          <w:tcPr>
            <w:tcW w:w="760" w:type="dxa"/>
            <w:vAlign w:val="bottom"/>
            <w:tcBorders>
              <w:bottom w:val="single" w:sz="8" w:color="auto"/>
            </w:tcBorders>
            <w:shd w:val="clear" w:color="auto" w:fill="43C0B9"/>
          </w:tcPr>
          <w:p>
            <w:pPr>
              <w:jc w:val="right"/>
              <w:ind w:right="33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821.4</w:t>
            </w:r>
          </w:p>
        </w:tc>
        <w:tc>
          <w:tcPr>
            <w:tcW w:w="1320" w:type="dxa"/>
            <w:vAlign w:val="bottom"/>
            <w:tcBorders>
              <w:bottom w:val="single" w:sz="8" w:color="auto"/>
            </w:tcBorders>
            <w:shd w:val="clear" w:color="auto" w:fill="43C0B9"/>
          </w:tcPr>
          <w:p>
            <w:pPr>
              <w:jc w:val="right"/>
              <w:ind w:right="811"/>
              <w:spacing w:after="0"/>
              <w:rPr>
                <w:sz w:val="20"/>
                <w:szCs w:val="20"/>
                <w:color w:val="auto"/>
              </w:rPr>
            </w:pPr>
            <w:r>
              <w:rPr>
                <w:rFonts w:ascii="Arial" w:cs="Arial" w:eastAsia="Arial" w:hAnsi="Arial"/>
                <w:sz w:val="14"/>
                <w:szCs w:val="14"/>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33"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9"/>
          <w:szCs w:val="19"/>
          <w:b w:val="1"/>
          <w:bCs w:val="1"/>
          <w:color w:val="232F84"/>
        </w:rPr>
        <w:t>MISSION PRODUCE, INC.</w:t>
      </w:r>
    </w:p>
    <w:p>
      <w:pPr>
        <w:spacing w:after="0" w:line="5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232F84"/>
        </w:rPr>
        <w:t>CONDENSED CONSOLIDATED STATEMENTS OF COMPREHENSIVE INCOME (UNAUDITED)</w:t>
      </w:r>
    </w:p>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169"/>
        </w:trPr>
        <w:tc>
          <w:tcPr>
            <w:tcW w:w="3080" w:type="dxa"/>
            <w:vAlign w:val="bottom"/>
            <w:shd w:val="clear" w:color="auto" w:fill="232F84"/>
          </w:tcPr>
          <w:p>
            <w:pPr>
              <w:spacing w:after="0"/>
              <w:rPr>
                <w:sz w:val="14"/>
                <w:szCs w:val="14"/>
                <w:color w:val="auto"/>
              </w:rPr>
            </w:pPr>
          </w:p>
        </w:tc>
        <w:tc>
          <w:tcPr>
            <w:tcW w:w="1140" w:type="dxa"/>
            <w:vAlign w:val="bottom"/>
            <w:shd w:val="clear" w:color="auto" w:fill="232F84"/>
          </w:tcPr>
          <w:p>
            <w:pPr>
              <w:spacing w:after="0"/>
              <w:rPr>
                <w:sz w:val="14"/>
                <w:szCs w:val="14"/>
                <w:color w:val="auto"/>
              </w:rPr>
            </w:pPr>
          </w:p>
        </w:tc>
        <w:tc>
          <w:tcPr>
            <w:tcW w:w="2180" w:type="dxa"/>
            <w:vAlign w:val="bottom"/>
            <w:gridSpan w:val="2"/>
            <w:shd w:val="clear" w:color="auto" w:fill="232F84"/>
          </w:tcPr>
          <w:p>
            <w:pPr>
              <w:jc w:val="right"/>
              <w:ind w:right="251"/>
              <w:spacing w:after="0"/>
              <w:rPr>
                <w:sz w:val="20"/>
                <w:szCs w:val="20"/>
                <w:color w:val="auto"/>
              </w:rPr>
            </w:pPr>
            <w:r>
              <w:rPr>
                <w:rFonts w:ascii="Arial" w:cs="Arial" w:eastAsia="Arial" w:hAnsi="Arial"/>
                <w:sz w:val="14"/>
                <w:szCs w:val="14"/>
                <w:b w:val="1"/>
                <w:bCs w:val="1"/>
                <w:color w:val="FFFFFF"/>
              </w:rPr>
              <w:t>Three Months Ended</w:t>
            </w:r>
          </w:p>
        </w:tc>
        <w:tc>
          <w:tcPr>
            <w:tcW w:w="800" w:type="dxa"/>
            <w:vAlign w:val="bottom"/>
            <w:shd w:val="clear" w:color="auto" w:fill="232F84"/>
          </w:tcPr>
          <w:p>
            <w:pPr>
              <w:spacing w:after="0"/>
              <w:rPr>
                <w:sz w:val="14"/>
                <w:szCs w:val="14"/>
                <w:color w:val="auto"/>
              </w:rPr>
            </w:pPr>
          </w:p>
        </w:tc>
        <w:tc>
          <w:tcPr>
            <w:tcW w:w="1140" w:type="dxa"/>
            <w:vAlign w:val="bottom"/>
            <w:shd w:val="clear" w:color="auto" w:fill="232F84"/>
          </w:tcPr>
          <w:p>
            <w:pPr>
              <w:spacing w:after="0"/>
              <w:rPr>
                <w:sz w:val="14"/>
                <w:szCs w:val="14"/>
                <w:color w:val="auto"/>
              </w:rPr>
            </w:pPr>
          </w:p>
        </w:tc>
        <w:tc>
          <w:tcPr>
            <w:tcW w:w="2380" w:type="dxa"/>
            <w:vAlign w:val="bottom"/>
            <w:gridSpan w:val="2"/>
            <w:shd w:val="clear" w:color="auto" w:fill="232F84"/>
          </w:tcPr>
          <w:p>
            <w:pPr>
              <w:jc w:val="right"/>
              <w:ind w:right="471"/>
              <w:spacing w:after="0"/>
              <w:rPr>
                <w:sz w:val="20"/>
                <w:szCs w:val="20"/>
                <w:color w:val="auto"/>
              </w:rPr>
            </w:pPr>
            <w:r>
              <w:rPr>
                <w:rFonts w:ascii="Arial" w:cs="Arial" w:eastAsia="Arial" w:hAnsi="Arial"/>
                <w:sz w:val="14"/>
                <w:szCs w:val="14"/>
                <w:b w:val="1"/>
                <w:bCs w:val="1"/>
                <w:color w:val="FFFFFF"/>
              </w:rPr>
              <w:t>Nine Months Ended</w:t>
            </w:r>
          </w:p>
        </w:tc>
        <w:tc>
          <w:tcPr>
            <w:tcW w:w="0" w:type="dxa"/>
            <w:vAlign w:val="bottom"/>
          </w:tcPr>
          <w:p>
            <w:pPr>
              <w:spacing w:after="0"/>
              <w:rPr>
                <w:sz w:val="1"/>
                <w:szCs w:val="1"/>
                <w:color w:val="auto"/>
              </w:rPr>
            </w:pPr>
          </w:p>
        </w:tc>
      </w:tr>
      <w:tr>
        <w:trPr>
          <w:trHeight w:val="180"/>
        </w:trPr>
        <w:tc>
          <w:tcPr>
            <w:tcW w:w="3080" w:type="dxa"/>
            <w:vAlign w:val="bottom"/>
            <w:shd w:val="clear" w:color="auto" w:fill="232F84"/>
          </w:tcPr>
          <w:p>
            <w:pPr>
              <w:spacing w:after="0"/>
              <w:rPr>
                <w:sz w:val="15"/>
                <w:szCs w:val="15"/>
                <w:color w:val="auto"/>
              </w:rPr>
            </w:pPr>
          </w:p>
        </w:tc>
        <w:tc>
          <w:tcPr>
            <w:tcW w:w="1140" w:type="dxa"/>
            <w:vAlign w:val="bottom"/>
            <w:shd w:val="clear" w:color="auto" w:fill="232F84"/>
          </w:tcPr>
          <w:p>
            <w:pPr>
              <w:spacing w:after="0"/>
              <w:rPr>
                <w:sz w:val="15"/>
                <w:szCs w:val="15"/>
                <w:color w:val="auto"/>
              </w:rPr>
            </w:pPr>
          </w:p>
        </w:tc>
        <w:tc>
          <w:tcPr>
            <w:tcW w:w="1340" w:type="dxa"/>
            <w:vAlign w:val="bottom"/>
            <w:shd w:val="clear" w:color="auto" w:fill="232F84"/>
          </w:tcPr>
          <w:p>
            <w:pPr>
              <w:jc w:val="right"/>
              <w:ind w:right="131"/>
              <w:spacing w:after="0"/>
              <w:rPr>
                <w:sz w:val="20"/>
                <w:szCs w:val="20"/>
                <w:color w:val="auto"/>
              </w:rPr>
            </w:pPr>
            <w:r>
              <w:rPr>
                <w:rFonts w:ascii="Arial" w:cs="Arial" w:eastAsia="Arial" w:hAnsi="Arial"/>
                <w:sz w:val="14"/>
                <w:szCs w:val="14"/>
                <w:b w:val="1"/>
                <w:bCs w:val="1"/>
                <w:color w:val="FFFFFF"/>
              </w:rPr>
              <w:t>July 31,</w:t>
            </w:r>
          </w:p>
        </w:tc>
        <w:tc>
          <w:tcPr>
            <w:tcW w:w="84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1140" w:type="dxa"/>
            <w:vAlign w:val="bottom"/>
            <w:shd w:val="clear" w:color="auto" w:fill="232F84"/>
          </w:tcPr>
          <w:p>
            <w:pPr>
              <w:spacing w:after="0"/>
              <w:rPr>
                <w:sz w:val="15"/>
                <w:szCs w:val="15"/>
                <w:color w:val="auto"/>
              </w:rPr>
            </w:pPr>
          </w:p>
        </w:tc>
        <w:tc>
          <w:tcPr>
            <w:tcW w:w="1360" w:type="dxa"/>
            <w:vAlign w:val="bottom"/>
            <w:shd w:val="clear" w:color="auto" w:fill="232F84"/>
          </w:tcPr>
          <w:p>
            <w:pPr>
              <w:jc w:val="right"/>
              <w:ind w:right="151"/>
              <w:spacing w:after="0"/>
              <w:rPr>
                <w:sz w:val="20"/>
                <w:szCs w:val="20"/>
                <w:color w:val="auto"/>
              </w:rPr>
            </w:pPr>
            <w:r>
              <w:rPr>
                <w:rFonts w:ascii="Arial" w:cs="Arial" w:eastAsia="Arial" w:hAnsi="Arial"/>
                <w:sz w:val="14"/>
                <w:szCs w:val="14"/>
                <w:b w:val="1"/>
                <w:bCs w:val="1"/>
                <w:color w:val="FFFFFF"/>
              </w:rPr>
              <w:t>July 31,</w:t>
            </w:r>
          </w:p>
        </w:tc>
        <w:tc>
          <w:tcPr>
            <w:tcW w:w="1020" w:type="dxa"/>
            <w:vAlign w:val="bottom"/>
            <w:shd w:val="clear" w:color="auto" w:fill="232F84"/>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80" w:type="dxa"/>
            <w:vAlign w:val="bottom"/>
            <w:vMerge w:val="restart"/>
            <w:shd w:val="clear" w:color="auto" w:fill="232F84"/>
          </w:tcPr>
          <w:p>
            <w:pPr>
              <w:ind w:left="640"/>
              <w:spacing w:after="0"/>
              <w:rPr>
                <w:sz w:val="20"/>
                <w:szCs w:val="20"/>
                <w:color w:val="auto"/>
              </w:rPr>
            </w:pPr>
            <w:r>
              <w:rPr>
                <w:rFonts w:ascii="Arial" w:cs="Arial" w:eastAsia="Arial" w:hAnsi="Arial"/>
                <w:sz w:val="14"/>
                <w:szCs w:val="14"/>
                <w:b w:val="1"/>
                <w:bCs w:val="1"/>
                <w:color w:val="FFFFFF"/>
              </w:rPr>
              <w:t>(In millions, except for per share</w:t>
            </w:r>
          </w:p>
        </w:tc>
        <w:tc>
          <w:tcPr>
            <w:tcW w:w="1140" w:type="dxa"/>
            <w:vAlign w:val="bottom"/>
            <w:shd w:val="clear" w:color="auto" w:fill="232F84"/>
          </w:tcPr>
          <w:p>
            <w:pPr>
              <w:spacing w:after="0"/>
              <w:rPr>
                <w:sz w:val="2"/>
                <w:szCs w:val="2"/>
                <w:color w:val="auto"/>
              </w:rPr>
            </w:pPr>
          </w:p>
        </w:tc>
        <w:tc>
          <w:tcPr>
            <w:tcW w:w="1340" w:type="dxa"/>
            <w:vAlign w:val="bottom"/>
            <w:shd w:val="clear" w:color="auto" w:fill="232F84"/>
          </w:tcPr>
          <w:p>
            <w:pPr>
              <w:spacing w:after="0"/>
              <w:rPr>
                <w:sz w:val="2"/>
                <w:szCs w:val="2"/>
                <w:color w:val="auto"/>
              </w:rPr>
            </w:pPr>
          </w:p>
        </w:tc>
        <w:tc>
          <w:tcPr>
            <w:tcW w:w="840" w:type="dxa"/>
            <w:vAlign w:val="bottom"/>
            <w:shd w:val="clear" w:color="auto" w:fill="232F84"/>
          </w:tcPr>
          <w:p>
            <w:pPr>
              <w:spacing w:after="0"/>
              <w:rPr>
                <w:sz w:val="2"/>
                <w:szCs w:val="2"/>
                <w:color w:val="auto"/>
              </w:rPr>
            </w:pPr>
          </w:p>
        </w:tc>
        <w:tc>
          <w:tcPr>
            <w:tcW w:w="800" w:type="dxa"/>
            <w:vAlign w:val="bottom"/>
            <w:shd w:val="clear" w:color="auto" w:fill="232F84"/>
          </w:tcPr>
          <w:p>
            <w:pPr>
              <w:spacing w:after="0"/>
              <w:rPr>
                <w:sz w:val="2"/>
                <w:szCs w:val="2"/>
                <w:color w:val="auto"/>
              </w:rPr>
            </w:pPr>
          </w:p>
        </w:tc>
        <w:tc>
          <w:tcPr>
            <w:tcW w:w="1140" w:type="dxa"/>
            <w:vAlign w:val="bottom"/>
            <w:shd w:val="clear" w:color="auto" w:fill="232F84"/>
          </w:tcPr>
          <w:p>
            <w:pPr>
              <w:spacing w:after="0"/>
              <w:rPr>
                <w:sz w:val="2"/>
                <w:szCs w:val="2"/>
                <w:color w:val="auto"/>
              </w:rPr>
            </w:pPr>
          </w:p>
        </w:tc>
        <w:tc>
          <w:tcPr>
            <w:tcW w:w="1360" w:type="dxa"/>
            <w:vAlign w:val="bottom"/>
            <w:shd w:val="clear" w:color="auto" w:fill="232F84"/>
          </w:tcPr>
          <w:p>
            <w:pPr>
              <w:spacing w:after="0"/>
              <w:rPr>
                <w:sz w:val="2"/>
                <w:szCs w:val="2"/>
                <w:color w:val="auto"/>
              </w:rPr>
            </w:pPr>
          </w:p>
        </w:tc>
        <w:tc>
          <w:tcPr>
            <w:tcW w:w="1020" w:type="dxa"/>
            <w:vAlign w:val="bottom"/>
            <w:shd w:val="clear" w:color="auto" w:fill="232F8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vMerge w:val="continue"/>
            <w:shd w:val="clear" w:color="auto" w:fill="232F84"/>
          </w:tcPr>
          <w:p>
            <w:pPr>
              <w:spacing w:after="0"/>
              <w:rPr>
                <w:sz w:val="13"/>
                <w:szCs w:val="13"/>
                <w:color w:val="auto"/>
              </w:rPr>
            </w:pPr>
          </w:p>
        </w:tc>
        <w:tc>
          <w:tcPr>
            <w:tcW w:w="1140" w:type="dxa"/>
            <w:vAlign w:val="bottom"/>
            <w:shd w:val="clear" w:color="auto" w:fill="232F84"/>
          </w:tcPr>
          <w:p>
            <w:pPr>
              <w:spacing w:after="0"/>
              <w:rPr>
                <w:sz w:val="13"/>
                <w:szCs w:val="13"/>
                <w:color w:val="auto"/>
              </w:rPr>
            </w:pPr>
          </w:p>
        </w:tc>
        <w:tc>
          <w:tcPr>
            <w:tcW w:w="1340" w:type="dxa"/>
            <w:vAlign w:val="bottom"/>
            <w:shd w:val="clear" w:color="auto" w:fill="232F84"/>
          </w:tcPr>
          <w:p>
            <w:pPr>
              <w:spacing w:after="0"/>
              <w:rPr>
                <w:sz w:val="13"/>
                <w:szCs w:val="13"/>
                <w:color w:val="auto"/>
              </w:rPr>
            </w:pPr>
          </w:p>
        </w:tc>
        <w:tc>
          <w:tcPr>
            <w:tcW w:w="840" w:type="dxa"/>
            <w:vAlign w:val="bottom"/>
            <w:shd w:val="clear" w:color="auto" w:fill="232F84"/>
          </w:tcPr>
          <w:p>
            <w:pPr>
              <w:spacing w:after="0"/>
              <w:rPr>
                <w:sz w:val="13"/>
                <w:szCs w:val="13"/>
                <w:color w:val="auto"/>
              </w:rPr>
            </w:pPr>
          </w:p>
        </w:tc>
        <w:tc>
          <w:tcPr>
            <w:tcW w:w="800" w:type="dxa"/>
            <w:vAlign w:val="bottom"/>
            <w:shd w:val="clear" w:color="auto" w:fill="232F84"/>
          </w:tcPr>
          <w:p>
            <w:pPr>
              <w:spacing w:after="0"/>
              <w:rPr>
                <w:sz w:val="13"/>
                <w:szCs w:val="13"/>
                <w:color w:val="auto"/>
              </w:rPr>
            </w:pPr>
          </w:p>
        </w:tc>
        <w:tc>
          <w:tcPr>
            <w:tcW w:w="1140" w:type="dxa"/>
            <w:vAlign w:val="bottom"/>
            <w:shd w:val="clear" w:color="auto" w:fill="232F84"/>
          </w:tcPr>
          <w:p>
            <w:pPr>
              <w:spacing w:after="0"/>
              <w:rPr>
                <w:sz w:val="13"/>
                <w:szCs w:val="13"/>
                <w:color w:val="auto"/>
              </w:rPr>
            </w:pPr>
          </w:p>
        </w:tc>
        <w:tc>
          <w:tcPr>
            <w:tcW w:w="1360" w:type="dxa"/>
            <w:vAlign w:val="bottom"/>
            <w:shd w:val="clear" w:color="auto" w:fill="232F84"/>
          </w:tcPr>
          <w:p>
            <w:pPr>
              <w:spacing w:after="0"/>
              <w:rPr>
                <w:sz w:val="13"/>
                <w:szCs w:val="13"/>
                <w:color w:val="auto"/>
              </w:rPr>
            </w:pPr>
          </w:p>
        </w:tc>
        <w:tc>
          <w:tcPr>
            <w:tcW w:w="1020" w:type="dxa"/>
            <w:vAlign w:val="bottom"/>
            <w:shd w:val="clear" w:color="auto" w:fill="232F84"/>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amounts)</w:t>
            </w:r>
          </w:p>
        </w:tc>
        <w:tc>
          <w:tcPr>
            <w:tcW w:w="1140" w:type="dxa"/>
            <w:vAlign w:val="bottom"/>
            <w:shd w:val="clear" w:color="auto" w:fill="232F84"/>
          </w:tcPr>
          <w:p>
            <w:pPr>
              <w:spacing w:after="0"/>
              <w:rPr>
                <w:sz w:val="16"/>
                <w:szCs w:val="16"/>
                <w:color w:val="auto"/>
              </w:rPr>
            </w:pPr>
          </w:p>
        </w:tc>
        <w:tc>
          <w:tcPr>
            <w:tcW w:w="1340" w:type="dxa"/>
            <w:vAlign w:val="bottom"/>
            <w:shd w:val="clear" w:color="auto" w:fill="232F84"/>
          </w:tcPr>
          <w:p>
            <w:pPr>
              <w:jc w:val="right"/>
              <w:ind w:right="551"/>
              <w:spacing w:after="0"/>
              <w:rPr>
                <w:sz w:val="20"/>
                <w:szCs w:val="20"/>
                <w:color w:val="auto"/>
              </w:rPr>
            </w:pPr>
            <w:r>
              <w:rPr>
                <w:rFonts w:ascii="Arial" w:cs="Arial" w:eastAsia="Arial" w:hAnsi="Arial"/>
                <w:sz w:val="14"/>
                <w:szCs w:val="14"/>
                <w:b w:val="1"/>
                <w:bCs w:val="1"/>
                <w:color w:val="FFFFFF"/>
              </w:rPr>
              <w:t>2021</w:t>
            </w:r>
          </w:p>
        </w:tc>
        <w:tc>
          <w:tcPr>
            <w:tcW w:w="840" w:type="dxa"/>
            <w:vAlign w:val="bottom"/>
            <w:shd w:val="clear" w:color="auto" w:fill="232F84"/>
          </w:tcPr>
          <w:p>
            <w:pPr>
              <w:spacing w:after="0"/>
              <w:rPr>
                <w:sz w:val="16"/>
                <w:szCs w:val="16"/>
                <w:color w:val="auto"/>
              </w:rPr>
            </w:pPr>
          </w:p>
        </w:tc>
        <w:tc>
          <w:tcPr>
            <w:tcW w:w="800" w:type="dxa"/>
            <w:vAlign w:val="bottom"/>
            <w:shd w:val="clear" w:color="auto" w:fill="232F84"/>
          </w:tcPr>
          <w:p>
            <w:pPr>
              <w:jc w:val="right"/>
              <w:ind w:right="131"/>
              <w:spacing w:after="0"/>
              <w:rPr>
                <w:sz w:val="20"/>
                <w:szCs w:val="20"/>
                <w:color w:val="auto"/>
              </w:rPr>
            </w:pPr>
            <w:r>
              <w:rPr>
                <w:rFonts w:ascii="Arial" w:cs="Arial" w:eastAsia="Arial" w:hAnsi="Arial"/>
                <w:sz w:val="14"/>
                <w:szCs w:val="14"/>
                <w:b w:val="1"/>
                <w:bCs w:val="1"/>
                <w:color w:val="FFFFFF"/>
              </w:rPr>
              <w:t>2020</w:t>
            </w:r>
          </w:p>
        </w:tc>
        <w:tc>
          <w:tcPr>
            <w:tcW w:w="1140" w:type="dxa"/>
            <w:vAlign w:val="bottom"/>
            <w:shd w:val="clear" w:color="auto" w:fill="232F84"/>
          </w:tcPr>
          <w:p>
            <w:pPr>
              <w:spacing w:after="0"/>
              <w:rPr>
                <w:sz w:val="16"/>
                <w:szCs w:val="16"/>
                <w:color w:val="auto"/>
              </w:rPr>
            </w:pPr>
          </w:p>
        </w:tc>
        <w:tc>
          <w:tcPr>
            <w:tcW w:w="1360" w:type="dxa"/>
            <w:vAlign w:val="bottom"/>
            <w:shd w:val="clear" w:color="auto" w:fill="232F84"/>
          </w:tcPr>
          <w:p>
            <w:pPr>
              <w:jc w:val="right"/>
              <w:ind w:right="571"/>
              <w:spacing w:after="0"/>
              <w:rPr>
                <w:sz w:val="20"/>
                <w:szCs w:val="20"/>
                <w:color w:val="auto"/>
              </w:rPr>
            </w:pPr>
            <w:r>
              <w:rPr>
                <w:rFonts w:ascii="Arial" w:cs="Arial" w:eastAsia="Arial" w:hAnsi="Arial"/>
                <w:sz w:val="14"/>
                <w:szCs w:val="14"/>
                <w:b w:val="1"/>
                <w:bCs w:val="1"/>
                <w:color w:val="FFFFFF"/>
              </w:rPr>
              <w:t>2021</w:t>
            </w:r>
          </w:p>
        </w:tc>
        <w:tc>
          <w:tcPr>
            <w:tcW w:w="1020" w:type="dxa"/>
            <w:vAlign w:val="bottom"/>
            <w:shd w:val="clear" w:color="auto" w:fill="232F84"/>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Net sales</w:t>
            </w:r>
          </w:p>
        </w:tc>
        <w:tc>
          <w:tcPr>
            <w:tcW w:w="114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3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246.8</w:t>
            </w:r>
          </w:p>
        </w:tc>
        <w:tc>
          <w:tcPr>
            <w:tcW w:w="840" w:type="dxa"/>
            <w:vAlign w:val="bottom"/>
            <w:shd w:val="clear" w:color="auto" w:fill="43C0B9"/>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236.4</w:t>
            </w:r>
          </w:p>
        </w:tc>
        <w:tc>
          <w:tcPr>
            <w:tcW w:w="114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511"/>
              <w:spacing w:after="0"/>
              <w:rPr>
                <w:sz w:val="20"/>
                <w:szCs w:val="20"/>
                <w:color w:val="auto"/>
              </w:rPr>
            </w:pPr>
            <w:r>
              <w:rPr>
                <w:rFonts w:ascii="Arial" w:cs="Arial" w:eastAsia="Arial" w:hAnsi="Arial"/>
                <w:sz w:val="14"/>
                <w:szCs w:val="14"/>
                <w:color w:val="auto"/>
              </w:rPr>
              <w:t>654.7</w:t>
            </w:r>
          </w:p>
        </w:tc>
        <w:tc>
          <w:tcPr>
            <w:tcW w:w="1020" w:type="dxa"/>
            <w:vAlign w:val="bottom"/>
            <w:shd w:val="clear" w:color="auto" w:fill="43C0B9"/>
          </w:tcPr>
          <w:p>
            <w:pPr>
              <w:jc w:val="right"/>
              <w:ind w:right="6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0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Cost of sales</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205.9</w:t>
            </w: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192.2</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564.0</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Gross profit</w:t>
            </w:r>
          </w:p>
        </w:tc>
        <w:tc>
          <w:tcPr>
            <w:tcW w:w="1140" w:type="dxa"/>
            <w:vAlign w:val="bottom"/>
            <w:shd w:val="clear" w:color="auto" w:fill="43C0B9"/>
          </w:tcPr>
          <w:p>
            <w:pPr>
              <w:spacing w:after="0"/>
              <w:rPr>
                <w:sz w:val="17"/>
                <w:szCs w:val="17"/>
                <w:color w:val="auto"/>
              </w:rPr>
            </w:pPr>
          </w:p>
        </w:tc>
        <w:tc>
          <w:tcPr>
            <w:tcW w:w="13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40.9</w:t>
            </w:r>
          </w:p>
        </w:tc>
        <w:tc>
          <w:tcPr>
            <w:tcW w:w="840" w:type="dxa"/>
            <w:vAlign w:val="bottom"/>
            <w:shd w:val="clear" w:color="auto" w:fill="43C0B9"/>
          </w:tcPr>
          <w:p>
            <w:pPr>
              <w:spacing w:after="0"/>
              <w:rPr>
                <w:sz w:val="17"/>
                <w:szCs w:val="17"/>
                <w:color w:val="auto"/>
              </w:rPr>
            </w:pPr>
          </w:p>
        </w:tc>
        <w:tc>
          <w:tcPr>
            <w:tcW w:w="80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44.2</w:t>
            </w:r>
          </w:p>
        </w:tc>
        <w:tc>
          <w:tcPr>
            <w:tcW w:w="1140" w:type="dxa"/>
            <w:vAlign w:val="bottom"/>
            <w:shd w:val="clear" w:color="auto" w:fill="43C0B9"/>
          </w:tcPr>
          <w:p>
            <w:pPr>
              <w:spacing w:after="0"/>
              <w:rPr>
                <w:sz w:val="17"/>
                <w:szCs w:val="17"/>
                <w:color w:val="auto"/>
              </w:rPr>
            </w:pPr>
          </w:p>
        </w:tc>
        <w:tc>
          <w:tcPr>
            <w:tcW w:w="1360" w:type="dxa"/>
            <w:vAlign w:val="bottom"/>
            <w:shd w:val="clear" w:color="auto" w:fill="43C0B9"/>
          </w:tcPr>
          <w:p>
            <w:pPr>
              <w:jc w:val="right"/>
              <w:ind w:right="511"/>
              <w:spacing w:after="0"/>
              <w:rPr>
                <w:sz w:val="20"/>
                <w:szCs w:val="20"/>
                <w:color w:val="auto"/>
              </w:rPr>
            </w:pPr>
            <w:r>
              <w:rPr>
                <w:rFonts w:ascii="Arial" w:cs="Arial" w:eastAsia="Arial" w:hAnsi="Arial"/>
                <w:sz w:val="14"/>
                <w:szCs w:val="14"/>
                <w:color w:val="auto"/>
              </w:rPr>
              <w:t>90.7</w:t>
            </w:r>
          </w:p>
        </w:tc>
        <w:tc>
          <w:tcPr>
            <w:tcW w:w="1020" w:type="dxa"/>
            <w:vAlign w:val="bottom"/>
            <w:shd w:val="clear" w:color="auto" w:fill="43C0B9"/>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080" w:type="dxa"/>
            <w:vAlign w:val="bottom"/>
          </w:tcPr>
          <w:p>
            <w:pPr>
              <w:ind w:left="640"/>
              <w:spacing w:after="0"/>
              <w:rPr>
                <w:sz w:val="20"/>
                <w:szCs w:val="20"/>
                <w:color w:val="auto"/>
              </w:rPr>
            </w:pPr>
            <w:r>
              <w:rPr>
                <w:rFonts w:ascii="Arial" w:cs="Arial" w:eastAsia="Arial" w:hAnsi="Arial"/>
                <w:sz w:val="14"/>
                <w:szCs w:val="14"/>
                <w:color w:val="auto"/>
              </w:rPr>
              <w:t>Selling, general and administrative</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expenses</w:t>
            </w:r>
          </w:p>
        </w:tc>
        <w:tc>
          <w:tcPr>
            <w:tcW w:w="1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17.2</w:t>
            </w:r>
          </w:p>
        </w:tc>
        <w:tc>
          <w:tcPr>
            <w:tcW w:w="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13.5</w:t>
            </w:r>
          </w:p>
        </w:tc>
        <w:tc>
          <w:tcPr>
            <w:tcW w:w="1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48.1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Operating income</w:t>
            </w:r>
          </w:p>
        </w:tc>
        <w:tc>
          <w:tcPr>
            <w:tcW w:w="1140" w:type="dxa"/>
            <w:vAlign w:val="bottom"/>
            <w:shd w:val="clear" w:color="auto" w:fill="43C0B9"/>
          </w:tcPr>
          <w:p>
            <w:pPr>
              <w:spacing w:after="0"/>
              <w:rPr>
                <w:sz w:val="17"/>
                <w:szCs w:val="17"/>
                <w:color w:val="auto"/>
              </w:rPr>
            </w:pPr>
          </w:p>
        </w:tc>
        <w:tc>
          <w:tcPr>
            <w:tcW w:w="13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23.7</w:t>
            </w:r>
          </w:p>
        </w:tc>
        <w:tc>
          <w:tcPr>
            <w:tcW w:w="840" w:type="dxa"/>
            <w:vAlign w:val="bottom"/>
            <w:shd w:val="clear" w:color="auto" w:fill="43C0B9"/>
          </w:tcPr>
          <w:p>
            <w:pPr>
              <w:spacing w:after="0"/>
              <w:rPr>
                <w:sz w:val="17"/>
                <w:szCs w:val="17"/>
                <w:color w:val="auto"/>
              </w:rPr>
            </w:pPr>
          </w:p>
        </w:tc>
        <w:tc>
          <w:tcPr>
            <w:tcW w:w="80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30.7</w:t>
            </w:r>
          </w:p>
        </w:tc>
        <w:tc>
          <w:tcPr>
            <w:tcW w:w="1140" w:type="dxa"/>
            <w:vAlign w:val="bottom"/>
            <w:shd w:val="clear" w:color="auto" w:fill="43C0B9"/>
          </w:tcPr>
          <w:p>
            <w:pPr>
              <w:spacing w:after="0"/>
              <w:rPr>
                <w:sz w:val="17"/>
                <w:szCs w:val="17"/>
                <w:color w:val="auto"/>
              </w:rPr>
            </w:pPr>
          </w:p>
        </w:tc>
        <w:tc>
          <w:tcPr>
            <w:tcW w:w="1360" w:type="dxa"/>
            <w:vAlign w:val="bottom"/>
            <w:shd w:val="clear" w:color="auto" w:fill="43C0B9"/>
          </w:tcPr>
          <w:p>
            <w:pPr>
              <w:jc w:val="right"/>
              <w:ind w:right="511"/>
              <w:spacing w:after="0"/>
              <w:rPr>
                <w:sz w:val="20"/>
                <w:szCs w:val="20"/>
                <w:color w:val="auto"/>
              </w:rPr>
            </w:pPr>
            <w:r>
              <w:rPr>
                <w:rFonts w:ascii="Arial" w:cs="Arial" w:eastAsia="Arial" w:hAnsi="Arial"/>
                <w:sz w:val="14"/>
                <w:szCs w:val="14"/>
                <w:color w:val="auto"/>
              </w:rPr>
              <w:t>42.6</w:t>
            </w:r>
          </w:p>
        </w:tc>
        <w:tc>
          <w:tcPr>
            <w:tcW w:w="1020" w:type="dxa"/>
            <w:vAlign w:val="bottom"/>
            <w:shd w:val="clear" w:color="auto" w:fill="43C0B9"/>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Pr>
          <w:p>
            <w:pPr>
              <w:ind w:left="640"/>
              <w:spacing w:after="0"/>
              <w:rPr>
                <w:sz w:val="20"/>
                <w:szCs w:val="20"/>
                <w:color w:val="auto"/>
              </w:rPr>
            </w:pPr>
            <w:r>
              <w:rPr>
                <w:rFonts w:ascii="Arial" w:cs="Arial" w:eastAsia="Arial" w:hAnsi="Arial"/>
                <w:sz w:val="14"/>
                <w:szCs w:val="14"/>
                <w:color w:val="auto"/>
              </w:rPr>
              <w:t>Interest expense</w:t>
            </w:r>
          </w:p>
        </w:tc>
        <w:tc>
          <w:tcPr>
            <w:tcW w:w="1140" w:type="dxa"/>
            <w:vAlign w:val="bottom"/>
          </w:tcPr>
          <w:p>
            <w:pPr>
              <w:spacing w:after="0"/>
              <w:rPr>
                <w:sz w:val="17"/>
                <w:szCs w:val="17"/>
                <w:color w:val="auto"/>
              </w:rPr>
            </w:pPr>
          </w:p>
        </w:tc>
        <w:tc>
          <w:tcPr>
            <w:tcW w:w="1340" w:type="dxa"/>
            <w:vAlign w:val="bottom"/>
          </w:tcPr>
          <w:p>
            <w:pPr>
              <w:jc w:val="right"/>
              <w:ind w:right="471"/>
              <w:spacing w:after="0"/>
              <w:rPr>
                <w:sz w:val="20"/>
                <w:szCs w:val="20"/>
                <w:color w:val="auto"/>
              </w:rPr>
            </w:pPr>
            <w:r>
              <w:rPr>
                <w:rFonts w:ascii="Arial" w:cs="Arial" w:eastAsia="Arial" w:hAnsi="Arial"/>
                <w:sz w:val="14"/>
                <w:szCs w:val="14"/>
                <w:color w:val="auto"/>
              </w:rPr>
              <w:t>(1.0)</w:t>
            </w:r>
          </w:p>
        </w:tc>
        <w:tc>
          <w:tcPr>
            <w:tcW w:w="84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(1.1)</w:t>
            </w:r>
          </w:p>
        </w:tc>
        <w:tc>
          <w:tcPr>
            <w:tcW w:w="1140" w:type="dxa"/>
            <w:vAlign w:val="bottom"/>
          </w:tcPr>
          <w:p>
            <w:pPr>
              <w:spacing w:after="0"/>
              <w:rPr>
                <w:sz w:val="17"/>
                <w:szCs w:val="17"/>
                <w:color w:val="auto"/>
              </w:rPr>
            </w:pPr>
          </w:p>
        </w:tc>
        <w:tc>
          <w:tcPr>
            <w:tcW w:w="1360" w:type="dxa"/>
            <w:vAlign w:val="bottom"/>
          </w:tcPr>
          <w:p>
            <w:pPr>
              <w:jc w:val="right"/>
              <w:ind w:right="471"/>
              <w:spacing w:after="0"/>
              <w:rPr>
                <w:sz w:val="20"/>
                <w:szCs w:val="20"/>
                <w:color w:val="auto"/>
              </w:rPr>
            </w:pPr>
            <w:r>
              <w:rPr>
                <w:rFonts w:ascii="Arial" w:cs="Arial" w:eastAsia="Arial" w:hAnsi="Arial"/>
                <w:sz w:val="14"/>
                <w:szCs w:val="14"/>
                <w:color w:val="auto"/>
              </w:rPr>
              <w:t>(2.7)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Equity method income</w:t>
            </w:r>
          </w:p>
        </w:tc>
        <w:tc>
          <w:tcPr>
            <w:tcW w:w="1140" w:type="dxa"/>
            <w:vAlign w:val="bottom"/>
            <w:shd w:val="clear" w:color="auto" w:fill="43C0B9"/>
          </w:tcPr>
          <w:p>
            <w:pPr>
              <w:spacing w:after="0"/>
              <w:rPr>
                <w:sz w:val="18"/>
                <w:szCs w:val="18"/>
                <w:color w:val="auto"/>
              </w:rPr>
            </w:pPr>
          </w:p>
        </w:tc>
        <w:tc>
          <w:tcPr>
            <w:tcW w:w="13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2.1</w:t>
            </w:r>
          </w:p>
        </w:tc>
        <w:tc>
          <w:tcPr>
            <w:tcW w:w="8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1.2</w:t>
            </w:r>
          </w:p>
        </w:tc>
        <w:tc>
          <w:tcPr>
            <w:tcW w:w="114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511"/>
              <w:spacing w:after="0"/>
              <w:rPr>
                <w:sz w:val="20"/>
                <w:szCs w:val="20"/>
                <w:color w:val="auto"/>
              </w:rPr>
            </w:pPr>
            <w:r>
              <w:rPr>
                <w:rFonts w:ascii="Arial" w:cs="Arial" w:eastAsia="Arial" w:hAnsi="Arial"/>
                <w:sz w:val="14"/>
                <w:szCs w:val="14"/>
                <w:color w:val="auto"/>
              </w:rPr>
              <w:t>4.2</w:t>
            </w:r>
          </w:p>
        </w:tc>
        <w:tc>
          <w:tcPr>
            <w:tcW w:w="1020" w:type="dxa"/>
            <w:vAlign w:val="bottom"/>
            <w:shd w:val="clear" w:color="auto" w:fill="43C0B9"/>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080" w:type="dxa"/>
            <w:vAlign w:val="bottom"/>
          </w:tcPr>
          <w:p>
            <w:pPr>
              <w:ind w:left="640"/>
              <w:spacing w:after="0"/>
              <w:rPr>
                <w:sz w:val="20"/>
                <w:szCs w:val="20"/>
                <w:color w:val="auto"/>
              </w:rPr>
            </w:pPr>
            <w:r>
              <w:rPr>
                <w:rFonts w:ascii="Arial" w:cs="Arial" w:eastAsia="Arial" w:hAnsi="Arial"/>
                <w:sz w:val="14"/>
                <w:szCs w:val="14"/>
                <w:color w:val="auto"/>
              </w:rPr>
              <w:t>Impairment on equity method</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4"/>
                <w:szCs w:val="14"/>
                <w:color w:val="auto"/>
              </w:rPr>
              <w:t>investment</w:t>
            </w:r>
          </w:p>
        </w:tc>
        <w:tc>
          <w:tcPr>
            <w:tcW w:w="1140" w:type="dxa"/>
            <w:vAlign w:val="bottom"/>
          </w:tcPr>
          <w:p>
            <w:pPr>
              <w:spacing w:after="0"/>
              <w:rPr>
                <w:sz w:val="14"/>
                <w:szCs w:val="14"/>
                <w:color w:val="auto"/>
              </w:rPr>
            </w:pPr>
          </w:p>
        </w:tc>
        <w:tc>
          <w:tcPr>
            <w:tcW w:w="134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4"/>
                <w:szCs w:val="14"/>
                <w:color w:val="auto"/>
              </w:rPr>
            </w:pPr>
          </w:p>
        </w:tc>
        <w:tc>
          <w:tcPr>
            <w:tcW w:w="136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Other expense</w:t>
            </w:r>
          </w:p>
        </w:tc>
        <w:tc>
          <w:tcPr>
            <w:tcW w:w="1140" w:type="dxa"/>
            <w:vAlign w:val="bottom"/>
            <w:tcBorders>
              <w:bottom w:val="single" w:sz="8" w:color="auto"/>
            </w:tcBorders>
            <w:shd w:val="clear" w:color="auto" w:fill="43C0B9"/>
          </w:tcPr>
          <w:p>
            <w:pPr>
              <w:spacing w:after="0"/>
              <w:rPr>
                <w:sz w:val="17"/>
                <w:szCs w:val="17"/>
                <w:color w:val="auto"/>
              </w:rPr>
            </w:pPr>
          </w:p>
        </w:tc>
        <w:tc>
          <w:tcPr>
            <w:tcW w:w="1340" w:type="dxa"/>
            <w:vAlign w:val="bottom"/>
            <w:tcBorders>
              <w:bottom w:val="single" w:sz="8" w:color="auto"/>
            </w:tcBorders>
            <w:shd w:val="clear" w:color="auto" w:fill="43C0B9"/>
          </w:tcPr>
          <w:p>
            <w:pPr>
              <w:jc w:val="right"/>
              <w:ind w:right="471"/>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(1.2)</w:t>
            </w:r>
          </w:p>
        </w:tc>
        <w:tc>
          <w:tcPr>
            <w:tcW w:w="1140" w:type="dxa"/>
            <w:vAlign w:val="bottom"/>
            <w:tcBorders>
              <w:bottom w:val="single" w:sz="8" w:color="auto"/>
            </w:tcBorders>
            <w:shd w:val="clear" w:color="auto" w:fill="43C0B9"/>
          </w:tcPr>
          <w:p>
            <w:pPr>
              <w:spacing w:after="0"/>
              <w:rPr>
                <w:sz w:val="17"/>
                <w:szCs w:val="17"/>
                <w:color w:val="auto"/>
              </w:rPr>
            </w:pPr>
          </w:p>
        </w:tc>
        <w:tc>
          <w:tcPr>
            <w:tcW w:w="1360" w:type="dxa"/>
            <w:vAlign w:val="bottom"/>
            <w:tcBorders>
              <w:bottom w:val="single" w:sz="8" w:color="auto"/>
            </w:tcBorders>
            <w:shd w:val="clear" w:color="auto" w:fill="43C0B9"/>
          </w:tcPr>
          <w:p>
            <w:pPr>
              <w:jc w:val="right"/>
              <w:ind w:right="471"/>
              <w:spacing w:after="0"/>
              <w:rPr>
                <w:sz w:val="20"/>
                <w:szCs w:val="20"/>
                <w:color w:val="auto"/>
              </w:rPr>
            </w:pPr>
            <w:r>
              <w:rPr>
                <w:rFonts w:ascii="Arial" w:cs="Arial" w:eastAsia="Arial" w:hAnsi="Arial"/>
                <w:sz w:val="14"/>
                <w:szCs w:val="14"/>
                <w:color w:val="auto"/>
              </w:rPr>
              <w:t>(0.8)</w:t>
            </w:r>
          </w:p>
        </w:tc>
        <w:tc>
          <w:tcPr>
            <w:tcW w:w="1020" w:type="dxa"/>
            <w:vAlign w:val="bottom"/>
            <w:tcBorders>
              <w:bottom w:val="single" w:sz="8" w:color="auto"/>
            </w:tcBorders>
            <w:shd w:val="clear" w:color="auto" w:fill="43C0B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tcPr>
          <w:p>
            <w:pPr>
              <w:ind w:left="640"/>
              <w:spacing w:after="0"/>
              <w:rPr>
                <w:sz w:val="20"/>
                <w:szCs w:val="20"/>
                <w:color w:val="auto"/>
              </w:rPr>
            </w:pPr>
            <w:r>
              <w:rPr>
                <w:rFonts w:ascii="Arial" w:cs="Arial" w:eastAsia="Arial" w:hAnsi="Arial"/>
                <w:sz w:val="14"/>
                <w:szCs w:val="14"/>
                <w:color w:val="auto"/>
              </w:rPr>
              <w:t>Income before income taxes</w:t>
            </w:r>
          </w:p>
        </w:tc>
        <w:tc>
          <w:tcPr>
            <w:tcW w:w="1140" w:type="dxa"/>
            <w:vAlign w:val="bottom"/>
          </w:tcPr>
          <w:p>
            <w:pPr>
              <w:spacing w:after="0"/>
              <w:rPr>
                <w:sz w:val="17"/>
                <w:szCs w:val="17"/>
                <w:color w:val="auto"/>
              </w:rPr>
            </w:pPr>
          </w:p>
        </w:tc>
        <w:tc>
          <w:tcPr>
            <w:tcW w:w="1340" w:type="dxa"/>
            <w:vAlign w:val="bottom"/>
          </w:tcPr>
          <w:p>
            <w:pPr>
              <w:jc w:val="right"/>
              <w:ind w:right="491"/>
              <w:spacing w:after="0"/>
              <w:rPr>
                <w:sz w:val="20"/>
                <w:szCs w:val="20"/>
                <w:color w:val="auto"/>
              </w:rPr>
            </w:pPr>
            <w:r>
              <w:rPr>
                <w:rFonts w:ascii="Arial" w:cs="Arial" w:eastAsia="Arial" w:hAnsi="Arial"/>
                <w:sz w:val="14"/>
                <w:szCs w:val="14"/>
                <w:color w:val="auto"/>
              </w:rPr>
              <w:t>24.3</w:t>
            </w:r>
          </w:p>
        </w:tc>
        <w:tc>
          <w:tcPr>
            <w:tcW w:w="84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29.6</w:t>
            </w:r>
          </w:p>
        </w:tc>
        <w:tc>
          <w:tcPr>
            <w:tcW w:w="1140" w:type="dxa"/>
            <w:vAlign w:val="bottom"/>
          </w:tcPr>
          <w:p>
            <w:pPr>
              <w:spacing w:after="0"/>
              <w:rPr>
                <w:sz w:val="17"/>
                <w:szCs w:val="17"/>
                <w:color w:val="auto"/>
              </w:rPr>
            </w:pPr>
          </w:p>
        </w:tc>
        <w:tc>
          <w:tcPr>
            <w:tcW w:w="1360" w:type="dxa"/>
            <w:vAlign w:val="bottom"/>
          </w:tcPr>
          <w:p>
            <w:pPr>
              <w:jc w:val="right"/>
              <w:ind w:right="511"/>
              <w:spacing w:after="0"/>
              <w:rPr>
                <w:sz w:val="20"/>
                <w:szCs w:val="20"/>
                <w:color w:val="auto"/>
              </w:rPr>
            </w:pPr>
            <w:r>
              <w:rPr>
                <w:rFonts w:ascii="Arial" w:cs="Arial" w:eastAsia="Arial" w:hAnsi="Arial"/>
                <w:sz w:val="14"/>
                <w:szCs w:val="14"/>
                <w:color w:val="auto"/>
              </w:rPr>
              <w:t>43.3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shd w:val="clear" w:color="auto" w:fill="43C0B9"/>
          </w:tcPr>
          <w:p>
            <w:pPr>
              <w:spacing w:after="0"/>
              <w:rPr>
                <w:sz w:val="17"/>
                <w:szCs w:val="17"/>
                <w:color w:val="auto"/>
              </w:rPr>
            </w:pPr>
          </w:p>
        </w:tc>
        <w:tc>
          <w:tcPr>
            <w:tcW w:w="1340" w:type="dxa"/>
            <w:vAlign w:val="bottom"/>
            <w:tcBorders>
              <w:bottom w:val="single" w:sz="8" w:color="auto"/>
            </w:tcBorders>
            <w:shd w:val="clear" w:color="auto" w:fill="43C0B9"/>
          </w:tcPr>
          <w:p>
            <w:pPr>
              <w:jc w:val="right"/>
              <w:ind w:right="491"/>
              <w:spacing w:after="0"/>
              <w:rPr>
                <w:sz w:val="20"/>
                <w:szCs w:val="20"/>
                <w:color w:val="auto"/>
              </w:rPr>
            </w:pPr>
            <w:r>
              <w:rPr>
                <w:rFonts w:ascii="Arial" w:cs="Arial" w:eastAsia="Arial" w:hAnsi="Arial"/>
                <w:sz w:val="14"/>
                <w:szCs w:val="14"/>
                <w:color w:val="auto"/>
              </w:rPr>
              <w:t>5.9</w:t>
            </w:r>
          </w:p>
        </w:tc>
        <w:tc>
          <w:tcPr>
            <w:tcW w:w="84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ind w:right="71"/>
              <w:spacing w:after="0"/>
              <w:rPr>
                <w:sz w:val="20"/>
                <w:szCs w:val="20"/>
                <w:color w:val="auto"/>
              </w:rPr>
            </w:pPr>
            <w:r>
              <w:rPr>
                <w:rFonts w:ascii="Arial" w:cs="Arial" w:eastAsia="Arial" w:hAnsi="Arial"/>
                <w:sz w:val="14"/>
                <w:szCs w:val="14"/>
                <w:color w:val="auto"/>
              </w:rPr>
              <w:t>6.2</w:t>
            </w:r>
          </w:p>
        </w:tc>
        <w:tc>
          <w:tcPr>
            <w:tcW w:w="1140" w:type="dxa"/>
            <w:vAlign w:val="bottom"/>
            <w:tcBorders>
              <w:bottom w:val="single" w:sz="8" w:color="auto"/>
            </w:tcBorders>
            <w:shd w:val="clear" w:color="auto" w:fill="43C0B9"/>
          </w:tcPr>
          <w:p>
            <w:pPr>
              <w:spacing w:after="0"/>
              <w:rPr>
                <w:sz w:val="17"/>
                <w:szCs w:val="17"/>
                <w:color w:val="auto"/>
              </w:rPr>
            </w:pPr>
          </w:p>
        </w:tc>
        <w:tc>
          <w:tcPr>
            <w:tcW w:w="1360" w:type="dxa"/>
            <w:vAlign w:val="bottom"/>
            <w:tcBorders>
              <w:bottom w:val="single" w:sz="8" w:color="auto"/>
            </w:tcBorders>
            <w:shd w:val="clear" w:color="auto" w:fill="43C0B9"/>
          </w:tcPr>
          <w:p>
            <w:pPr>
              <w:jc w:val="right"/>
              <w:ind w:right="511"/>
              <w:spacing w:after="0"/>
              <w:rPr>
                <w:sz w:val="20"/>
                <w:szCs w:val="20"/>
                <w:color w:val="auto"/>
              </w:rPr>
            </w:pPr>
            <w:r>
              <w:rPr>
                <w:rFonts w:ascii="Arial" w:cs="Arial" w:eastAsia="Arial" w:hAnsi="Arial"/>
                <w:sz w:val="14"/>
                <w:szCs w:val="14"/>
                <w:color w:val="auto"/>
              </w:rPr>
              <w:t>15.3</w:t>
            </w:r>
          </w:p>
        </w:tc>
        <w:tc>
          <w:tcPr>
            <w:tcW w:w="1020" w:type="dxa"/>
            <w:vAlign w:val="bottom"/>
            <w:tcBorders>
              <w:bottom w:val="single" w:sz="8" w:color="auto"/>
            </w:tcBorders>
            <w:shd w:val="clear" w:color="auto" w:fill="43C0B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18.4</w:t>
            </w: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23.4</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28.0</w:t>
            </w:r>
          </w:p>
        </w:tc>
        <w:tc>
          <w:tcPr>
            <w:tcW w:w="10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80" w:type="dxa"/>
            <w:vAlign w:val="bottom"/>
            <w:shd w:val="clear" w:color="auto" w:fill="43C0B9"/>
          </w:tcPr>
          <w:p>
            <w:pPr>
              <w:spacing w:after="0"/>
              <w:rPr>
                <w:sz w:val="16"/>
                <w:szCs w:val="16"/>
                <w:color w:val="auto"/>
              </w:rPr>
            </w:pPr>
          </w:p>
        </w:tc>
        <w:tc>
          <w:tcPr>
            <w:tcW w:w="1140" w:type="dxa"/>
            <w:vAlign w:val="bottom"/>
            <w:shd w:val="clear" w:color="auto" w:fill="43C0B9"/>
          </w:tcPr>
          <w:p>
            <w:pPr>
              <w:spacing w:after="0"/>
              <w:rPr>
                <w:sz w:val="16"/>
                <w:szCs w:val="16"/>
                <w:color w:val="auto"/>
              </w:rPr>
            </w:pPr>
          </w:p>
        </w:tc>
        <w:tc>
          <w:tcPr>
            <w:tcW w:w="1340" w:type="dxa"/>
            <w:vAlign w:val="bottom"/>
            <w:shd w:val="clear" w:color="auto" w:fill="43C0B9"/>
          </w:tcPr>
          <w:p>
            <w:pPr>
              <w:spacing w:after="0"/>
              <w:rPr>
                <w:sz w:val="16"/>
                <w:szCs w:val="16"/>
                <w:color w:val="auto"/>
              </w:rPr>
            </w:pPr>
          </w:p>
        </w:tc>
        <w:tc>
          <w:tcPr>
            <w:tcW w:w="840" w:type="dxa"/>
            <w:vAlign w:val="bottom"/>
            <w:shd w:val="clear" w:color="auto" w:fill="43C0B9"/>
          </w:tcPr>
          <w:p>
            <w:pPr>
              <w:spacing w:after="0"/>
              <w:rPr>
                <w:sz w:val="16"/>
                <w:szCs w:val="16"/>
                <w:color w:val="auto"/>
              </w:rPr>
            </w:pPr>
          </w:p>
        </w:tc>
        <w:tc>
          <w:tcPr>
            <w:tcW w:w="800" w:type="dxa"/>
            <w:vAlign w:val="bottom"/>
            <w:shd w:val="clear" w:color="auto" w:fill="43C0B9"/>
          </w:tcPr>
          <w:p>
            <w:pPr>
              <w:spacing w:after="0"/>
              <w:rPr>
                <w:sz w:val="16"/>
                <w:szCs w:val="16"/>
                <w:color w:val="auto"/>
              </w:rPr>
            </w:pPr>
          </w:p>
        </w:tc>
        <w:tc>
          <w:tcPr>
            <w:tcW w:w="1140" w:type="dxa"/>
            <w:vAlign w:val="bottom"/>
            <w:shd w:val="clear" w:color="auto" w:fill="43C0B9"/>
          </w:tcPr>
          <w:p>
            <w:pPr>
              <w:spacing w:after="0"/>
              <w:rPr>
                <w:sz w:val="16"/>
                <w:szCs w:val="16"/>
                <w:color w:val="auto"/>
              </w:rPr>
            </w:pPr>
          </w:p>
        </w:tc>
        <w:tc>
          <w:tcPr>
            <w:tcW w:w="1360" w:type="dxa"/>
            <w:vAlign w:val="bottom"/>
            <w:shd w:val="clear" w:color="auto" w:fill="43C0B9"/>
          </w:tcPr>
          <w:p>
            <w:pPr>
              <w:spacing w:after="0"/>
              <w:rPr>
                <w:sz w:val="16"/>
                <w:szCs w:val="16"/>
                <w:color w:val="auto"/>
              </w:rPr>
            </w:pPr>
          </w:p>
        </w:tc>
        <w:tc>
          <w:tcPr>
            <w:tcW w:w="1020" w:type="dxa"/>
            <w:vAlign w:val="bottom"/>
            <w:shd w:val="clear" w:color="auto" w:fill="43C0B9"/>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80" w:type="dxa"/>
            <w:vAlign w:val="bottom"/>
          </w:tcPr>
          <w:p>
            <w:pPr>
              <w:ind w:left="640"/>
              <w:spacing w:after="0"/>
              <w:rPr>
                <w:sz w:val="20"/>
                <w:szCs w:val="20"/>
                <w:color w:val="auto"/>
              </w:rPr>
            </w:pPr>
            <w:r>
              <w:rPr>
                <w:rFonts w:ascii="Arial" w:cs="Arial" w:eastAsia="Arial" w:hAnsi="Arial"/>
                <w:sz w:val="14"/>
                <w:szCs w:val="14"/>
                <w:color w:val="auto"/>
              </w:rPr>
              <w:t>Net income per share:</w:t>
            </w: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shd w:val="clear" w:color="auto" w:fill="43C0B9"/>
          </w:tcPr>
          <w:p>
            <w:pPr>
              <w:ind w:left="940"/>
              <w:spacing w:after="0"/>
              <w:rPr>
                <w:sz w:val="20"/>
                <w:szCs w:val="20"/>
                <w:color w:val="auto"/>
              </w:rPr>
            </w:pPr>
            <w:r>
              <w:rPr>
                <w:rFonts w:ascii="Arial" w:cs="Arial" w:eastAsia="Arial" w:hAnsi="Arial"/>
                <w:sz w:val="14"/>
                <w:szCs w:val="14"/>
                <w:color w:val="auto"/>
              </w:rPr>
              <w:t>Basic</w:t>
            </w:r>
          </w:p>
        </w:tc>
        <w:tc>
          <w:tcPr>
            <w:tcW w:w="114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3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0.26</w:t>
            </w:r>
          </w:p>
        </w:tc>
        <w:tc>
          <w:tcPr>
            <w:tcW w:w="840" w:type="dxa"/>
            <w:vAlign w:val="bottom"/>
            <w:shd w:val="clear" w:color="auto" w:fill="43C0B9"/>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0.37</w:t>
            </w:r>
          </w:p>
        </w:tc>
        <w:tc>
          <w:tcPr>
            <w:tcW w:w="114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511"/>
              <w:spacing w:after="0"/>
              <w:rPr>
                <w:sz w:val="20"/>
                <w:szCs w:val="20"/>
                <w:color w:val="auto"/>
              </w:rPr>
            </w:pPr>
            <w:r>
              <w:rPr>
                <w:rFonts w:ascii="Arial" w:cs="Arial" w:eastAsia="Arial" w:hAnsi="Arial"/>
                <w:sz w:val="14"/>
                <w:szCs w:val="14"/>
                <w:color w:val="auto"/>
              </w:rPr>
              <w:t>0.40</w:t>
            </w:r>
          </w:p>
        </w:tc>
        <w:tc>
          <w:tcPr>
            <w:tcW w:w="1020" w:type="dxa"/>
            <w:vAlign w:val="bottom"/>
            <w:shd w:val="clear" w:color="auto" w:fill="43C0B9"/>
          </w:tcPr>
          <w:p>
            <w:pPr>
              <w:jc w:val="right"/>
              <w:ind w:right="6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080" w:type="dxa"/>
            <w:vAlign w:val="bottom"/>
          </w:tcPr>
          <w:p>
            <w:pPr>
              <w:ind w:left="940"/>
              <w:spacing w:after="0"/>
              <w:rPr>
                <w:sz w:val="20"/>
                <w:szCs w:val="20"/>
                <w:color w:val="auto"/>
              </w:rPr>
            </w:pPr>
            <w:r>
              <w:rPr>
                <w:rFonts w:ascii="Arial" w:cs="Arial" w:eastAsia="Arial" w:hAnsi="Arial"/>
                <w:sz w:val="14"/>
                <w:szCs w:val="14"/>
                <w:color w:val="auto"/>
              </w:rPr>
              <w:t>Diluted</w:t>
            </w:r>
          </w:p>
        </w:tc>
        <w:tc>
          <w:tcPr>
            <w:tcW w:w="114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1"/>
              <w:spacing w:after="0"/>
              <w:rPr>
                <w:sz w:val="20"/>
                <w:szCs w:val="20"/>
                <w:color w:val="auto"/>
              </w:rPr>
            </w:pPr>
            <w:r>
              <w:rPr>
                <w:rFonts w:ascii="Arial" w:cs="Arial" w:eastAsia="Arial" w:hAnsi="Arial"/>
                <w:sz w:val="14"/>
                <w:szCs w:val="14"/>
                <w:color w:val="auto"/>
              </w:rPr>
              <w:t>0.26</w:t>
            </w:r>
          </w:p>
        </w:tc>
        <w:tc>
          <w:tcPr>
            <w:tcW w:w="84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0.37</w:t>
            </w:r>
          </w:p>
        </w:tc>
        <w:tc>
          <w:tcPr>
            <w:tcW w:w="114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11"/>
              <w:spacing w:after="0"/>
              <w:rPr>
                <w:sz w:val="20"/>
                <w:szCs w:val="20"/>
                <w:color w:val="auto"/>
              </w:rPr>
            </w:pPr>
            <w:r>
              <w:rPr>
                <w:rFonts w:ascii="Arial" w:cs="Arial" w:eastAsia="Arial" w:hAnsi="Arial"/>
                <w:sz w:val="14"/>
                <w:szCs w:val="14"/>
                <w:color w:val="auto"/>
              </w:rPr>
              <w:t>0.39</w:t>
            </w:r>
          </w:p>
        </w:tc>
        <w:tc>
          <w:tcPr>
            <w:tcW w:w="102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8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1340" w:type="dxa"/>
            <w:vAlign w:val="bottom"/>
            <w:shd w:val="clear" w:color="auto" w:fill="43C0B9"/>
          </w:tcPr>
          <w:p>
            <w:pPr>
              <w:spacing w:after="0"/>
              <w:rPr>
                <w:sz w:val="18"/>
                <w:szCs w:val="18"/>
                <w:color w:val="auto"/>
              </w:rPr>
            </w:pPr>
          </w:p>
        </w:tc>
        <w:tc>
          <w:tcPr>
            <w:tcW w:w="840" w:type="dxa"/>
            <w:vAlign w:val="bottom"/>
            <w:shd w:val="clear" w:color="auto" w:fill="43C0B9"/>
          </w:tcPr>
          <w:p>
            <w:pPr>
              <w:spacing w:after="0"/>
              <w:rPr>
                <w:sz w:val="18"/>
                <w:szCs w:val="18"/>
                <w:color w:val="auto"/>
              </w:rPr>
            </w:pPr>
          </w:p>
        </w:tc>
        <w:tc>
          <w:tcPr>
            <w:tcW w:w="80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1360" w:type="dxa"/>
            <w:vAlign w:val="bottom"/>
            <w:shd w:val="clear" w:color="auto" w:fill="43C0B9"/>
          </w:tcPr>
          <w:p>
            <w:pPr>
              <w:spacing w:after="0"/>
              <w:rPr>
                <w:sz w:val="18"/>
                <w:szCs w:val="18"/>
                <w:color w:val="auto"/>
              </w:rPr>
            </w:pPr>
          </w:p>
        </w:tc>
        <w:tc>
          <w:tcPr>
            <w:tcW w:w="1020" w:type="dxa"/>
            <w:vAlign w:val="bottom"/>
            <w:shd w:val="clear" w:color="auto" w:fill="43C0B9"/>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080" w:type="dxa"/>
            <w:vAlign w:val="bottom"/>
          </w:tcPr>
          <w:p>
            <w:pPr>
              <w:ind w:left="640"/>
              <w:spacing w:after="0"/>
              <w:rPr>
                <w:sz w:val="20"/>
                <w:szCs w:val="20"/>
                <w:color w:val="auto"/>
              </w:rPr>
            </w:pPr>
            <w:r>
              <w:rPr>
                <w:rFonts w:ascii="Arial" w:cs="Arial" w:eastAsia="Arial" w:hAnsi="Arial"/>
                <w:sz w:val="14"/>
                <w:szCs w:val="14"/>
                <w:color w:val="auto"/>
              </w:rPr>
              <w:t>Other comprehensive income, net of</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4"/>
                <w:szCs w:val="14"/>
                <w:color w:val="auto"/>
              </w:rPr>
              <w:t>tax</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80" w:type="dxa"/>
            <w:vAlign w:val="bottom"/>
            <w:shd w:val="clear" w:color="auto" w:fill="43C0B9"/>
          </w:tcPr>
          <w:p>
            <w:pPr>
              <w:ind w:left="940"/>
              <w:spacing w:after="0"/>
              <w:rPr>
                <w:sz w:val="20"/>
                <w:szCs w:val="20"/>
                <w:color w:val="auto"/>
              </w:rPr>
            </w:pPr>
            <w:r>
              <w:rPr>
                <w:rFonts w:ascii="Arial" w:cs="Arial" w:eastAsia="Arial" w:hAnsi="Arial"/>
                <w:sz w:val="14"/>
                <w:szCs w:val="14"/>
                <w:color w:val="auto"/>
              </w:rPr>
              <w:t>Foreign currency translation</w:t>
            </w:r>
          </w:p>
        </w:tc>
        <w:tc>
          <w:tcPr>
            <w:tcW w:w="1140" w:type="dxa"/>
            <w:vAlign w:val="bottom"/>
            <w:shd w:val="clear" w:color="auto" w:fill="43C0B9"/>
          </w:tcPr>
          <w:p>
            <w:pPr>
              <w:spacing w:after="0"/>
              <w:rPr>
                <w:sz w:val="16"/>
                <w:szCs w:val="16"/>
                <w:color w:val="auto"/>
              </w:rPr>
            </w:pPr>
          </w:p>
        </w:tc>
        <w:tc>
          <w:tcPr>
            <w:tcW w:w="1340" w:type="dxa"/>
            <w:vAlign w:val="bottom"/>
            <w:shd w:val="clear" w:color="auto" w:fill="43C0B9"/>
          </w:tcPr>
          <w:p>
            <w:pPr>
              <w:spacing w:after="0"/>
              <w:rPr>
                <w:sz w:val="16"/>
                <w:szCs w:val="16"/>
                <w:color w:val="auto"/>
              </w:rPr>
            </w:pPr>
          </w:p>
        </w:tc>
        <w:tc>
          <w:tcPr>
            <w:tcW w:w="840" w:type="dxa"/>
            <w:vAlign w:val="bottom"/>
            <w:shd w:val="clear" w:color="auto" w:fill="43C0B9"/>
          </w:tcPr>
          <w:p>
            <w:pPr>
              <w:spacing w:after="0"/>
              <w:rPr>
                <w:sz w:val="16"/>
                <w:szCs w:val="16"/>
                <w:color w:val="auto"/>
              </w:rPr>
            </w:pPr>
          </w:p>
        </w:tc>
        <w:tc>
          <w:tcPr>
            <w:tcW w:w="800" w:type="dxa"/>
            <w:vAlign w:val="bottom"/>
            <w:shd w:val="clear" w:color="auto" w:fill="43C0B9"/>
          </w:tcPr>
          <w:p>
            <w:pPr>
              <w:spacing w:after="0"/>
              <w:rPr>
                <w:sz w:val="16"/>
                <w:szCs w:val="16"/>
                <w:color w:val="auto"/>
              </w:rPr>
            </w:pPr>
          </w:p>
        </w:tc>
        <w:tc>
          <w:tcPr>
            <w:tcW w:w="1140" w:type="dxa"/>
            <w:vAlign w:val="bottom"/>
            <w:shd w:val="clear" w:color="auto" w:fill="43C0B9"/>
          </w:tcPr>
          <w:p>
            <w:pPr>
              <w:spacing w:after="0"/>
              <w:rPr>
                <w:sz w:val="16"/>
                <w:szCs w:val="16"/>
                <w:color w:val="auto"/>
              </w:rPr>
            </w:pPr>
          </w:p>
        </w:tc>
        <w:tc>
          <w:tcPr>
            <w:tcW w:w="1360" w:type="dxa"/>
            <w:vAlign w:val="bottom"/>
            <w:shd w:val="clear" w:color="auto" w:fill="43C0B9"/>
          </w:tcPr>
          <w:p>
            <w:pPr>
              <w:spacing w:after="0"/>
              <w:rPr>
                <w:sz w:val="16"/>
                <w:szCs w:val="16"/>
                <w:color w:val="auto"/>
              </w:rPr>
            </w:pPr>
          </w:p>
        </w:tc>
        <w:tc>
          <w:tcPr>
            <w:tcW w:w="1020" w:type="dxa"/>
            <w:vAlign w:val="bottom"/>
            <w:shd w:val="clear" w:color="auto" w:fill="43C0B9"/>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80" w:type="dxa"/>
            <w:vAlign w:val="bottom"/>
            <w:tcBorders>
              <w:bottom w:val="single" w:sz="8" w:color="auto"/>
            </w:tcBorders>
            <w:shd w:val="clear" w:color="auto" w:fill="43C0B9"/>
          </w:tcPr>
          <w:p>
            <w:pPr>
              <w:ind w:left="320"/>
              <w:spacing w:after="0"/>
              <w:rPr>
                <w:sz w:val="20"/>
                <w:szCs w:val="20"/>
                <w:color w:val="auto"/>
              </w:rPr>
            </w:pPr>
            <w:r>
              <w:rPr>
                <w:rFonts w:ascii="Arial" w:cs="Arial" w:eastAsia="Arial" w:hAnsi="Arial"/>
                <w:sz w:val="14"/>
                <w:szCs w:val="14"/>
                <w:color w:val="auto"/>
              </w:rPr>
              <w:t>adjustments</w:t>
            </w:r>
          </w:p>
        </w:tc>
        <w:tc>
          <w:tcPr>
            <w:tcW w:w="1140" w:type="dxa"/>
            <w:vAlign w:val="bottom"/>
            <w:tcBorders>
              <w:bottom w:val="single" w:sz="8" w:color="auto"/>
            </w:tcBorders>
            <w:shd w:val="clear" w:color="auto" w:fill="43C0B9"/>
          </w:tcPr>
          <w:p>
            <w:pPr>
              <w:spacing w:after="0"/>
              <w:rPr>
                <w:sz w:val="14"/>
                <w:szCs w:val="14"/>
                <w:color w:val="auto"/>
              </w:rPr>
            </w:pPr>
          </w:p>
        </w:tc>
        <w:tc>
          <w:tcPr>
            <w:tcW w:w="1340" w:type="dxa"/>
            <w:vAlign w:val="bottom"/>
            <w:tcBorders>
              <w:bottom w:val="single" w:sz="8" w:color="auto"/>
            </w:tcBorders>
            <w:shd w:val="clear" w:color="auto" w:fill="43C0B9"/>
          </w:tcPr>
          <w:p>
            <w:pPr>
              <w:jc w:val="right"/>
              <w:ind w:right="471"/>
              <w:spacing w:after="0"/>
              <w:rPr>
                <w:sz w:val="20"/>
                <w:szCs w:val="20"/>
                <w:color w:val="auto"/>
              </w:rPr>
            </w:pPr>
            <w:r>
              <w:rPr>
                <w:rFonts w:ascii="Arial" w:cs="Arial" w:eastAsia="Arial" w:hAnsi="Arial"/>
                <w:sz w:val="14"/>
                <w:szCs w:val="14"/>
                <w:color w:val="auto"/>
              </w:rPr>
              <w:t>(0.2)</w:t>
            </w:r>
          </w:p>
        </w:tc>
        <w:tc>
          <w:tcPr>
            <w:tcW w:w="840" w:type="dxa"/>
            <w:vAlign w:val="bottom"/>
            <w:tcBorders>
              <w:bottom w:val="single" w:sz="8" w:color="auto"/>
            </w:tcBorders>
            <w:shd w:val="clear" w:color="auto" w:fill="43C0B9"/>
          </w:tcPr>
          <w:p>
            <w:pPr>
              <w:spacing w:after="0"/>
              <w:rPr>
                <w:sz w:val="14"/>
                <w:szCs w:val="14"/>
                <w:color w:val="auto"/>
              </w:rPr>
            </w:pPr>
          </w:p>
        </w:tc>
        <w:tc>
          <w:tcPr>
            <w:tcW w:w="8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(0.2)</w:t>
            </w:r>
          </w:p>
        </w:tc>
        <w:tc>
          <w:tcPr>
            <w:tcW w:w="1140" w:type="dxa"/>
            <w:vAlign w:val="bottom"/>
            <w:tcBorders>
              <w:bottom w:val="single" w:sz="8" w:color="auto"/>
            </w:tcBorders>
            <w:shd w:val="clear" w:color="auto" w:fill="43C0B9"/>
          </w:tcPr>
          <w:p>
            <w:pPr>
              <w:spacing w:after="0"/>
              <w:rPr>
                <w:sz w:val="14"/>
                <w:szCs w:val="14"/>
                <w:color w:val="auto"/>
              </w:rPr>
            </w:pPr>
          </w:p>
        </w:tc>
        <w:tc>
          <w:tcPr>
            <w:tcW w:w="1360" w:type="dxa"/>
            <w:vAlign w:val="bottom"/>
            <w:tcBorders>
              <w:bottom w:val="single" w:sz="8" w:color="auto"/>
            </w:tcBorders>
            <w:shd w:val="clear" w:color="auto" w:fill="43C0B9"/>
          </w:tcPr>
          <w:p>
            <w:pPr>
              <w:jc w:val="right"/>
              <w:ind w:right="511"/>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auto"/>
            </w:tcBorders>
            <w:shd w:val="clear" w:color="auto" w:fill="43C0B9"/>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Comprehensive income</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18.2</w:t>
            </w: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23.2</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28.1</w:t>
            </w:r>
          </w:p>
        </w:tc>
        <w:tc>
          <w:tcPr>
            <w:tcW w:w="10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7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232F84"/>
        </w:rPr>
        <w:t>MISSION PRODUCE,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2F84"/>
        </w:rPr>
        <w:t>CONDENSED CONSOLIDATED STATEMENTS OF SHAREHOLDERS’ EQUITY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508"/>
        </w:trPr>
        <w:tc>
          <w:tcPr>
            <w:tcW w:w="294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2"/>
                <w:szCs w:val="12"/>
                <w:b w:val="1"/>
                <w:bCs w:val="1"/>
                <w:color w:val="FFFFFF"/>
              </w:rPr>
              <w:t>(In millions, except for shares</w:t>
            </w:r>
          </w:p>
        </w:tc>
        <w:tc>
          <w:tcPr>
            <w:tcW w:w="1640" w:type="dxa"/>
            <w:vAlign w:val="bottom"/>
            <w:tcBorders>
              <w:bottom w:val="single" w:sz="8" w:color="232F84"/>
            </w:tcBorders>
            <w:gridSpan w:val="2"/>
            <w:shd w:val="clear" w:color="auto" w:fill="232F84"/>
          </w:tcPr>
          <w:p>
            <w:pPr>
              <w:jc w:val="right"/>
              <w:ind w:right="40"/>
              <w:spacing w:after="0"/>
              <w:rPr>
                <w:sz w:val="20"/>
                <w:szCs w:val="20"/>
                <w:color w:val="auto"/>
              </w:rPr>
            </w:pPr>
            <w:r>
              <w:rPr>
                <w:rFonts w:ascii="Arial" w:cs="Arial" w:eastAsia="Arial" w:hAnsi="Arial"/>
                <w:sz w:val="12"/>
                <w:szCs w:val="12"/>
                <w:b w:val="1"/>
                <w:bCs w:val="1"/>
                <w:color w:val="FFFFFF"/>
              </w:rPr>
              <w:t>Common stock</w:t>
            </w:r>
          </w:p>
        </w:tc>
        <w:tc>
          <w:tcPr>
            <w:tcW w:w="580" w:type="dxa"/>
            <w:vAlign w:val="bottom"/>
            <w:tcBorders>
              <w:bottom w:val="single" w:sz="8" w:color="232F84"/>
            </w:tcBorders>
            <w:shd w:val="clear" w:color="auto" w:fill="232F84"/>
          </w:tcPr>
          <w:p>
            <w:pPr>
              <w:spacing w:after="0"/>
              <w:rPr>
                <w:sz w:val="24"/>
                <w:szCs w:val="24"/>
                <w:color w:val="auto"/>
              </w:rPr>
            </w:pPr>
          </w:p>
        </w:tc>
        <w:tc>
          <w:tcPr>
            <w:tcW w:w="220" w:type="dxa"/>
            <w:vAlign w:val="bottom"/>
            <w:tcBorders>
              <w:bottom w:val="single" w:sz="8" w:color="232F84"/>
            </w:tcBorders>
            <w:shd w:val="clear" w:color="auto" w:fill="232F84"/>
          </w:tcPr>
          <w:p>
            <w:pPr>
              <w:spacing w:after="0"/>
              <w:rPr>
                <w:sz w:val="24"/>
                <w:szCs w:val="24"/>
                <w:color w:val="auto"/>
              </w:rPr>
            </w:pPr>
          </w:p>
        </w:tc>
        <w:tc>
          <w:tcPr>
            <w:tcW w:w="106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rPr>
              <w:t>Additional paid-in</w:t>
            </w:r>
          </w:p>
        </w:tc>
        <w:tc>
          <w:tcPr>
            <w:tcW w:w="120" w:type="dxa"/>
            <w:vAlign w:val="bottom"/>
            <w:tcBorders>
              <w:bottom w:val="single" w:sz="8" w:color="232F84"/>
            </w:tcBorders>
            <w:shd w:val="clear" w:color="auto" w:fill="232F84"/>
          </w:tcPr>
          <w:p>
            <w:pPr>
              <w:spacing w:after="0"/>
              <w:rPr>
                <w:sz w:val="24"/>
                <w:szCs w:val="24"/>
                <w:color w:val="auto"/>
              </w:rPr>
            </w:pPr>
          </w:p>
        </w:tc>
        <w:tc>
          <w:tcPr>
            <w:tcW w:w="108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rPr>
              <w:t>Notes receivable</w:t>
            </w:r>
          </w:p>
        </w:tc>
        <w:tc>
          <w:tcPr>
            <w:tcW w:w="100" w:type="dxa"/>
            <w:vAlign w:val="bottom"/>
            <w:tcBorders>
              <w:bottom w:val="single" w:sz="8" w:color="232F84"/>
            </w:tcBorders>
            <w:shd w:val="clear" w:color="auto" w:fill="232F84"/>
          </w:tcPr>
          <w:p>
            <w:pPr>
              <w:spacing w:after="0"/>
              <w:rPr>
                <w:sz w:val="24"/>
                <w:szCs w:val="24"/>
                <w:color w:val="auto"/>
              </w:rPr>
            </w:pPr>
          </w:p>
        </w:tc>
        <w:tc>
          <w:tcPr>
            <w:tcW w:w="11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w w:val="97"/>
              </w:rPr>
              <w:t>Accumulated other</w:t>
            </w:r>
          </w:p>
        </w:tc>
        <w:tc>
          <w:tcPr>
            <w:tcW w:w="120" w:type="dxa"/>
            <w:vAlign w:val="bottom"/>
            <w:tcBorders>
              <w:bottom w:val="single" w:sz="8" w:color="232F84"/>
            </w:tcBorders>
            <w:shd w:val="clear" w:color="auto" w:fill="232F84"/>
          </w:tcPr>
          <w:p>
            <w:pPr>
              <w:spacing w:after="0"/>
              <w:rPr>
                <w:sz w:val="24"/>
                <w:szCs w:val="24"/>
                <w:color w:val="auto"/>
              </w:rPr>
            </w:pPr>
          </w:p>
        </w:tc>
        <w:tc>
          <w:tcPr>
            <w:tcW w:w="1080" w:type="dxa"/>
            <w:vAlign w:val="bottom"/>
            <w:tcBorders>
              <w:bottom w:val="single" w:sz="8" w:color="232F84"/>
            </w:tcBorders>
            <w:shd w:val="clear" w:color="auto" w:fill="232F84"/>
          </w:tcPr>
          <w:p>
            <w:pPr>
              <w:spacing w:after="0"/>
              <w:rPr>
                <w:sz w:val="24"/>
                <w:szCs w:val="24"/>
                <w:color w:val="auto"/>
              </w:rPr>
            </w:pPr>
          </w:p>
        </w:tc>
        <w:tc>
          <w:tcPr>
            <w:tcW w:w="100" w:type="dxa"/>
            <w:vAlign w:val="bottom"/>
            <w:tcBorders>
              <w:bottom w:val="single" w:sz="8" w:color="232F84"/>
            </w:tcBorders>
            <w:shd w:val="clear" w:color="auto" w:fill="232F84"/>
          </w:tcPr>
          <w:p>
            <w:pPr>
              <w:spacing w:after="0"/>
              <w:rPr>
                <w:sz w:val="24"/>
                <w:szCs w:val="24"/>
                <w:color w:val="auto"/>
              </w:rPr>
            </w:pPr>
          </w:p>
        </w:tc>
        <w:tc>
          <w:tcPr>
            <w:tcW w:w="11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w w:val="96"/>
              </w:rPr>
              <w:t>Total shareholders'</w:t>
            </w:r>
          </w:p>
        </w:tc>
      </w:tr>
      <w:tr>
        <w:trPr>
          <w:trHeight w:val="186"/>
        </w:trPr>
        <w:tc>
          <w:tcPr>
            <w:tcW w:w="2940" w:type="dxa"/>
            <w:vAlign w:val="bottom"/>
            <w:tcBorders>
              <w:top w:val="single" w:sz="8" w:color="232F84"/>
            </w:tcBorders>
            <w:shd w:val="clear" w:color="auto" w:fill="232F84"/>
          </w:tcPr>
          <w:p>
            <w:pPr>
              <w:ind w:left="20"/>
              <w:spacing w:after="0"/>
              <w:rPr>
                <w:sz w:val="20"/>
                <w:szCs w:val="20"/>
                <w:color w:val="auto"/>
              </w:rPr>
            </w:pPr>
            <w:r>
              <w:rPr>
                <w:rFonts w:ascii="Arial" w:cs="Arial" w:eastAsia="Arial" w:hAnsi="Arial"/>
                <w:sz w:val="12"/>
                <w:szCs w:val="12"/>
                <w:b w:val="1"/>
                <w:bCs w:val="1"/>
                <w:color w:val="FFFFFF"/>
              </w:rPr>
              <w:t>and per share data)</w:t>
            </w:r>
          </w:p>
        </w:tc>
        <w:tc>
          <w:tcPr>
            <w:tcW w:w="1120" w:type="dxa"/>
            <w:vAlign w:val="bottom"/>
            <w:tcBorders>
              <w:top w:val="single" w:sz="8" w:color="43C0B9"/>
            </w:tcBorders>
            <w:shd w:val="clear" w:color="auto" w:fill="232F84"/>
          </w:tcPr>
          <w:p>
            <w:pPr>
              <w:jc w:val="right"/>
              <w:spacing w:after="0"/>
              <w:rPr>
                <w:sz w:val="20"/>
                <w:szCs w:val="20"/>
                <w:color w:val="auto"/>
              </w:rPr>
            </w:pPr>
            <w:r>
              <w:rPr>
                <w:rFonts w:ascii="Arial" w:cs="Arial" w:eastAsia="Arial" w:hAnsi="Arial"/>
                <w:sz w:val="12"/>
                <w:szCs w:val="12"/>
                <w:b w:val="1"/>
                <w:bCs w:val="1"/>
                <w:color w:val="FFFFFF"/>
              </w:rPr>
              <w:t>Shares</w:t>
            </w:r>
          </w:p>
        </w:tc>
        <w:tc>
          <w:tcPr>
            <w:tcW w:w="520" w:type="dxa"/>
            <w:vAlign w:val="bottom"/>
            <w:tcBorders>
              <w:top w:val="single" w:sz="8" w:color="43C0B9"/>
            </w:tcBorders>
            <w:shd w:val="clear" w:color="auto" w:fill="232F84"/>
          </w:tcPr>
          <w:p>
            <w:pPr>
              <w:spacing w:after="0"/>
              <w:rPr>
                <w:sz w:val="16"/>
                <w:szCs w:val="16"/>
                <w:color w:val="auto"/>
              </w:rPr>
            </w:pPr>
          </w:p>
        </w:tc>
        <w:tc>
          <w:tcPr>
            <w:tcW w:w="580" w:type="dxa"/>
            <w:vAlign w:val="bottom"/>
            <w:tcBorders>
              <w:top w:val="single" w:sz="8" w:color="43C0B9"/>
            </w:tcBorders>
            <w:shd w:val="clear" w:color="auto" w:fill="232F84"/>
          </w:tcPr>
          <w:p>
            <w:pPr>
              <w:jc w:val="right"/>
              <w:spacing w:after="0"/>
              <w:rPr>
                <w:sz w:val="20"/>
                <w:szCs w:val="20"/>
                <w:color w:val="auto"/>
              </w:rPr>
            </w:pPr>
            <w:r>
              <w:rPr>
                <w:rFonts w:ascii="Arial" w:cs="Arial" w:eastAsia="Arial" w:hAnsi="Arial"/>
                <w:sz w:val="12"/>
                <w:szCs w:val="12"/>
                <w:b w:val="1"/>
                <w:bCs w:val="1"/>
                <w:color w:val="FFFFFF"/>
              </w:rPr>
              <w:t>Amount</w:t>
            </w:r>
          </w:p>
        </w:tc>
        <w:tc>
          <w:tcPr>
            <w:tcW w:w="220" w:type="dxa"/>
            <w:vAlign w:val="bottom"/>
            <w:tcBorders>
              <w:top w:val="single" w:sz="8" w:color="232F84"/>
            </w:tcBorders>
            <w:shd w:val="clear" w:color="auto" w:fill="232F84"/>
          </w:tcPr>
          <w:p>
            <w:pPr>
              <w:spacing w:after="0"/>
              <w:rPr>
                <w:sz w:val="16"/>
                <w:szCs w:val="16"/>
                <w:color w:val="auto"/>
              </w:rPr>
            </w:pPr>
          </w:p>
        </w:tc>
        <w:tc>
          <w:tcPr>
            <w:tcW w:w="106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rPr>
              <w:t>capital</w:t>
            </w:r>
          </w:p>
        </w:tc>
        <w:tc>
          <w:tcPr>
            <w:tcW w:w="120" w:type="dxa"/>
            <w:vAlign w:val="bottom"/>
            <w:tcBorders>
              <w:top w:val="single" w:sz="8" w:color="232F84"/>
            </w:tcBorders>
            <w:shd w:val="clear" w:color="auto" w:fill="232F84"/>
          </w:tcPr>
          <w:p>
            <w:pPr>
              <w:spacing w:after="0"/>
              <w:rPr>
                <w:sz w:val="16"/>
                <w:szCs w:val="16"/>
                <w:color w:val="auto"/>
              </w:rPr>
            </w:pPr>
          </w:p>
        </w:tc>
        <w:tc>
          <w:tcPr>
            <w:tcW w:w="2280" w:type="dxa"/>
            <w:vAlign w:val="bottom"/>
            <w:tcBorders>
              <w:top w:val="single" w:sz="8" w:color="232F84"/>
            </w:tcBorders>
            <w:gridSpan w:val="3"/>
            <w:shd w:val="clear" w:color="auto" w:fill="232F84"/>
          </w:tcPr>
          <w:p>
            <w:pPr>
              <w:jc w:val="center"/>
              <w:spacing w:after="0"/>
              <w:rPr>
                <w:sz w:val="20"/>
                <w:szCs w:val="20"/>
                <w:color w:val="auto"/>
              </w:rPr>
            </w:pPr>
            <w:r>
              <w:rPr>
                <w:rFonts w:ascii="Arial" w:cs="Arial" w:eastAsia="Arial" w:hAnsi="Arial"/>
                <w:sz w:val="12"/>
                <w:szCs w:val="12"/>
                <w:b w:val="1"/>
                <w:bCs w:val="1"/>
                <w:color w:val="FFFFFF"/>
              </w:rPr>
              <w:t>from shareholders comprehensive loss</w:t>
            </w:r>
          </w:p>
        </w:tc>
        <w:tc>
          <w:tcPr>
            <w:tcW w:w="120" w:type="dxa"/>
            <w:vAlign w:val="bottom"/>
            <w:tcBorders>
              <w:top w:val="single" w:sz="8" w:color="232F84"/>
            </w:tcBorders>
            <w:shd w:val="clear" w:color="auto" w:fill="232F84"/>
          </w:tcPr>
          <w:p>
            <w:pPr>
              <w:spacing w:after="0"/>
              <w:rPr>
                <w:sz w:val="16"/>
                <w:szCs w:val="16"/>
                <w:color w:val="auto"/>
              </w:rPr>
            </w:pPr>
          </w:p>
        </w:tc>
        <w:tc>
          <w:tcPr>
            <w:tcW w:w="108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w w:val="99"/>
              </w:rPr>
              <w:t>Retained earnings</w:t>
            </w:r>
          </w:p>
        </w:tc>
        <w:tc>
          <w:tcPr>
            <w:tcW w:w="100" w:type="dxa"/>
            <w:vAlign w:val="bottom"/>
            <w:tcBorders>
              <w:top w:val="single" w:sz="8" w:color="232F84"/>
            </w:tcBorders>
            <w:shd w:val="clear" w:color="auto" w:fill="232F84"/>
          </w:tcPr>
          <w:p>
            <w:pPr>
              <w:spacing w:after="0"/>
              <w:rPr>
                <w:sz w:val="16"/>
                <w:szCs w:val="16"/>
                <w:color w:val="auto"/>
              </w:rPr>
            </w:pPr>
          </w:p>
        </w:tc>
        <w:tc>
          <w:tcPr>
            <w:tcW w:w="110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2"/>
                <w:szCs w:val="12"/>
                <w:b w:val="1"/>
                <w:bCs w:val="1"/>
                <w:color w:val="FFFFFF"/>
              </w:rPr>
              <w:t>equity</w:t>
            </w: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Balance at October 31, 2019</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63,386,251</w:t>
            </w:r>
          </w:p>
        </w:tc>
        <w:tc>
          <w:tcPr>
            <w:tcW w:w="520" w:type="dxa"/>
            <w:vAlign w:val="bottom"/>
            <w:tcBorders>
              <w:bottom w:val="single" w:sz="8" w:color="43C0B9"/>
            </w:tcBorders>
            <w:shd w:val="clear" w:color="auto" w:fill="43C0B9"/>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139.7</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10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239.3</w:t>
            </w: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379.0</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Dividends declared ($0.12 per share)</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Stock-based compensation</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2"/>
                <w:szCs w:val="12"/>
                <w:color w:val="auto"/>
              </w:rPr>
              <w:t>17,000</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Borders>
              <w:bottom w:val="single" w:sz="8" w:color="43C0B9"/>
            </w:tcBorders>
            <w:shd w:val="clear" w:color="auto" w:fill="43C0B9"/>
          </w:tcPr>
          <w:p>
            <w:pPr>
              <w:spacing w:after="0"/>
              <w:rPr>
                <w:sz w:val="16"/>
                <w:szCs w:val="16"/>
                <w:color w:val="auto"/>
              </w:rPr>
            </w:pPr>
          </w:p>
        </w:tc>
        <w:tc>
          <w:tcPr>
            <w:tcW w:w="520" w:type="dxa"/>
            <w:vAlign w:val="bottom"/>
            <w:tcBorders>
              <w:bottom w:val="single" w:sz="8" w:color="43C0B9"/>
            </w:tcBorders>
            <w:shd w:val="clear" w:color="auto" w:fill="43C0B9"/>
          </w:tcPr>
          <w:p>
            <w:pPr>
              <w:spacing w:after="0"/>
              <w:rPr>
                <w:sz w:val="16"/>
                <w:szCs w:val="16"/>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6"/>
                <w:szCs w:val="16"/>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1.4</w:t>
            </w:r>
          </w:p>
        </w:tc>
      </w:tr>
      <w:tr>
        <w:trPr>
          <w:trHeight w:val="158"/>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63,403,251</w:t>
            </w:r>
          </w:p>
        </w:tc>
        <w:tc>
          <w:tcPr>
            <w:tcW w:w="52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139.8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233.2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373.0</w:t>
            </w:r>
          </w:p>
        </w:tc>
      </w:tr>
      <w:tr>
        <w:trPr>
          <w:trHeight w:val="28"/>
        </w:trPr>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6"/>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Stock-based compensation</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4"/>
                <w:szCs w:val="14"/>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4"/>
                <w:szCs w:val="14"/>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43C0B9"/>
            </w:tcBorders>
            <w:shd w:val="clear" w:color="auto" w:fill="43C0B9"/>
          </w:tcPr>
          <w:p>
            <w:pPr>
              <w:spacing w:after="0"/>
              <w:rPr>
                <w:sz w:val="14"/>
                <w:szCs w:val="14"/>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4"/>
                <w:szCs w:val="14"/>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4"/>
                <w:szCs w:val="14"/>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4"/>
                <w:szCs w:val="14"/>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Reclassification of liability-based awards</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Purchase and retirement of stock</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(306,000)</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(3.7)</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(3.7)</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Net loss</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(14.8)</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Other comprehensive loss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6"/>
                <w:szCs w:val="16"/>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6"/>
                <w:szCs w:val="16"/>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r>
      <w:tr>
        <w:trPr>
          <w:trHeight w:val="158"/>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April 30,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63,097,251</w:t>
            </w:r>
          </w:p>
        </w:tc>
        <w:tc>
          <w:tcPr>
            <w:tcW w:w="52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140.3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354.9</w:t>
            </w:r>
          </w:p>
        </w:tc>
      </w:tr>
      <w:tr>
        <w:trPr>
          <w:trHeight w:val="28"/>
        </w:trPr>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6"/>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Issuance of common stock</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7,921</w:t>
            </w:r>
          </w:p>
        </w:tc>
        <w:tc>
          <w:tcPr>
            <w:tcW w:w="520" w:type="dxa"/>
            <w:vAlign w:val="bottom"/>
            <w:tcBorders>
              <w:bottom w:val="single" w:sz="8" w:color="43C0B9"/>
            </w:tcBorders>
            <w:shd w:val="clear" w:color="auto" w:fill="43C0B9"/>
          </w:tcPr>
          <w:p>
            <w:pPr>
              <w:spacing w:after="0"/>
              <w:rPr>
                <w:sz w:val="14"/>
                <w:szCs w:val="14"/>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4"/>
                <w:szCs w:val="14"/>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43C0B9"/>
            </w:tcBorders>
            <w:shd w:val="clear" w:color="auto" w:fill="43C0B9"/>
          </w:tcPr>
          <w:p>
            <w:pPr>
              <w:spacing w:after="0"/>
              <w:rPr>
                <w:sz w:val="14"/>
                <w:szCs w:val="14"/>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4"/>
                <w:szCs w:val="14"/>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4"/>
                <w:szCs w:val="14"/>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4"/>
                <w:szCs w:val="14"/>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Purchase and retirement of stock</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(4,250)</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23.4</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Other comprehensive loss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6"/>
                <w:szCs w:val="16"/>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6"/>
                <w:szCs w:val="16"/>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r>
      <w:tr>
        <w:trPr>
          <w:trHeight w:val="158"/>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July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63,100,922</w:t>
            </w:r>
          </w:p>
        </w:tc>
        <w:tc>
          <w:tcPr>
            <w:tcW w:w="5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140.8</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237.9</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378.4</w:t>
            </w:r>
          </w:p>
        </w:tc>
      </w:tr>
      <w:tr>
        <w:trPr>
          <w:trHeight w:val="28"/>
        </w:trPr>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3"/>
        </w:trPr>
        <w:tc>
          <w:tcPr>
            <w:tcW w:w="2940" w:type="dxa"/>
            <w:vAlign w:val="bottom"/>
            <w:shd w:val="clear" w:color="auto" w:fill="43C0B9"/>
          </w:tcPr>
          <w:p>
            <w:pPr>
              <w:spacing w:after="0"/>
              <w:rPr>
                <w:sz w:val="15"/>
                <w:szCs w:val="15"/>
                <w:color w:val="auto"/>
              </w:rPr>
            </w:pPr>
          </w:p>
        </w:tc>
        <w:tc>
          <w:tcPr>
            <w:tcW w:w="112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580" w:type="dxa"/>
            <w:vAlign w:val="bottom"/>
            <w:shd w:val="clear" w:color="auto" w:fill="43C0B9"/>
          </w:tcPr>
          <w:p>
            <w:pPr>
              <w:spacing w:after="0"/>
              <w:rPr>
                <w:sz w:val="15"/>
                <w:szCs w:val="15"/>
                <w:color w:val="auto"/>
              </w:rPr>
            </w:pPr>
          </w:p>
        </w:tc>
        <w:tc>
          <w:tcPr>
            <w:tcW w:w="220" w:type="dxa"/>
            <w:vAlign w:val="bottom"/>
            <w:shd w:val="clear" w:color="auto" w:fill="43C0B9"/>
          </w:tcPr>
          <w:p>
            <w:pPr>
              <w:spacing w:after="0"/>
              <w:rPr>
                <w:sz w:val="15"/>
                <w:szCs w:val="15"/>
                <w:color w:val="auto"/>
              </w:rPr>
            </w:pPr>
          </w:p>
        </w:tc>
        <w:tc>
          <w:tcPr>
            <w:tcW w:w="1060" w:type="dxa"/>
            <w:vAlign w:val="bottom"/>
            <w:shd w:val="clear" w:color="auto" w:fill="43C0B9"/>
          </w:tcPr>
          <w:p>
            <w:pPr>
              <w:spacing w:after="0"/>
              <w:rPr>
                <w:sz w:val="15"/>
                <w:szCs w:val="15"/>
                <w:color w:val="auto"/>
              </w:rPr>
            </w:pPr>
          </w:p>
        </w:tc>
        <w:tc>
          <w:tcPr>
            <w:tcW w:w="120" w:type="dxa"/>
            <w:vAlign w:val="bottom"/>
            <w:shd w:val="clear" w:color="auto" w:fill="43C0B9"/>
          </w:tcPr>
          <w:p>
            <w:pPr>
              <w:spacing w:after="0"/>
              <w:rPr>
                <w:sz w:val="15"/>
                <w:szCs w:val="15"/>
                <w:color w:val="auto"/>
              </w:rPr>
            </w:pPr>
          </w:p>
        </w:tc>
        <w:tc>
          <w:tcPr>
            <w:tcW w:w="108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120" w:type="dxa"/>
            <w:vAlign w:val="bottom"/>
            <w:shd w:val="clear" w:color="auto" w:fill="43C0B9"/>
          </w:tcPr>
          <w:p>
            <w:pPr>
              <w:spacing w:after="0"/>
              <w:rPr>
                <w:sz w:val="15"/>
                <w:szCs w:val="15"/>
                <w:color w:val="auto"/>
              </w:rPr>
            </w:pPr>
          </w:p>
        </w:tc>
        <w:tc>
          <w:tcPr>
            <w:tcW w:w="108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Balance at October 31, 2020</w:t>
            </w:r>
          </w:p>
        </w:tc>
        <w:tc>
          <w:tcPr>
            <w:tcW w:w="1120" w:type="dxa"/>
            <w:vAlign w:val="bottom"/>
          </w:tcPr>
          <w:p>
            <w:pPr>
              <w:jc w:val="right"/>
              <w:spacing w:after="0"/>
              <w:rPr>
                <w:sz w:val="20"/>
                <w:szCs w:val="20"/>
                <w:color w:val="auto"/>
              </w:rPr>
            </w:pPr>
            <w:r>
              <w:rPr>
                <w:rFonts w:ascii="Arial" w:cs="Arial" w:eastAsia="Arial" w:hAnsi="Arial"/>
                <w:sz w:val="12"/>
                <w:szCs w:val="12"/>
                <w:color w:val="auto"/>
              </w:rPr>
              <w:t>70,550,922</w:t>
            </w: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222.8</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jc w:val="center"/>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251.2</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473.5</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Stock-based compensation</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0.8</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0.8</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Repayment of stock option notes receivable</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2.2</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28"/>
        </w:trPr>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1"/>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Balance at January 31, 2021</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70,550,922</w:t>
            </w:r>
          </w:p>
        </w:tc>
        <w:tc>
          <w:tcPr>
            <w:tcW w:w="520" w:type="dxa"/>
            <w:vAlign w:val="bottom"/>
            <w:tcBorders>
              <w:bottom w:val="single" w:sz="8" w:color="43C0B9"/>
            </w:tcBorders>
            <w:shd w:val="clear" w:color="auto" w:fill="43C0B9"/>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223.6</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253.4</w:t>
            </w: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477.1</w:t>
            </w:r>
          </w:p>
        </w:tc>
      </w:tr>
      <w:tr>
        <w:trPr>
          <w:trHeight w:val="158"/>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Issuance of common stock for equity awards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50,000</w:t>
            </w:r>
          </w:p>
        </w:tc>
        <w:tc>
          <w:tcPr>
            <w:tcW w:w="5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Stock-based compensation</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0.7</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0.7</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Other comprehensive loss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6"/>
                <w:szCs w:val="16"/>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6"/>
                <w:szCs w:val="16"/>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43C0B9"/>
            </w:tcBorders>
            <w:shd w:val="clear" w:color="auto" w:fill="43C0B9"/>
          </w:tcPr>
          <w:p>
            <w:pPr>
              <w:spacing w:after="0"/>
              <w:rPr>
                <w:sz w:val="16"/>
                <w:szCs w:val="16"/>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6"/>
                <w:szCs w:val="16"/>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(0.2)</w:t>
            </w:r>
          </w:p>
        </w:tc>
      </w:tr>
      <w:tr>
        <w:trPr>
          <w:trHeight w:val="158"/>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April 30,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70,600,922</w:t>
            </w:r>
          </w:p>
        </w:tc>
        <w:tc>
          <w:tcPr>
            <w:tcW w:w="52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224.3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260.8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485.0</w:t>
            </w:r>
          </w:p>
        </w:tc>
      </w:tr>
      <w:tr>
        <w:trPr>
          <w:trHeight w:val="28"/>
        </w:trPr>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6"/>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Issuance of common stock for equity awards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8,563</w:t>
            </w:r>
          </w:p>
        </w:tc>
        <w:tc>
          <w:tcPr>
            <w:tcW w:w="520" w:type="dxa"/>
            <w:vAlign w:val="bottom"/>
            <w:tcBorders>
              <w:bottom w:val="single" w:sz="8" w:color="43C0B9"/>
            </w:tcBorders>
            <w:shd w:val="clear" w:color="auto" w:fill="43C0B9"/>
          </w:tcPr>
          <w:p>
            <w:pPr>
              <w:spacing w:after="0"/>
              <w:rPr>
                <w:sz w:val="14"/>
                <w:szCs w:val="14"/>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4"/>
                <w:szCs w:val="14"/>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4"/>
                <w:szCs w:val="14"/>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4"/>
                <w:szCs w:val="14"/>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4"/>
                <w:szCs w:val="14"/>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4"/>
                <w:szCs w:val="14"/>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28"/>
        </w:trPr>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Net income</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43C0B9"/>
            </w:tcBorders>
            <w:shd w:val="clear" w:color="auto" w:fill="43C0B9"/>
          </w:tcPr>
          <w:p>
            <w:pPr>
              <w:spacing w:after="0"/>
              <w:rPr>
                <w:sz w:val="15"/>
                <w:szCs w:val="15"/>
                <w:color w:val="auto"/>
              </w:rPr>
            </w:pP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18.4</w:t>
            </w:r>
          </w:p>
        </w:tc>
      </w:tr>
      <w:tr>
        <w:trPr>
          <w:trHeight w:val="165"/>
        </w:trPr>
        <w:tc>
          <w:tcPr>
            <w:tcW w:w="294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28"/>
        </w:trPr>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6"/>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color w:val="auto"/>
              </w:rPr>
              <w:t>Balance at July 31, 2021</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70,609,485</w:t>
            </w:r>
          </w:p>
        </w:tc>
        <w:tc>
          <w:tcPr>
            <w:tcW w:w="520" w:type="dxa"/>
            <w:vAlign w:val="bottom"/>
            <w:tcBorders>
              <w:bottom w:val="single" w:sz="8" w:color="43C0B9"/>
            </w:tcBorders>
            <w:shd w:val="clear" w:color="auto" w:fill="43C0B9"/>
          </w:tcPr>
          <w:p>
            <w:pPr>
              <w:jc w:val="right"/>
              <w:ind w:right="38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224.8</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(0.4)</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279.2</w:t>
            </w: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503.7</w:t>
            </w:r>
          </w:p>
        </w:tc>
      </w:tr>
      <w:tr>
        <w:trPr>
          <w:trHeight w:val="20"/>
        </w:trPr>
        <w:tc>
          <w:tcPr>
            <w:tcW w:w="2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1"/>
        </w:trPr>
        <w:tc>
          <w:tcPr>
            <w:tcW w:w="6880" w:type="dxa"/>
            <w:vAlign w:val="bottom"/>
          </w:tcPr>
          <w:p>
            <w:pPr>
              <w:ind w:left="3860"/>
              <w:spacing w:after="0"/>
              <w:rPr>
                <w:sz w:val="20"/>
                <w:szCs w:val="20"/>
                <w:color w:val="auto"/>
              </w:rPr>
            </w:pPr>
            <w:r>
              <w:rPr>
                <w:rFonts w:ascii="Arial" w:cs="Arial" w:eastAsia="Arial" w:hAnsi="Arial"/>
                <w:sz w:val="19"/>
                <w:szCs w:val="19"/>
                <w:b w:val="1"/>
                <w:bCs w:val="1"/>
                <w:color w:val="232F84"/>
              </w:rPr>
              <w:t>MISSION PRODUCE, INC.</w:t>
            </w: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1"/>
        </w:trPr>
        <w:tc>
          <w:tcPr>
            <w:tcW w:w="8500" w:type="dxa"/>
            <w:vAlign w:val="bottom"/>
            <w:gridSpan w:val="2"/>
          </w:tcPr>
          <w:p>
            <w:pPr>
              <w:ind w:left="1580"/>
              <w:spacing w:after="0"/>
              <w:rPr>
                <w:sz w:val="20"/>
                <w:szCs w:val="20"/>
                <w:color w:val="auto"/>
              </w:rPr>
            </w:pPr>
            <w:r>
              <w:rPr>
                <w:rFonts w:ascii="Arial" w:cs="Arial" w:eastAsia="Arial" w:hAnsi="Arial"/>
                <w:sz w:val="19"/>
                <w:szCs w:val="19"/>
                <w:b w:val="1"/>
                <w:bCs w:val="1"/>
                <w:color w:val="232F84"/>
                <w:w w:val="99"/>
              </w:rPr>
              <w:t>CONDENSED CONSOLIDATED STATEMENTS OF CASH FLOW (UNAUDITED)</w:t>
            </w: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73"/>
        </w:trPr>
        <w:tc>
          <w:tcPr>
            <w:tcW w:w="6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220" w:type="dxa"/>
            <w:vAlign w:val="bottom"/>
            <w:gridSpan w:val="2"/>
          </w:tcPr>
          <w:p>
            <w:pPr>
              <w:spacing w:after="0"/>
              <w:rPr>
                <w:sz w:val="6"/>
                <w:szCs w:val="6"/>
                <w:color w:val="auto"/>
              </w:rPr>
            </w:pPr>
          </w:p>
        </w:tc>
      </w:tr>
      <w:tr>
        <w:trPr>
          <w:trHeight w:val="169"/>
        </w:trPr>
        <w:tc>
          <w:tcPr>
            <w:tcW w:w="6880" w:type="dxa"/>
            <w:vAlign w:val="bottom"/>
            <w:shd w:val="clear" w:color="auto" w:fill="232F84"/>
          </w:tcPr>
          <w:p>
            <w:pPr>
              <w:spacing w:after="0"/>
              <w:rPr>
                <w:sz w:val="14"/>
                <w:szCs w:val="14"/>
                <w:color w:val="auto"/>
              </w:rPr>
            </w:pPr>
          </w:p>
        </w:tc>
        <w:tc>
          <w:tcPr>
            <w:tcW w:w="1620" w:type="dxa"/>
            <w:vAlign w:val="bottom"/>
            <w:shd w:val="clear" w:color="auto" w:fill="232F84"/>
          </w:tcPr>
          <w:p>
            <w:pPr>
              <w:spacing w:after="0"/>
              <w:rPr>
                <w:sz w:val="14"/>
                <w:szCs w:val="14"/>
                <w:color w:val="auto"/>
              </w:rPr>
            </w:pPr>
          </w:p>
        </w:tc>
        <w:tc>
          <w:tcPr>
            <w:tcW w:w="2220" w:type="dxa"/>
            <w:vAlign w:val="bottom"/>
            <w:gridSpan w:val="2"/>
            <w:shd w:val="clear" w:color="auto" w:fill="232F84"/>
          </w:tcPr>
          <w:p>
            <w:pPr>
              <w:jc w:val="right"/>
              <w:ind w:right="631"/>
              <w:spacing w:after="0"/>
              <w:rPr>
                <w:sz w:val="20"/>
                <w:szCs w:val="20"/>
                <w:color w:val="auto"/>
              </w:rPr>
            </w:pPr>
            <w:r>
              <w:rPr>
                <w:rFonts w:ascii="Arial" w:cs="Arial" w:eastAsia="Arial" w:hAnsi="Arial"/>
                <w:sz w:val="14"/>
                <w:szCs w:val="14"/>
                <w:b w:val="1"/>
                <w:bCs w:val="1"/>
                <w:color w:val="FFFFFF"/>
              </w:rPr>
              <w:t>Nine Months Ended</w:t>
            </w:r>
          </w:p>
        </w:tc>
      </w:tr>
      <w:tr>
        <w:trPr>
          <w:trHeight w:val="195"/>
        </w:trPr>
        <w:tc>
          <w:tcPr>
            <w:tcW w:w="6880" w:type="dxa"/>
            <w:vAlign w:val="bottom"/>
            <w:shd w:val="clear" w:color="auto" w:fill="232F84"/>
          </w:tcPr>
          <w:p>
            <w:pPr>
              <w:spacing w:after="0"/>
              <w:rPr>
                <w:sz w:val="17"/>
                <w:szCs w:val="17"/>
                <w:color w:val="auto"/>
              </w:rPr>
            </w:pPr>
          </w:p>
        </w:tc>
        <w:tc>
          <w:tcPr>
            <w:tcW w:w="1620" w:type="dxa"/>
            <w:vAlign w:val="bottom"/>
            <w:shd w:val="clear" w:color="auto" w:fill="232F84"/>
          </w:tcPr>
          <w:p>
            <w:pPr>
              <w:spacing w:after="0"/>
              <w:rPr>
                <w:sz w:val="17"/>
                <w:szCs w:val="17"/>
                <w:color w:val="auto"/>
              </w:rPr>
            </w:pPr>
          </w:p>
        </w:tc>
        <w:tc>
          <w:tcPr>
            <w:tcW w:w="1040" w:type="dxa"/>
            <w:vAlign w:val="bottom"/>
            <w:shd w:val="clear" w:color="auto" w:fill="232F84"/>
          </w:tcPr>
          <w:p>
            <w:pPr>
              <w:jc w:val="right"/>
              <w:ind w:right="151"/>
              <w:spacing w:after="0"/>
              <w:rPr>
                <w:sz w:val="20"/>
                <w:szCs w:val="20"/>
                <w:color w:val="auto"/>
              </w:rPr>
            </w:pPr>
            <w:r>
              <w:rPr>
                <w:rFonts w:ascii="Arial" w:cs="Arial" w:eastAsia="Arial" w:hAnsi="Arial"/>
                <w:sz w:val="14"/>
                <w:szCs w:val="14"/>
                <w:b w:val="1"/>
                <w:bCs w:val="1"/>
                <w:color w:val="FFFFFF"/>
              </w:rPr>
              <w:t>July 31,</w:t>
            </w:r>
          </w:p>
        </w:tc>
        <w:tc>
          <w:tcPr>
            <w:tcW w:w="1180" w:type="dxa"/>
            <w:vAlign w:val="bottom"/>
            <w:shd w:val="clear" w:color="auto" w:fill="232F84"/>
          </w:tcPr>
          <w:p>
            <w:pPr>
              <w:spacing w:after="0"/>
              <w:rPr>
                <w:sz w:val="17"/>
                <w:szCs w:val="17"/>
                <w:color w:val="auto"/>
              </w:rPr>
            </w:pPr>
          </w:p>
        </w:tc>
      </w:tr>
      <w:tr>
        <w:trPr>
          <w:trHeight w:val="216"/>
        </w:trPr>
        <w:tc>
          <w:tcPr>
            <w:tcW w:w="6880" w:type="dxa"/>
            <w:vAlign w:val="bottom"/>
            <w:shd w:val="clear" w:color="auto" w:fill="232F84"/>
          </w:tcPr>
          <w:p>
            <w:pPr>
              <w:ind w:left="640"/>
              <w:spacing w:after="0"/>
              <w:rPr>
                <w:sz w:val="20"/>
                <w:szCs w:val="20"/>
                <w:color w:val="auto"/>
              </w:rPr>
            </w:pPr>
            <w:r>
              <w:rPr>
                <w:rFonts w:ascii="Arial" w:cs="Arial" w:eastAsia="Arial" w:hAnsi="Arial"/>
                <w:sz w:val="14"/>
                <w:szCs w:val="14"/>
                <w:b w:val="1"/>
                <w:bCs w:val="1"/>
                <w:color w:val="FFFFFF"/>
              </w:rPr>
              <w:t>(In millions)</w:t>
            </w:r>
          </w:p>
        </w:tc>
        <w:tc>
          <w:tcPr>
            <w:tcW w:w="1620" w:type="dxa"/>
            <w:vAlign w:val="bottom"/>
            <w:shd w:val="clear" w:color="auto" w:fill="232F84"/>
          </w:tcPr>
          <w:p>
            <w:pPr>
              <w:spacing w:after="0"/>
              <w:rPr>
                <w:sz w:val="18"/>
                <w:szCs w:val="18"/>
                <w:color w:val="auto"/>
              </w:rPr>
            </w:pPr>
          </w:p>
        </w:tc>
        <w:tc>
          <w:tcPr>
            <w:tcW w:w="1040" w:type="dxa"/>
            <w:vAlign w:val="bottom"/>
            <w:shd w:val="clear" w:color="auto" w:fill="232F84"/>
          </w:tcPr>
          <w:p>
            <w:pPr>
              <w:jc w:val="right"/>
              <w:ind w:right="591"/>
              <w:spacing w:after="0"/>
              <w:rPr>
                <w:sz w:val="20"/>
                <w:szCs w:val="20"/>
                <w:color w:val="auto"/>
              </w:rPr>
            </w:pPr>
            <w:r>
              <w:rPr>
                <w:rFonts w:ascii="Arial" w:cs="Arial" w:eastAsia="Arial" w:hAnsi="Arial"/>
                <w:sz w:val="14"/>
                <w:szCs w:val="14"/>
                <w:b w:val="1"/>
                <w:bCs w:val="1"/>
                <w:color w:val="FFFFFF"/>
              </w:rPr>
              <w:t>2021</w:t>
            </w:r>
          </w:p>
        </w:tc>
        <w:tc>
          <w:tcPr>
            <w:tcW w:w="1180" w:type="dxa"/>
            <w:vAlign w:val="bottom"/>
            <w:shd w:val="clear" w:color="auto" w:fill="232F84"/>
          </w:tcPr>
          <w:p>
            <w:pPr>
              <w:spacing w:after="0"/>
              <w:rPr>
                <w:sz w:val="18"/>
                <w:szCs w:val="18"/>
                <w:color w:val="auto"/>
              </w:rPr>
            </w:pPr>
          </w:p>
        </w:tc>
      </w:tr>
      <w:tr>
        <w:trPr>
          <w:trHeight w:val="206"/>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b w:val="1"/>
                <w:bCs w:val="1"/>
                <w:color w:val="232F84"/>
              </w:rPr>
              <w:t>Operating Activities</w:t>
            </w:r>
          </w:p>
        </w:tc>
        <w:tc>
          <w:tcPr>
            <w:tcW w:w="1620" w:type="dxa"/>
            <w:vAlign w:val="bottom"/>
            <w:shd w:val="clear" w:color="auto" w:fill="43C0B9"/>
          </w:tcPr>
          <w:p>
            <w:pPr>
              <w:spacing w:after="0"/>
              <w:rPr>
                <w:sz w:val="17"/>
                <w:szCs w:val="17"/>
                <w:color w:val="auto"/>
              </w:rPr>
            </w:pPr>
          </w:p>
        </w:tc>
        <w:tc>
          <w:tcPr>
            <w:tcW w:w="1040" w:type="dxa"/>
            <w:vAlign w:val="bottom"/>
            <w:shd w:val="clear" w:color="auto" w:fill="43C0B9"/>
          </w:tcPr>
          <w:p>
            <w:pPr>
              <w:spacing w:after="0"/>
              <w:rPr>
                <w:sz w:val="17"/>
                <w:szCs w:val="17"/>
                <w:color w:val="auto"/>
              </w:rPr>
            </w:pPr>
          </w:p>
        </w:tc>
        <w:tc>
          <w:tcPr>
            <w:tcW w:w="1180" w:type="dxa"/>
            <w:vAlign w:val="bottom"/>
            <w:shd w:val="clear" w:color="auto" w:fill="43C0B9"/>
          </w:tcPr>
          <w:p>
            <w:pPr>
              <w:spacing w:after="0"/>
              <w:rPr>
                <w:sz w:val="17"/>
                <w:szCs w:val="17"/>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Net income</w:t>
            </w:r>
          </w:p>
        </w:tc>
        <w:tc>
          <w:tcPr>
            <w:tcW w:w="162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28.0</w:t>
            </w:r>
          </w:p>
        </w:tc>
        <w:tc>
          <w:tcPr>
            <w:tcW w:w="1180" w:type="dxa"/>
            <w:vAlign w:val="bottom"/>
          </w:tcPr>
          <w:p>
            <w:pPr>
              <w:jc w:val="right"/>
              <w:ind w:right="811"/>
              <w:spacing w:after="0"/>
              <w:rPr>
                <w:sz w:val="20"/>
                <w:szCs w:val="20"/>
                <w:color w:val="auto"/>
              </w:rPr>
            </w:pPr>
            <w:r>
              <w:rPr>
                <w:rFonts w:ascii="Arial" w:cs="Arial" w:eastAsia="Arial" w:hAnsi="Arial"/>
                <w:sz w:val="14"/>
                <w:szCs w:val="14"/>
                <w:color w:val="auto"/>
              </w:rPr>
              <w:t>$</w:t>
            </w: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spacing w:after="0"/>
              <w:rPr>
                <w:sz w:val="18"/>
                <w:szCs w:val="18"/>
                <w:color w:val="auto"/>
              </w:rPr>
            </w:pP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Depreciation and amortization</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13.7</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Amortization of debt issuance costs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0.2</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Equity method income</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(4.2)</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Impairment on equity method investment</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Stock-based compensation</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2.0</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Dividends received from equity method investees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1.7</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Net gains and losses on asset impairment, disposals and sales, net of insurance recoveries</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0.2</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Deferred income taxes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4.8</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Other</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(0.2)</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Unrealized (gains) losses on derivative financial instruments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(0.1)</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Effect on cash of changes in operating assets and liabilities:</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Trade accounts receivable</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(12.3)</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Grower fruit advances</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(0.1)</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Miscellaneous receivables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(0.2)</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Inventory</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(29.1)</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Prepaid expenses and other current assets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(0.5)</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Income taxes receivable</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(3.1)</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Other assets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(4.9)</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Accounts payable and accrued expenses</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10.9</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1060"/>
              <w:spacing w:after="0"/>
              <w:rPr>
                <w:sz w:val="20"/>
                <w:szCs w:val="20"/>
                <w:color w:val="auto"/>
              </w:rPr>
            </w:pPr>
            <w:r>
              <w:rPr>
                <w:rFonts w:ascii="Arial" w:cs="Arial" w:eastAsia="Arial" w:hAnsi="Arial"/>
                <w:sz w:val="14"/>
                <w:szCs w:val="14"/>
                <w:color w:val="auto"/>
              </w:rPr>
              <w:t>Income taxes payable</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0.8</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1060"/>
              <w:spacing w:after="0"/>
              <w:rPr>
                <w:sz w:val="20"/>
                <w:szCs w:val="20"/>
                <w:color w:val="auto"/>
              </w:rPr>
            </w:pPr>
            <w:r>
              <w:rPr>
                <w:rFonts w:ascii="Arial" w:cs="Arial" w:eastAsia="Arial" w:hAnsi="Arial"/>
                <w:sz w:val="14"/>
                <w:szCs w:val="14"/>
                <w:color w:val="auto"/>
              </w:rPr>
              <w:t>Grower payables</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7.9</w:t>
            </w:r>
          </w:p>
        </w:tc>
        <w:tc>
          <w:tcPr>
            <w:tcW w:w="1180" w:type="dxa"/>
            <w:vAlign w:val="bottom"/>
          </w:tcPr>
          <w:p>
            <w:pPr>
              <w:spacing w:after="0"/>
              <w:rPr>
                <w:sz w:val="17"/>
                <w:szCs w:val="17"/>
                <w:color w:val="auto"/>
              </w:rPr>
            </w:pPr>
          </w:p>
        </w:tc>
      </w:tr>
      <w:tr>
        <w:trPr>
          <w:trHeight w:val="206"/>
        </w:trPr>
        <w:tc>
          <w:tcPr>
            <w:tcW w:w="6880" w:type="dxa"/>
            <w:vAlign w:val="bottom"/>
            <w:tcBorders>
              <w:bottom w:val="single" w:sz="8" w:color="auto"/>
            </w:tcBorders>
            <w:shd w:val="clear" w:color="auto" w:fill="43C0B9"/>
          </w:tcPr>
          <w:p>
            <w:pPr>
              <w:ind w:left="1060"/>
              <w:spacing w:after="0"/>
              <w:rPr>
                <w:sz w:val="20"/>
                <w:szCs w:val="20"/>
                <w:color w:val="auto"/>
              </w:rPr>
            </w:pPr>
            <w:r>
              <w:rPr>
                <w:rFonts w:ascii="Arial" w:cs="Arial" w:eastAsia="Arial" w:hAnsi="Arial"/>
                <w:sz w:val="14"/>
                <w:szCs w:val="14"/>
                <w:color w:val="auto"/>
              </w:rPr>
              <w:t>Other long-term liabilities</w:t>
            </w:r>
          </w:p>
        </w:tc>
        <w:tc>
          <w:tcPr>
            <w:tcW w:w="162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491"/>
              <w:spacing w:after="0"/>
              <w:rPr>
                <w:sz w:val="20"/>
                <w:szCs w:val="20"/>
                <w:color w:val="auto"/>
              </w:rPr>
            </w:pPr>
            <w:r>
              <w:rPr>
                <w:rFonts w:ascii="Arial" w:cs="Arial" w:eastAsia="Arial" w:hAnsi="Arial"/>
                <w:sz w:val="14"/>
                <w:szCs w:val="14"/>
                <w:color w:val="auto"/>
              </w:rPr>
              <w:t>(0.3)</w:t>
            </w:r>
          </w:p>
        </w:tc>
        <w:tc>
          <w:tcPr>
            <w:tcW w:w="1180" w:type="dxa"/>
            <w:vAlign w:val="bottom"/>
            <w:tcBorders>
              <w:bottom w:val="single" w:sz="8" w:color="auto"/>
            </w:tcBorders>
            <w:shd w:val="clear" w:color="auto" w:fill="43C0B9"/>
          </w:tcPr>
          <w:p>
            <w:pPr>
              <w:spacing w:after="0"/>
              <w:rPr>
                <w:sz w:val="17"/>
                <w:szCs w:val="17"/>
                <w:color w:val="auto"/>
              </w:rPr>
            </w:pPr>
          </w:p>
        </w:tc>
      </w:tr>
      <w:tr>
        <w:trPr>
          <w:trHeight w:val="199"/>
        </w:trPr>
        <w:tc>
          <w:tcPr>
            <w:tcW w:w="68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162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15.2</w:t>
            </w:r>
          </w:p>
        </w:tc>
        <w:tc>
          <w:tcPr>
            <w:tcW w:w="118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r>
      <w:tr>
        <w:trPr>
          <w:trHeight w:val="205"/>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b w:val="1"/>
                <w:bCs w:val="1"/>
                <w:color w:val="232F84"/>
              </w:rPr>
              <w:t>Investing Activities</w:t>
            </w:r>
          </w:p>
        </w:tc>
        <w:tc>
          <w:tcPr>
            <w:tcW w:w="1620" w:type="dxa"/>
            <w:vAlign w:val="bottom"/>
            <w:shd w:val="clear" w:color="auto" w:fill="43C0B9"/>
          </w:tcPr>
          <w:p>
            <w:pPr>
              <w:spacing w:after="0"/>
              <w:rPr>
                <w:sz w:val="17"/>
                <w:szCs w:val="17"/>
                <w:color w:val="auto"/>
              </w:rPr>
            </w:pPr>
          </w:p>
        </w:tc>
        <w:tc>
          <w:tcPr>
            <w:tcW w:w="1040" w:type="dxa"/>
            <w:vAlign w:val="bottom"/>
            <w:shd w:val="clear" w:color="auto" w:fill="43C0B9"/>
          </w:tcPr>
          <w:p>
            <w:pPr>
              <w:spacing w:after="0"/>
              <w:rPr>
                <w:sz w:val="17"/>
                <w:szCs w:val="17"/>
                <w:color w:val="auto"/>
              </w:rPr>
            </w:pPr>
          </w:p>
        </w:tc>
        <w:tc>
          <w:tcPr>
            <w:tcW w:w="1180" w:type="dxa"/>
            <w:vAlign w:val="bottom"/>
            <w:shd w:val="clear" w:color="auto" w:fill="43C0B9"/>
          </w:tcPr>
          <w:p>
            <w:pPr>
              <w:spacing w:after="0"/>
              <w:rPr>
                <w:sz w:val="17"/>
                <w:szCs w:val="17"/>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Purchases of property and equipment</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(61.3)</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Proceeds from sale of property, plant and equipment</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2.3</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Insurance proceeds for the replacement of property, plant and equipment</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0.8</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Investment in equity method investees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(0.2)</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Loans to equity method investees</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(2.0)</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Loan repayments from equity method investees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1.5</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Other</w:t>
            </w:r>
          </w:p>
        </w:tc>
        <w:tc>
          <w:tcPr>
            <w:tcW w:w="1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spacing w:after="0"/>
              <w:rPr>
                <w:sz w:val="17"/>
                <w:szCs w:val="17"/>
                <w:color w:val="auto"/>
              </w:rPr>
            </w:pPr>
          </w:p>
        </w:tc>
      </w:tr>
      <w:tr>
        <w:trPr>
          <w:trHeight w:val="199"/>
        </w:trPr>
        <w:tc>
          <w:tcPr>
            <w:tcW w:w="68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Net cash used in investing activities</w:t>
            </w:r>
          </w:p>
        </w:tc>
        <w:tc>
          <w:tcPr>
            <w:tcW w:w="1620" w:type="dxa"/>
            <w:vAlign w:val="bottom"/>
            <w:tcBorders>
              <w:bottom w:val="single" w:sz="8" w:color="auto"/>
            </w:tcBorders>
            <w:shd w:val="clear" w:color="auto" w:fill="43C0B9"/>
          </w:tcPr>
          <w:p>
            <w:pPr>
              <w:jc w:val="right"/>
              <w:ind w:right="83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43C0B9"/>
          </w:tcPr>
          <w:p>
            <w:pPr>
              <w:jc w:val="right"/>
              <w:ind w:right="491"/>
              <w:spacing w:after="0"/>
              <w:rPr>
                <w:sz w:val="20"/>
                <w:szCs w:val="20"/>
                <w:color w:val="auto"/>
              </w:rPr>
            </w:pPr>
            <w:r>
              <w:rPr>
                <w:rFonts w:ascii="Arial" w:cs="Arial" w:eastAsia="Arial" w:hAnsi="Arial"/>
                <w:sz w:val="14"/>
                <w:szCs w:val="14"/>
                <w:color w:val="auto"/>
              </w:rPr>
              <w:t>(58.9)</w:t>
            </w:r>
          </w:p>
        </w:tc>
        <w:tc>
          <w:tcPr>
            <w:tcW w:w="1180" w:type="dxa"/>
            <w:vAlign w:val="bottom"/>
            <w:tcBorders>
              <w:bottom w:val="single" w:sz="8" w:color="auto"/>
            </w:tcBorders>
            <w:shd w:val="clear" w:color="auto" w:fill="43C0B9"/>
          </w:tcPr>
          <w:p>
            <w:pPr>
              <w:jc w:val="right"/>
              <w:ind w:right="811"/>
              <w:spacing w:after="0"/>
              <w:rPr>
                <w:sz w:val="20"/>
                <w:szCs w:val="20"/>
                <w:color w:val="auto"/>
              </w:rPr>
            </w:pPr>
            <w:r>
              <w:rPr>
                <w:rFonts w:ascii="Arial" w:cs="Arial" w:eastAsia="Arial" w:hAnsi="Arial"/>
                <w:sz w:val="14"/>
                <w:szCs w:val="14"/>
                <w:color w:val="auto"/>
              </w:rPr>
              <w:t>$</w:t>
            </w:r>
          </w:p>
        </w:tc>
      </w:tr>
      <w:tr>
        <w:trPr>
          <w:trHeight w:val="199"/>
        </w:trPr>
        <w:tc>
          <w:tcPr>
            <w:tcW w:w="6880" w:type="dxa"/>
            <w:vAlign w:val="bottom"/>
          </w:tcPr>
          <w:p>
            <w:pPr>
              <w:ind w:left="640"/>
              <w:spacing w:after="0"/>
              <w:rPr>
                <w:sz w:val="20"/>
                <w:szCs w:val="20"/>
                <w:color w:val="auto"/>
              </w:rPr>
            </w:pPr>
            <w:r>
              <w:rPr>
                <w:rFonts w:ascii="Arial" w:cs="Arial" w:eastAsia="Arial" w:hAnsi="Arial"/>
                <w:sz w:val="14"/>
                <w:szCs w:val="14"/>
                <w:b w:val="1"/>
                <w:bCs w:val="1"/>
                <w:color w:val="232F84"/>
              </w:rPr>
              <w:t>Financing Activities</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Borrowings on revolving credit facility</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Payments on revolving credit facility</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Principal payments on long-term debt obligations</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491"/>
              <w:spacing w:after="0"/>
              <w:rPr>
                <w:sz w:val="20"/>
                <w:szCs w:val="20"/>
                <w:color w:val="auto"/>
              </w:rPr>
            </w:pPr>
            <w:r>
              <w:rPr>
                <w:rFonts w:ascii="Arial" w:cs="Arial" w:eastAsia="Arial" w:hAnsi="Arial"/>
                <w:sz w:val="14"/>
                <w:szCs w:val="14"/>
                <w:color w:val="auto"/>
              </w:rPr>
              <w:t>(5.7)</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Principal payments on capital lease obligations</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(0.9)</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Payments for long-term supplier financing</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Dividends paid</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Repayment of stock option notes receivable</w:t>
            </w:r>
          </w:p>
        </w:tc>
        <w:tc>
          <w:tcPr>
            <w:tcW w:w="16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shd w:val="clear" w:color="auto" w:fill="43C0B9"/>
          </w:tcPr>
          <w:p>
            <w:pPr>
              <w:spacing w:after="0"/>
              <w:rPr>
                <w:sz w:val="18"/>
                <w:szCs w:val="18"/>
                <w:color w:val="auto"/>
              </w:rPr>
            </w:pP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Debt issuance costs</w:t>
            </w:r>
          </w:p>
        </w:tc>
        <w:tc>
          <w:tcPr>
            <w:tcW w:w="1620" w:type="dxa"/>
            <w:vAlign w:val="bottom"/>
          </w:tcPr>
          <w:p>
            <w:pPr>
              <w:spacing w:after="0"/>
              <w:rPr>
                <w:sz w:val="17"/>
                <w:szCs w:val="17"/>
                <w:color w:val="auto"/>
              </w:rPr>
            </w:pPr>
          </w:p>
        </w:tc>
        <w:tc>
          <w:tcPr>
            <w:tcW w:w="104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r>
      <w:tr>
        <w:trPr>
          <w:trHeight w:val="206"/>
        </w:trPr>
        <w:tc>
          <w:tcPr>
            <w:tcW w:w="68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Purchase and retirement of stock</w:t>
            </w:r>
          </w:p>
        </w:tc>
        <w:tc>
          <w:tcPr>
            <w:tcW w:w="162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43C0B9"/>
          </w:tcPr>
          <w:p>
            <w:pPr>
              <w:spacing w:after="0"/>
              <w:rPr>
                <w:sz w:val="17"/>
                <w:szCs w:val="17"/>
                <w:color w:val="auto"/>
              </w:rPr>
            </w:pPr>
          </w:p>
        </w:tc>
      </w:tr>
      <w:tr>
        <w:trPr>
          <w:trHeight w:val="199"/>
        </w:trPr>
        <w:tc>
          <w:tcPr>
            <w:tcW w:w="6880" w:type="dxa"/>
            <w:vAlign w:val="bottom"/>
          </w:tcPr>
          <w:p>
            <w:pPr>
              <w:ind w:left="640"/>
              <w:spacing w:after="0"/>
              <w:rPr>
                <w:sz w:val="20"/>
                <w:szCs w:val="20"/>
                <w:color w:val="auto"/>
              </w:rPr>
            </w:pPr>
            <w:r>
              <w:rPr>
                <w:rFonts w:ascii="Arial" w:cs="Arial" w:eastAsia="Arial" w:hAnsi="Arial"/>
                <w:sz w:val="14"/>
                <w:szCs w:val="14"/>
                <w:color w:val="auto"/>
              </w:rPr>
              <w:t>Net cash used in financing activities</w:t>
            </w:r>
          </w:p>
        </w:tc>
        <w:tc>
          <w:tcPr>
            <w:tcW w:w="162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(6.6)</w:t>
            </w:r>
          </w:p>
        </w:tc>
        <w:tc>
          <w:tcPr>
            <w:tcW w:w="1180" w:type="dxa"/>
            <w:vAlign w:val="bottom"/>
          </w:tcPr>
          <w:p>
            <w:pPr>
              <w:jc w:val="right"/>
              <w:ind w:right="811"/>
              <w:spacing w:after="0"/>
              <w:rPr>
                <w:sz w:val="20"/>
                <w:szCs w:val="20"/>
                <w:color w:val="auto"/>
              </w:rPr>
            </w:pPr>
            <w:r>
              <w:rPr>
                <w:rFonts w:ascii="Arial" w:cs="Arial" w:eastAsia="Arial" w:hAnsi="Arial"/>
                <w:sz w:val="14"/>
                <w:szCs w:val="14"/>
                <w:color w:val="auto"/>
              </w:rPr>
              <w:t>$</w:t>
            </w:r>
          </w:p>
        </w:tc>
      </w:tr>
      <w:tr>
        <w:trPr>
          <w:trHeight w:val="206"/>
        </w:trPr>
        <w:tc>
          <w:tcPr>
            <w:tcW w:w="68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Effect of exchange rate changes on cash</w:t>
            </w:r>
          </w:p>
        </w:tc>
        <w:tc>
          <w:tcPr>
            <w:tcW w:w="162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43C0B9"/>
          </w:tcPr>
          <w:p>
            <w:pPr>
              <w:spacing w:after="0"/>
              <w:rPr>
                <w:sz w:val="17"/>
                <w:szCs w:val="17"/>
                <w:color w:val="auto"/>
              </w:rPr>
            </w:pPr>
          </w:p>
        </w:tc>
      </w:tr>
      <w:tr>
        <w:trPr>
          <w:trHeight w:val="199"/>
        </w:trPr>
        <w:tc>
          <w:tcPr>
            <w:tcW w:w="6880" w:type="dxa"/>
            <w:vAlign w:val="bottom"/>
          </w:tcPr>
          <w:p>
            <w:pPr>
              <w:ind w:left="640"/>
              <w:spacing w:after="0"/>
              <w:rPr>
                <w:sz w:val="20"/>
                <w:szCs w:val="20"/>
                <w:color w:val="auto"/>
              </w:rPr>
            </w:pPr>
            <w:r>
              <w:rPr>
                <w:rFonts w:ascii="Arial" w:cs="Arial" w:eastAsia="Arial" w:hAnsi="Arial"/>
                <w:sz w:val="14"/>
                <w:szCs w:val="14"/>
                <w:color w:val="auto"/>
              </w:rPr>
              <w:t>Net decrease in cash, cash equivalents and restricted cash</w:t>
            </w:r>
          </w:p>
        </w:tc>
        <w:tc>
          <w:tcPr>
            <w:tcW w:w="1620" w:type="dxa"/>
            <w:vAlign w:val="bottom"/>
          </w:tcPr>
          <w:p>
            <w:pPr>
              <w:spacing w:after="0"/>
              <w:rPr>
                <w:sz w:val="17"/>
                <w:szCs w:val="17"/>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color w:val="auto"/>
              </w:rPr>
              <w:t>(50.3)</w:t>
            </w:r>
          </w:p>
        </w:tc>
        <w:tc>
          <w:tcPr>
            <w:tcW w:w="1180" w:type="dxa"/>
            <w:vAlign w:val="bottom"/>
          </w:tcPr>
          <w:p>
            <w:pPr>
              <w:spacing w:after="0"/>
              <w:rPr>
                <w:sz w:val="17"/>
                <w:szCs w:val="17"/>
                <w:color w:val="auto"/>
              </w:rPr>
            </w:pPr>
          </w:p>
        </w:tc>
      </w:tr>
      <w:tr>
        <w:trPr>
          <w:trHeight w:val="206"/>
        </w:trPr>
        <w:tc>
          <w:tcPr>
            <w:tcW w:w="68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Cash, cash equivalents and restricted cash, beginning of period</w:t>
            </w:r>
          </w:p>
        </w:tc>
        <w:tc>
          <w:tcPr>
            <w:tcW w:w="162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531"/>
              <w:spacing w:after="0"/>
              <w:rPr>
                <w:sz w:val="20"/>
                <w:szCs w:val="20"/>
                <w:color w:val="auto"/>
              </w:rPr>
            </w:pPr>
            <w:r>
              <w:rPr>
                <w:rFonts w:ascii="Arial" w:cs="Arial" w:eastAsia="Arial" w:hAnsi="Arial"/>
                <w:sz w:val="14"/>
                <w:szCs w:val="14"/>
                <w:color w:val="auto"/>
              </w:rPr>
              <w:t>127.0</w:t>
            </w:r>
          </w:p>
        </w:tc>
        <w:tc>
          <w:tcPr>
            <w:tcW w:w="1180" w:type="dxa"/>
            <w:vAlign w:val="bottom"/>
            <w:tcBorders>
              <w:bottom w:val="single" w:sz="8" w:color="auto"/>
            </w:tcBorders>
            <w:shd w:val="clear" w:color="auto" w:fill="43C0B9"/>
          </w:tcPr>
          <w:p>
            <w:pPr>
              <w:spacing w:after="0"/>
              <w:rPr>
                <w:sz w:val="17"/>
                <w:szCs w:val="17"/>
                <w:color w:val="auto"/>
              </w:rPr>
            </w:pPr>
          </w:p>
        </w:tc>
      </w:tr>
      <w:tr>
        <w:trPr>
          <w:trHeight w:val="199"/>
        </w:trPr>
        <w:tc>
          <w:tcPr>
            <w:tcW w:w="68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Cash, cash equivalents and restricted cash, end of period</w:t>
            </w:r>
          </w:p>
        </w:tc>
        <w:tc>
          <w:tcPr>
            <w:tcW w:w="162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76.7</w:t>
            </w:r>
          </w:p>
        </w:tc>
        <w:tc>
          <w:tcPr>
            <w:tcW w:w="118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r>
      <w:tr>
        <w:trPr>
          <w:trHeight w:val="179"/>
        </w:trPr>
        <w:tc>
          <w:tcPr>
            <w:tcW w:w="6880" w:type="dxa"/>
            <w:vAlign w:val="bottom"/>
            <w:shd w:val="clear" w:color="auto" w:fill="43C0B9"/>
          </w:tcPr>
          <w:p>
            <w:pPr>
              <w:spacing w:after="0"/>
              <w:rPr>
                <w:sz w:val="15"/>
                <w:szCs w:val="15"/>
                <w:color w:val="auto"/>
              </w:rPr>
            </w:pPr>
          </w:p>
        </w:tc>
        <w:tc>
          <w:tcPr>
            <w:tcW w:w="162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1180" w:type="dxa"/>
            <w:vAlign w:val="bottom"/>
            <w:shd w:val="clear" w:color="auto" w:fill="43C0B9"/>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720"/>
          </w:cols>
          <w:pgMar w:left="940" w:top="1040" w:right="239" w:bottom="1440" w:gutter="0" w:footer="0" w:header="0"/>
        </w:sectPr>
      </w:pPr>
    </w:p>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64135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20"/>
          </w:cols>
          <w:pgMar w:left="940" w:top="1040" w:right="239" w:bottom="1440" w:gutter="0" w:footer="0" w:header="0"/>
          <w:type w:val="continuous"/>
        </w:sectPr>
      </w:pPr>
    </w:p>
    <w:bookmarkStart w:id="8" w:name="page9"/>
    <w:bookmarkEnd w:id="8"/>
    <w:tbl>
      <w:tblPr>
        <w:tblLayout w:type="fixed"/>
        <w:tblInd w:w="620" w:type="dxa"/>
        <w:tblCellMar>
          <w:top w:w="0" w:type="dxa"/>
          <w:left w:w="0" w:type="dxa"/>
          <w:bottom w:w="0" w:type="dxa"/>
          <w:right w:w="0" w:type="dxa"/>
        </w:tblCellMar>
      </w:tblPr>
      <w:tr>
        <w:trPr>
          <w:trHeight w:val="169"/>
        </w:trPr>
        <w:tc>
          <w:tcPr>
            <w:tcW w:w="6880" w:type="dxa"/>
            <w:vAlign w:val="bottom"/>
            <w:shd w:val="clear" w:color="auto" w:fill="232F84"/>
          </w:tcPr>
          <w:p>
            <w:pPr>
              <w:spacing w:after="0"/>
              <w:rPr>
                <w:sz w:val="14"/>
                <w:szCs w:val="14"/>
                <w:color w:val="auto"/>
              </w:rPr>
            </w:pPr>
          </w:p>
        </w:tc>
        <w:tc>
          <w:tcPr>
            <w:tcW w:w="1200" w:type="dxa"/>
            <w:vAlign w:val="bottom"/>
            <w:shd w:val="clear" w:color="auto" w:fill="232F84"/>
          </w:tcPr>
          <w:p>
            <w:pPr>
              <w:spacing w:after="0"/>
              <w:rPr>
                <w:sz w:val="14"/>
                <w:szCs w:val="14"/>
                <w:color w:val="auto"/>
              </w:rPr>
            </w:pPr>
          </w:p>
        </w:tc>
        <w:tc>
          <w:tcPr>
            <w:tcW w:w="2640" w:type="dxa"/>
            <w:vAlign w:val="bottom"/>
            <w:gridSpan w:val="2"/>
            <w:shd w:val="clear" w:color="auto" w:fill="232F84"/>
          </w:tcPr>
          <w:p>
            <w:pPr>
              <w:jc w:val="right"/>
              <w:ind w:right="631"/>
              <w:spacing w:after="0"/>
              <w:rPr>
                <w:sz w:val="20"/>
                <w:szCs w:val="20"/>
                <w:color w:val="auto"/>
              </w:rPr>
            </w:pPr>
            <w:r>
              <w:rPr>
                <w:rFonts w:ascii="Arial" w:cs="Arial" w:eastAsia="Arial" w:hAnsi="Arial"/>
                <w:sz w:val="14"/>
                <w:szCs w:val="14"/>
                <w:b w:val="1"/>
                <w:bCs w:val="1"/>
                <w:color w:val="FFFFFF"/>
              </w:rPr>
              <w:t>Nine Months Ended</w:t>
            </w:r>
          </w:p>
        </w:tc>
      </w:tr>
      <w:tr>
        <w:trPr>
          <w:trHeight w:val="195"/>
        </w:trPr>
        <w:tc>
          <w:tcPr>
            <w:tcW w:w="6880" w:type="dxa"/>
            <w:vAlign w:val="bottom"/>
            <w:shd w:val="clear" w:color="auto" w:fill="232F84"/>
          </w:tcPr>
          <w:p>
            <w:pPr>
              <w:spacing w:after="0"/>
              <w:rPr>
                <w:sz w:val="17"/>
                <w:szCs w:val="17"/>
                <w:color w:val="auto"/>
              </w:rPr>
            </w:pPr>
          </w:p>
        </w:tc>
        <w:tc>
          <w:tcPr>
            <w:tcW w:w="1200" w:type="dxa"/>
            <w:vAlign w:val="bottom"/>
            <w:shd w:val="clear" w:color="auto" w:fill="232F84"/>
          </w:tcPr>
          <w:p>
            <w:pPr>
              <w:spacing w:after="0"/>
              <w:rPr>
                <w:sz w:val="17"/>
                <w:szCs w:val="17"/>
                <w:color w:val="auto"/>
              </w:rPr>
            </w:pPr>
          </w:p>
        </w:tc>
        <w:tc>
          <w:tcPr>
            <w:tcW w:w="1460" w:type="dxa"/>
            <w:vAlign w:val="bottom"/>
            <w:shd w:val="clear" w:color="auto" w:fill="232F84"/>
          </w:tcPr>
          <w:p>
            <w:pPr>
              <w:jc w:val="right"/>
              <w:ind w:right="151"/>
              <w:spacing w:after="0"/>
              <w:rPr>
                <w:sz w:val="20"/>
                <w:szCs w:val="20"/>
                <w:color w:val="auto"/>
              </w:rPr>
            </w:pPr>
            <w:r>
              <w:rPr>
                <w:rFonts w:ascii="Arial" w:cs="Arial" w:eastAsia="Arial" w:hAnsi="Arial"/>
                <w:sz w:val="14"/>
                <w:szCs w:val="14"/>
                <w:b w:val="1"/>
                <w:bCs w:val="1"/>
                <w:color w:val="FFFFFF"/>
              </w:rPr>
              <w:t>July 31,</w:t>
            </w:r>
          </w:p>
        </w:tc>
        <w:tc>
          <w:tcPr>
            <w:tcW w:w="1180" w:type="dxa"/>
            <w:vAlign w:val="bottom"/>
            <w:shd w:val="clear" w:color="auto" w:fill="232F84"/>
          </w:tcPr>
          <w:p>
            <w:pPr>
              <w:spacing w:after="0"/>
              <w:rPr>
                <w:sz w:val="17"/>
                <w:szCs w:val="17"/>
                <w:color w:val="auto"/>
              </w:rPr>
            </w:pPr>
          </w:p>
        </w:tc>
      </w:tr>
      <w:tr>
        <w:trPr>
          <w:trHeight w:val="216"/>
        </w:trPr>
        <w:tc>
          <w:tcPr>
            <w:tcW w:w="6880" w:type="dxa"/>
            <w:vAlign w:val="bottom"/>
            <w:shd w:val="clear" w:color="auto" w:fill="232F84"/>
          </w:tcPr>
          <w:p>
            <w:pPr>
              <w:ind w:left="640"/>
              <w:spacing w:after="0"/>
              <w:rPr>
                <w:sz w:val="20"/>
                <w:szCs w:val="20"/>
                <w:color w:val="auto"/>
              </w:rPr>
            </w:pPr>
            <w:r>
              <w:rPr>
                <w:rFonts w:ascii="Arial" w:cs="Arial" w:eastAsia="Arial" w:hAnsi="Arial"/>
                <w:sz w:val="14"/>
                <w:szCs w:val="14"/>
                <w:b w:val="1"/>
                <w:bCs w:val="1"/>
                <w:color w:val="FFFFFF"/>
              </w:rPr>
              <w:t>(In millions)</w:t>
            </w:r>
          </w:p>
        </w:tc>
        <w:tc>
          <w:tcPr>
            <w:tcW w:w="1200" w:type="dxa"/>
            <w:vAlign w:val="bottom"/>
            <w:shd w:val="clear" w:color="auto" w:fill="232F84"/>
          </w:tcPr>
          <w:p>
            <w:pPr>
              <w:spacing w:after="0"/>
              <w:rPr>
                <w:sz w:val="18"/>
                <w:szCs w:val="18"/>
                <w:color w:val="auto"/>
              </w:rPr>
            </w:pPr>
          </w:p>
        </w:tc>
        <w:tc>
          <w:tcPr>
            <w:tcW w:w="1460" w:type="dxa"/>
            <w:vAlign w:val="bottom"/>
            <w:shd w:val="clear" w:color="auto" w:fill="232F84"/>
          </w:tcPr>
          <w:p>
            <w:pPr>
              <w:jc w:val="right"/>
              <w:ind w:right="591"/>
              <w:spacing w:after="0"/>
              <w:rPr>
                <w:sz w:val="20"/>
                <w:szCs w:val="20"/>
                <w:color w:val="auto"/>
              </w:rPr>
            </w:pPr>
            <w:r>
              <w:rPr>
                <w:rFonts w:ascii="Arial" w:cs="Arial" w:eastAsia="Arial" w:hAnsi="Arial"/>
                <w:sz w:val="14"/>
                <w:szCs w:val="14"/>
                <w:b w:val="1"/>
                <w:bCs w:val="1"/>
                <w:color w:val="FFFFFF"/>
              </w:rPr>
              <w:t>2021</w:t>
            </w:r>
          </w:p>
        </w:tc>
        <w:tc>
          <w:tcPr>
            <w:tcW w:w="1180" w:type="dxa"/>
            <w:vAlign w:val="bottom"/>
            <w:shd w:val="clear" w:color="auto" w:fill="232F84"/>
          </w:tcPr>
          <w:p>
            <w:pPr>
              <w:spacing w:after="0"/>
              <w:rPr>
                <w:sz w:val="18"/>
                <w:szCs w:val="18"/>
                <w:color w:val="auto"/>
              </w:rPr>
            </w:pPr>
          </w:p>
        </w:tc>
      </w:tr>
      <w:tr>
        <w:trPr>
          <w:trHeight w:val="169"/>
        </w:trPr>
        <w:tc>
          <w:tcPr>
            <w:tcW w:w="6880" w:type="dxa"/>
            <w:vAlign w:val="bottom"/>
          </w:tcPr>
          <w:p>
            <w:pPr>
              <w:ind w:left="64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6"/>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6880" w:type="dxa"/>
            <w:vAlign w:val="bottom"/>
            <w:shd w:val="clear" w:color="auto" w:fill="43C0B9"/>
          </w:tcPr>
          <w:p>
            <w:pPr>
              <w:ind w:left="640"/>
              <w:spacing w:after="0"/>
              <w:rPr>
                <w:sz w:val="20"/>
                <w:szCs w:val="20"/>
                <w:color w:val="auto"/>
              </w:rPr>
            </w:pPr>
            <w:r>
              <w:rPr>
                <w:rFonts w:ascii="Arial" w:cs="Arial" w:eastAsia="Arial" w:hAnsi="Arial"/>
                <w:sz w:val="14"/>
                <w:szCs w:val="14"/>
                <w:color w:val="auto"/>
              </w:rPr>
              <w:t>Cash and cash equivalents</w:t>
            </w:r>
          </w:p>
        </w:tc>
        <w:tc>
          <w:tcPr>
            <w:tcW w:w="1200" w:type="dxa"/>
            <w:vAlign w:val="bottom"/>
            <w:shd w:val="clear" w:color="auto" w:fill="43C0B9"/>
          </w:tcPr>
          <w:p>
            <w:pPr>
              <w:jc w:val="right"/>
              <w:ind w:right="411"/>
              <w:spacing w:after="0"/>
              <w:rPr>
                <w:sz w:val="20"/>
                <w:szCs w:val="20"/>
                <w:color w:val="auto"/>
              </w:rPr>
            </w:pPr>
            <w:r>
              <w:rPr>
                <w:rFonts w:ascii="Arial" w:cs="Arial" w:eastAsia="Arial" w:hAnsi="Arial"/>
                <w:sz w:val="14"/>
                <w:szCs w:val="14"/>
                <w:color w:val="auto"/>
              </w:rPr>
              <w:t>$</w:t>
            </w:r>
          </w:p>
        </w:tc>
        <w:tc>
          <w:tcPr>
            <w:tcW w:w="146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70.9</w:t>
            </w:r>
          </w:p>
        </w:tc>
        <w:tc>
          <w:tcPr>
            <w:tcW w:w="1180" w:type="dxa"/>
            <w:vAlign w:val="bottom"/>
            <w:shd w:val="clear" w:color="auto" w:fill="43C0B9"/>
          </w:tcPr>
          <w:p>
            <w:pPr>
              <w:jc w:val="right"/>
              <w:ind w:right="811"/>
              <w:spacing w:after="0"/>
              <w:rPr>
                <w:sz w:val="20"/>
                <w:szCs w:val="20"/>
                <w:color w:val="auto"/>
              </w:rPr>
            </w:pPr>
            <w:r>
              <w:rPr>
                <w:rFonts w:ascii="Arial" w:cs="Arial" w:eastAsia="Arial" w:hAnsi="Arial"/>
                <w:sz w:val="14"/>
                <w:szCs w:val="14"/>
                <w:color w:val="auto"/>
              </w:rPr>
              <w:t>$</w:t>
            </w:r>
          </w:p>
        </w:tc>
      </w:tr>
      <w:tr>
        <w:trPr>
          <w:trHeight w:val="200"/>
        </w:trPr>
        <w:tc>
          <w:tcPr>
            <w:tcW w:w="6880" w:type="dxa"/>
            <w:vAlign w:val="bottom"/>
          </w:tcPr>
          <w:p>
            <w:pPr>
              <w:ind w:left="640"/>
              <w:spacing w:after="0"/>
              <w:rPr>
                <w:sz w:val="20"/>
                <w:szCs w:val="20"/>
                <w:color w:val="auto"/>
              </w:rPr>
            </w:pPr>
            <w:r>
              <w:rPr>
                <w:rFonts w:ascii="Arial" w:cs="Arial" w:eastAsia="Arial" w:hAnsi="Arial"/>
                <w:sz w:val="14"/>
                <w:szCs w:val="14"/>
                <w:color w:val="auto"/>
              </w:rPr>
              <w:t>Restricted cash</w:t>
            </w:r>
          </w:p>
        </w:tc>
        <w:tc>
          <w:tcPr>
            <w:tcW w:w="1200" w:type="dxa"/>
            <w:vAlign w:val="bottom"/>
          </w:tcPr>
          <w:p>
            <w:pPr>
              <w:spacing w:after="0"/>
              <w:rPr>
                <w:sz w:val="17"/>
                <w:szCs w:val="17"/>
                <w:color w:val="auto"/>
              </w:rPr>
            </w:pPr>
          </w:p>
        </w:tc>
        <w:tc>
          <w:tcPr>
            <w:tcW w:w="1460" w:type="dxa"/>
            <w:vAlign w:val="bottom"/>
          </w:tcPr>
          <w:p>
            <w:pPr>
              <w:jc w:val="right"/>
              <w:ind w:right="531"/>
              <w:spacing w:after="0"/>
              <w:rPr>
                <w:sz w:val="20"/>
                <w:szCs w:val="20"/>
                <w:color w:val="auto"/>
              </w:rPr>
            </w:pPr>
            <w:r>
              <w:rPr>
                <w:rFonts w:ascii="Arial" w:cs="Arial" w:eastAsia="Arial" w:hAnsi="Arial"/>
                <w:sz w:val="14"/>
                <w:szCs w:val="14"/>
                <w:color w:val="auto"/>
              </w:rPr>
              <w:t>4.2</w:t>
            </w:r>
          </w:p>
        </w:tc>
        <w:tc>
          <w:tcPr>
            <w:tcW w:w="1180" w:type="dxa"/>
            <w:vAlign w:val="bottom"/>
          </w:tcPr>
          <w:p>
            <w:pPr>
              <w:spacing w:after="0"/>
              <w:rPr>
                <w:sz w:val="17"/>
                <w:szCs w:val="17"/>
                <w:color w:val="auto"/>
              </w:rPr>
            </w:pPr>
          </w:p>
        </w:tc>
      </w:tr>
      <w:tr>
        <w:trPr>
          <w:trHeight w:val="206"/>
        </w:trPr>
        <w:tc>
          <w:tcPr>
            <w:tcW w:w="6880" w:type="dxa"/>
            <w:vAlign w:val="bottom"/>
            <w:tcBorders>
              <w:bottom w:val="single" w:sz="8" w:color="auto"/>
            </w:tcBorders>
            <w:shd w:val="clear" w:color="auto" w:fill="43C0B9"/>
          </w:tcPr>
          <w:p>
            <w:pPr>
              <w:ind w:left="640"/>
              <w:spacing w:after="0"/>
              <w:rPr>
                <w:sz w:val="20"/>
                <w:szCs w:val="20"/>
                <w:color w:val="auto"/>
              </w:rPr>
            </w:pPr>
            <w:r>
              <w:rPr>
                <w:rFonts w:ascii="Arial" w:cs="Arial" w:eastAsia="Arial" w:hAnsi="Arial"/>
                <w:sz w:val="14"/>
                <w:szCs w:val="14"/>
                <w:color w:val="auto"/>
              </w:rPr>
              <w:t>Restricted cash included in other assets</w:t>
            </w:r>
          </w:p>
        </w:tc>
        <w:tc>
          <w:tcPr>
            <w:tcW w:w="1200" w:type="dxa"/>
            <w:vAlign w:val="bottom"/>
            <w:tcBorders>
              <w:bottom w:val="single" w:sz="8" w:color="auto"/>
            </w:tcBorders>
            <w:shd w:val="clear" w:color="auto" w:fill="43C0B9"/>
          </w:tcPr>
          <w:p>
            <w:pPr>
              <w:spacing w:after="0"/>
              <w:rPr>
                <w:sz w:val="17"/>
                <w:szCs w:val="17"/>
                <w:color w:val="auto"/>
              </w:rPr>
            </w:pPr>
          </w:p>
        </w:tc>
        <w:tc>
          <w:tcPr>
            <w:tcW w:w="1460" w:type="dxa"/>
            <w:vAlign w:val="bottom"/>
            <w:tcBorders>
              <w:bottom w:val="single" w:sz="8" w:color="auto"/>
            </w:tcBorders>
            <w:shd w:val="clear" w:color="auto" w:fill="43C0B9"/>
          </w:tcPr>
          <w:p>
            <w:pPr>
              <w:jc w:val="right"/>
              <w:ind w:right="531"/>
              <w:spacing w:after="0"/>
              <w:rPr>
                <w:sz w:val="20"/>
                <w:szCs w:val="20"/>
                <w:color w:val="auto"/>
              </w:rPr>
            </w:pPr>
            <w:r>
              <w:rPr>
                <w:rFonts w:ascii="Arial" w:cs="Arial" w:eastAsia="Arial" w:hAnsi="Arial"/>
                <w:sz w:val="14"/>
                <w:szCs w:val="14"/>
                <w:color w:val="auto"/>
              </w:rPr>
              <w:t>1.6</w:t>
            </w:r>
          </w:p>
        </w:tc>
        <w:tc>
          <w:tcPr>
            <w:tcW w:w="1180" w:type="dxa"/>
            <w:vAlign w:val="bottom"/>
            <w:tcBorders>
              <w:bottom w:val="single" w:sz="8" w:color="auto"/>
            </w:tcBorders>
            <w:shd w:val="clear" w:color="auto" w:fill="43C0B9"/>
          </w:tcPr>
          <w:p>
            <w:pPr>
              <w:spacing w:after="0"/>
              <w:rPr>
                <w:sz w:val="17"/>
                <w:szCs w:val="17"/>
                <w:color w:val="auto"/>
              </w:rPr>
            </w:pPr>
          </w:p>
        </w:tc>
      </w:tr>
      <w:tr>
        <w:trPr>
          <w:trHeight w:val="184"/>
        </w:trPr>
        <w:tc>
          <w:tcPr>
            <w:tcW w:w="6880" w:type="dxa"/>
            <w:vAlign w:val="bottom"/>
          </w:tcPr>
          <w:p>
            <w:pPr>
              <w:ind w:left="640"/>
              <w:spacing w:after="0"/>
              <w:rPr>
                <w:sz w:val="20"/>
                <w:szCs w:val="20"/>
                <w:color w:val="auto"/>
              </w:rPr>
            </w:pPr>
            <w:r>
              <w:rPr>
                <w:rFonts w:ascii="Arial" w:cs="Arial" w:eastAsia="Arial" w:hAnsi="Arial"/>
                <w:sz w:val="14"/>
                <w:szCs w:val="14"/>
                <w:color w:val="auto"/>
                <w:w w:val="99"/>
              </w:rPr>
              <w:t>Total cash, cash equivalents, and restricted cash shown in the condensed consolidated statements of</w:t>
            </w: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flows</w:t>
            </w: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76.7</w:t>
            </w:r>
          </w:p>
        </w:tc>
        <w:tc>
          <w:tcPr>
            <w:tcW w:w="118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hanging="417"/>
        <w:spacing w:after="0"/>
        <w:tabs>
          <w:tab w:leader="none" w:pos="420" w:val="left"/>
        </w:tabs>
        <w:numPr>
          <w:ilvl w:val="0"/>
          <w:numId w:val="4"/>
        </w:numPr>
        <w:rPr>
          <w:rFonts w:ascii="Arial" w:cs="Arial" w:eastAsia="Arial" w:hAnsi="Arial"/>
          <w:sz w:val="19"/>
          <w:szCs w:val="19"/>
          <w:b w:val="1"/>
          <w:bCs w:val="1"/>
          <w:color w:val="232F84"/>
        </w:rPr>
      </w:pPr>
      <w:r>
        <w:rPr>
          <w:rFonts w:ascii="Arial" w:cs="Arial" w:eastAsia="Arial" w:hAnsi="Arial"/>
          <w:sz w:val="19"/>
          <w:szCs w:val="19"/>
          <w:b w:val="1"/>
          <w:bCs w:val="1"/>
          <w:color w:val="232F84"/>
        </w:rPr>
        <w:t>General</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Business</w:t>
      </w:r>
    </w:p>
    <w:p>
      <w:pPr>
        <w:spacing w:after="0" w:line="232" w:lineRule="exact"/>
        <w:rPr>
          <w:sz w:val="20"/>
          <w:szCs w:val="20"/>
          <w:color w:val="auto"/>
        </w:rPr>
      </w:pPr>
    </w:p>
    <w:p>
      <w:pPr>
        <w:ind w:right="20" w:firstLine="619"/>
        <w:spacing w:after="0" w:line="255" w:lineRule="auto"/>
        <w:rPr>
          <w:sz w:val="20"/>
          <w:szCs w:val="20"/>
          <w:color w:val="auto"/>
        </w:rPr>
      </w:pPr>
      <w:r>
        <w:rPr>
          <w:rFonts w:ascii="Arial" w:cs="Arial" w:eastAsia="Arial" w:hAnsi="Arial"/>
          <w:sz w:val="15"/>
          <w:szCs w:val="15"/>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for distribution to domestic and international markets. We distribute our products both domestically and internationally and report our results of operations in two operating segments: Marketing &amp; Distribution and International Farming (see Note 10).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Basis of presentation and consolidation</w:t>
      </w:r>
    </w:p>
    <w:p>
      <w:pPr>
        <w:spacing w:after="0" w:line="232" w:lineRule="exact"/>
        <w:rPr>
          <w:sz w:val="20"/>
          <w:szCs w:val="20"/>
          <w:color w:val="auto"/>
        </w:rPr>
      </w:pPr>
    </w:p>
    <w:p>
      <w:pPr>
        <w:ind w:right="20" w:firstLine="619"/>
        <w:spacing w:after="0" w:line="254" w:lineRule="auto"/>
        <w:rPr>
          <w:sz w:val="20"/>
          <w:szCs w:val="20"/>
          <w:color w:val="auto"/>
        </w:rPr>
      </w:pPr>
      <w:r>
        <w:rPr>
          <w:rFonts w:ascii="Arial" w:cs="Arial" w:eastAsia="Arial" w:hAnsi="Arial"/>
          <w:sz w:val="15"/>
          <w:szCs w:val="15"/>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2020.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Recently issued accounting standards</w:t>
      </w:r>
    </w:p>
    <w:p>
      <w:pPr>
        <w:spacing w:after="0" w:line="232" w:lineRule="exact"/>
        <w:rPr>
          <w:sz w:val="20"/>
          <w:szCs w:val="20"/>
          <w:color w:val="auto"/>
        </w:rPr>
      </w:pPr>
    </w:p>
    <w:p>
      <w:pPr>
        <w:ind w:right="20" w:firstLine="619"/>
        <w:spacing w:after="0" w:line="253" w:lineRule="auto"/>
        <w:rPr>
          <w:sz w:val="20"/>
          <w:szCs w:val="20"/>
          <w:color w:val="auto"/>
        </w:rPr>
      </w:pPr>
      <w:r>
        <w:rPr>
          <w:rFonts w:ascii="Arial" w:cs="Arial" w:eastAsia="Arial" w:hAnsi="Arial"/>
          <w:sz w:val="15"/>
          <w:szCs w:val="15"/>
          <w:color w:val="auto"/>
        </w:rPr>
        <w:t>As a company with less than $1.07 billion of revenue during our last fiscal year, we qualify as an “emerging growth company” (“EGC”),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 The Company expects to lose its EGC status on October 31, 2021, when it expects to qualify as a large accelerated filer based on its market capitalization as of April 30, 2021, according to Rule 12b-2 of the Securities Exchange Act of 1934, as amended. As a result, the Company intends to adopt all accounting pronouncements currently deferred under the EGC election according to public company standards at October 31, 2021 on the Company’s 2021 Form 10-K filing. The adoption dates for the new accounting pronouncements disclosed below have been presented as such.</w:t>
      </w:r>
    </w:p>
    <w:p>
      <w:pPr>
        <w:spacing w:after="0" w:line="376" w:lineRule="exact"/>
        <w:rPr>
          <w:sz w:val="20"/>
          <w:szCs w:val="20"/>
          <w:color w:val="auto"/>
        </w:rPr>
      </w:pPr>
    </w:p>
    <w:p>
      <w:pPr>
        <w:ind w:right="20" w:firstLine="619"/>
        <w:spacing w:after="0" w:line="254" w:lineRule="auto"/>
        <w:rPr>
          <w:sz w:val="20"/>
          <w:szCs w:val="20"/>
          <w:color w:val="auto"/>
        </w:rPr>
      </w:pPr>
      <w:r>
        <w:rPr>
          <w:rFonts w:ascii="Arial" w:cs="Arial" w:eastAsia="Arial" w:hAnsi="Arial"/>
          <w:sz w:val="15"/>
          <w:szCs w:val="15"/>
          <w:color w:val="auto"/>
        </w:rPr>
        <w:t>In March 2020, the Financial Accounting Standards Board (“FASB”) issued Accounting Standards Update (“ASU”) 2020-04, Reference Rate Reform, and a subsequent update following, which provides optional expedients and exceptions for applying GAAP principles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as a result of reference rate reform. The optional expedients in this ASU are available for adoption as of March 12, 2020 through December 31, 2022. The Company is evaluating the impact of electing the adoption of this ASU on our financial condition, results of operations and cash flows.</w:t>
      </w:r>
    </w:p>
    <w:p>
      <w:pPr>
        <w:spacing w:after="0" w:line="194" w:lineRule="exact"/>
        <w:rPr>
          <w:sz w:val="20"/>
          <w:szCs w:val="20"/>
          <w:color w:val="auto"/>
        </w:rPr>
      </w:pPr>
    </w:p>
    <w:p>
      <w:pPr>
        <w:ind w:right="60" w:firstLine="619"/>
        <w:spacing w:after="0" w:line="254" w:lineRule="auto"/>
        <w:rPr>
          <w:sz w:val="20"/>
          <w:szCs w:val="20"/>
          <w:color w:val="auto"/>
        </w:rPr>
      </w:pPr>
      <w:r>
        <w:rPr>
          <w:rFonts w:ascii="Arial" w:cs="Arial" w:eastAsia="Arial" w:hAnsi="Arial"/>
          <w:sz w:val="15"/>
          <w:szCs w:val="15"/>
          <w:color w:val="auto"/>
        </w:rPr>
        <w:t>In December 2019, the FASB issued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This ASU is effective for fiscal years, and interim periods within those fiscal years, beginning after December 15, 2020, as such we plan to adopt this ASU beginning November 1, 2021. The Company is continuing to assess the impact of the adoption of this ASU on our financial condition, results of operations and cash flows.</w:t>
      </w:r>
    </w:p>
    <w:p>
      <w:pPr>
        <w:spacing w:after="0" w:line="194" w:lineRule="exact"/>
        <w:rPr>
          <w:sz w:val="20"/>
          <w:szCs w:val="20"/>
          <w:color w:val="auto"/>
        </w:rPr>
      </w:pPr>
    </w:p>
    <w:p>
      <w:pPr>
        <w:ind w:firstLine="619"/>
        <w:spacing w:after="0" w:line="254" w:lineRule="auto"/>
        <w:rPr>
          <w:sz w:val="20"/>
          <w:szCs w:val="20"/>
          <w:color w:val="auto"/>
        </w:rPr>
      </w:pPr>
      <w:r>
        <w:rPr>
          <w:rFonts w:ascii="Arial" w:cs="Arial" w:eastAsia="Arial" w:hAnsi="Arial"/>
          <w:sz w:val="15"/>
          <w:szCs w:val="15"/>
          <w:color w:val="auto"/>
        </w:rPr>
        <w:t>In June 2016, the FASB issued ASU No. 2016-13, Financial Instruments—Credit Losses (Topic 326), Measurement of Credit Losses on Financial Instruments. This guidance requires financial assets measured at amortized cost basis to be presented at the net amount expected to be collected. It also requires credit losses on available-for-sale debt securities to be presented as an allowance, rather than reducing the carrying amount. The amendments should be applied on either a prospective transition or modified-retrospective approach depending on the subtopic. This ASU is effective for fiscal years beginning after December 15, 2019, including interim periods within those fiscal years. Early adoption is also permitted. The Company plans to adopt Topic 326 as of November 1, 2020 at October 31, 2021 on our 2021 Form 10-K filing. Though we are still evaluating the impact of the adoption of this ASU on our financial condition, results of operations and cash flows, we do not expect the impact of the adoption of this standard to be material.</w:t>
      </w:r>
    </w:p>
    <w:p>
      <w:pPr>
        <w:spacing w:after="0" w:line="192" w:lineRule="exact"/>
        <w:rPr>
          <w:sz w:val="20"/>
          <w:szCs w:val="20"/>
          <w:color w:val="auto"/>
        </w:rPr>
      </w:pPr>
    </w:p>
    <w:p>
      <w:pPr>
        <w:ind w:right="440" w:firstLine="619"/>
        <w:spacing w:after="0" w:line="269" w:lineRule="auto"/>
        <w:rPr>
          <w:sz w:val="20"/>
          <w:szCs w:val="20"/>
          <w:color w:val="auto"/>
        </w:rPr>
      </w:pPr>
      <w:r>
        <w:rPr>
          <w:rFonts w:ascii="Arial" w:cs="Arial" w:eastAsia="Arial" w:hAnsi="Arial"/>
          <w:sz w:val="15"/>
          <w:szCs w:val="15"/>
          <w:color w:val="auto"/>
        </w:rPr>
        <w:t>In February 2016, the FASB issued ASU 2016-02, Leases (Topic 842), and subsequent updates following, which requires a dual approach for lessee accounting under which a lessee would account for leases as finance leases or operating leases. Both finance leases and operating leases</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375"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will result in the lessee recognizing a right-of use asset (“ROU”)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Topic 842 is effective for our fiscal years beginning after December 15, 2018, including interim periods within those fiscal years. The Company plans to adopt Topic 842 as of November 1, 2020 at October 31, 2021 on our 2021 Form 10-K filing, using the modified retrospective method. Though we are still evaluating the impact of the adoption of this ASU on our financial condition, results of operations and cash flows, we expect to report increased assets and liabilities as a result of recording right-of-use assets and lease liabilities.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00" w:type="dxa"/>
            <w:vAlign w:val="bottom"/>
          </w:tcPr>
          <w:p>
            <w:pPr>
              <w:spacing w:after="0"/>
              <w:rPr>
                <w:sz w:val="20"/>
                <w:szCs w:val="20"/>
                <w:color w:val="auto"/>
              </w:rPr>
            </w:pPr>
            <w:r>
              <w:rPr>
                <w:rFonts w:ascii="Arial" w:cs="Arial" w:eastAsia="Arial" w:hAnsi="Arial"/>
                <w:sz w:val="19"/>
                <w:szCs w:val="19"/>
                <w:b w:val="1"/>
                <w:bCs w:val="1"/>
                <w:color w:val="232F84"/>
              </w:rPr>
              <w:t>2.</w:t>
            </w:r>
          </w:p>
        </w:tc>
        <w:tc>
          <w:tcPr>
            <w:tcW w:w="4240" w:type="dxa"/>
            <w:vAlign w:val="bottom"/>
          </w:tcPr>
          <w:p>
            <w:pPr>
              <w:ind w:left="20"/>
              <w:spacing w:after="0"/>
              <w:rPr>
                <w:sz w:val="20"/>
                <w:szCs w:val="20"/>
                <w:color w:val="auto"/>
              </w:rPr>
            </w:pPr>
            <w:r>
              <w:rPr>
                <w:rFonts w:ascii="Arial" w:cs="Arial" w:eastAsia="Arial" w:hAnsi="Arial"/>
                <w:sz w:val="19"/>
                <w:szCs w:val="19"/>
                <w:b w:val="1"/>
                <w:bCs w:val="1"/>
                <w:color w:val="232F84"/>
              </w:rPr>
              <w:t>Inventory</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90"/>
        </w:trPr>
        <w:tc>
          <w:tcPr>
            <w:tcW w:w="40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Arial" w:cs="Arial" w:eastAsia="Arial" w:hAnsi="Arial"/>
                <w:sz w:val="15"/>
                <w:szCs w:val="15"/>
                <w:color w:val="auto"/>
              </w:rPr>
              <w:t>Major classes of inventory were as follows: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6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r>
      <w:tr>
        <w:trPr>
          <w:trHeight w:val="206"/>
        </w:trPr>
        <w:tc>
          <w:tcPr>
            <w:tcW w:w="464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7"/>
                <w:szCs w:val="17"/>
                <w:color w:val="auto"/>
              </w:rPr>
            </w:pPr>
          </w:p>
        </w:tc>
        <w:tc>
          <w:tcPr>
            <w:tcW w:w="110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68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12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July 31, 2021</w:t>
            </w:r>
          </w:p>
        </w:tc>
        <w:tc>
          <w:tcPr>
            <w:tcW w:w="400" w:type="dxa"/>
            <w:vAlign w:val="bottom"/>
            <w:shd w:val="clear" w:color="auto" w:fill="232F84"/>
          </w:tcPr>
          <w:p>
            <w:pPr>
              <w:spacing w:after="0"/>
              <w:rPr>
                <w:sz w:val="17"/>
                <w:szCs w:val="17"/>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c>
          <w:tcPr>
            <w:tcW w:w="20" w:type="dxa"/>
            <w:vAlign w:val="bottom"/>
          </w:tcPr>
          <w:p>
            <w:pPr>
              <w:spacing w:after="0"/>
              <w:rPr>
                <w:sz w:val="17"/>
                <w:szCs w:val="17"/>
                <w:color w:val="auto"/>
              </w:rPr>
            </w:pPr>
          </w:p>
        </w:tc>
      </w:tr>
      <w:tr>
        <w:trPr>
          <w:trHeight w:val="206"/>
        </w:trPr>
        <w:tc>
          <w:tcPr>
            <w:tcW w:w="464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Finished goods</w:t>
            </w:r>
          </w:p>
        </w:tc>
        <w:tc>
          <w:tcPr>
            <w:tcW w:w="520" w:type="dxa"/>
            <w:vAlign w:val="bottom"/>
            <w:shd w:val="clear" w:color="auto" w:fill="43C0B9"/>
          </w:tcPr>
          <w:p>
            <w:pPr>
              <w:spacing w:after="0"/>
              <w:rPr>
                <w:sz w:val="17"/>
                <w:szCs w:val="17"/>
                <w:color w:val="auto"/>
              </w:rPr>
            </w:pPr>
          </w:p>
        </w:tc>
        <w:tc>
          <w:tcPr>
            <w:tcW w:w="110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680" w:type="dxa"/>
            <w:vAlign w:val="bottom"/>
            <w:shd w:val="clear" w:color="auto" w:fill="43C0B9"/>
          </w:tcPr>
          <w:p>
            <w:pPr>
              <w:spacing w:after="0"/>
              <w:rPr>
                <w:sz w:val="17"/>
                <w:szCs w:val="17"/>
                <w:color w:val="auto"/>
              </w:rPr>
            </w:pPr>
          </w:p>
        </w:tc>
        <w:tc>
          <w:tcPr>
            <w:tcW w:w="520" w:type="dxa"/>
            <w:vAlign w:val="bottom"/>
            <w:shd w:val="clear" w:color="auto" w:fill="43C0B9"/>
          </w:tcPr>
          <w:p>
            <w:pPr>
              <w:jc w:val="right"/>
              <w:ind w:right="251"/>
              <w:spacing w:after="0"/>
              <w:rPr>
                <w:sz w:val="20"/>
                <w:szCs w:val="20"/>
                <w:color w:val="auto"/>
              </w:rPr>
            </w:pPr>
            <w:r>
              <w:rPr>
                <w:rFonts w:ascii="Arial" w:cs="Arial" w:eastAsia="Arial" w:hAnsi="Arial"/>
                <w:sz w:val="14"/>
                <w:szCs w:val="14"/>
                <w:color w:val="auto"/>
              </w:rPr>
              <w:t>$</w:t>
            </w:r>
          </w:p>
        </w:tc>
        <w:tc>
          <w:tcPr>
            <w:tcW w:w="12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41.8</w:t>
            </w:r>
          </w:p>
        </w:tc>
        <w:tc>
          <w:tcPr>
            <w:tcW w:w="400" w:type="dxa"/>
            <w:vAlign w:val="bottom"/>
            <w:shd w:val="clear" w:color="auto" w:fill="43C0B9"/>
          </w:tcPr>
          <w:p>
            <w:pPr>
              <w:jc w:val="right"/>
              <w:ind w:right="191"/>
              <w:spacing w:after="0"/>
              <w:rPr>
                <w:sz w:val="20"/>
                <w:szCs w:val="20"/>
                <w:color w:val="auto"/>
              </w:rPr>
            </w:pPr>
            <w:r>
              <w:rPr>
                <w:rFonts w:ascii="Arial" w:cs="Arial" w:eastAsia="Arial" w:hAnsi="Arial"/>
                <w:sz w:val="14"/>
                <w:szCs w:val="14"/>
                <w:color w:val="auto"/>
              </w:rPr>
              <w:t>$</w:t>
            </w:r>
          </w:p>
        </w:tc>
        <w:tc>
          <w:tcPr>
            <w:tcW w:w="12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7"/>
                <w:szCs w:val="17"/>
                <w:color w:val="auto"/>
              </w:rPr>
            </w:pPr>
          </w:p>
        </w:tc>
      </w:tr>
      <w:tr>
        <w:trPr>
          <w:trHeight w:val="20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10.9</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7"/>
                <w:szCs w:val="17"/>
                <w:color w:val="auto"/>
              </w:rPr>
            </w:pPr>
          </w:p>
        </w:tc>
      </w:tr>
      <w:tr>
        <w:trPr>
          <w:trHeight w:val="206"/>
        </w:trPr>
        <w:tc>
          <w:tcPr>
            <w:tcW w:w="464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Packaging and supplies</w:t>
            </w:r>
          </w:p>
        </w:tc>
        <w:tc>
          <w:tcPr>
            <w:tcW w:w="520" w:type="dxa"/>
            <w:vAlign w:val="bottom"/>
            <w:tcBorders>
              <w:bottom w:val="single" w:sz="8" w:color="auto"/>
            </w:tcBorders>
            <w:shd w:val="clear" w:color="auto" w:fill="43C0B9"/>
          </w:tcPr>
          <w:p>
            <w:pPr>
              <w:spacing w:after="0"/>
              <w:rPr>
                <w:sz w:val="17"/>
                <w:szCs w:val="17"/>
                <w:color w:val="auto"/>
              </w:rPr>
            </w:pPr>
          </w:p>
        </w:tc>
        <w:tc>
          <w:tcPr>
            <w:tcW w:w="110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spacing w:after="0"/>
              <w:rPr>
                <w:sz w:val="17"/>
                <w:szCs w:val="17"/>
                <w:color w:val="auto"/>
              </w:rPr>
            </w:pPr>
          </w:p>
        </w:tc>
        <w:tc>
          <w:tcPr>
            <w:tcW w:w="680" w:type="dxa"/>
            <w:vAlign w:val="bottom"/>
            <w:tcBorders>
              <w:bottom w:val="single" w:sz="8" w:color="auto"/>
            </w:tcBorders>
            <w:shd w:val="clear" w:color="auto" w:fill="43C0B9"/>
          </w:tcPr>
          <w:p>
            <w:pPr>
              <w:spacing w:after="0"/>
              <w:rPr>
                <w:sz w:val="17"/>
                <w:szCs w:val="17"/>
                <w:color w:val="auto"/>
              </w:rPr>
            </w:pPr>
          </w:p>
        </w:tc>
        <w:tc>
          <w:tcPr>
            <w:tcW w:w="520" w:type="dxa"/>
            <w:vAlign w:val="bottom"/>
            <w:tcBorders>
              <w:bottom w:val="single" w:sz="8" w:color="auto"/>
            </w:tcBorders>
            <w:shd w:val="clear" w:color="auto" w:fill="43C0B9"/>
          </w:tcPr>
          <w:p>
            <w:pPr>
              <w:spacing w:after="0"/>
              <w:rPr>
                <w:sz w:val="17"/>
                <w:szCs w:val="17"/>
                <w:color w:val="auto"/>
              </w:rPr>
            </w:pPr>
          </w:p>
        </w:tc>
        <w:tc>
          <w:tcPr>
            <w:tcW w:w="12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13.9</w:t>
            </w:r>
          </w:p>
        </w:tc>
        <w:tc>
          <w:tcPr>
            <w:tcW w:w="400" w:type="dxa"/>
            <w:vAlign w:val="bottom"/>
            <w:tcBorders>
              <w:bottom w:val="single" w:sz="8" w:color="auto"/>
            </w:tcBorders>
            <w:shd w:val="clear" w:color="auto" w:fill="43C0B9"/>
          </w:tcPr>
          <w:p>
            <w:pPr>
              <w:spacing w:after="0"/>
              <w:rPr>
                <w:sz w:val="17"/>
                <w:szCs w:val="17"/>
                <w:color w:val="auto"/>
              </w:rPr>
            </w:pPr>
          </w:p>
        </w:tc>
        <w:tc>
          <w:tcPr>
            <w:tcW w:w="12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7"/>
                <w:szCs w:val="17"/>
                <w:color w:val="auto"/>
              </w:rPr>
            </w:pPr>
          </w:p>
        </w:tc>
      </w:tr>
      <w:tr>
        <w:trPr>
          <w:trHeight w:val="199"/>
        </w:trPr>
        <w:tc>
          <w:tcPr>
            <w:tcW w:w="4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66.6</w:t>
            </w: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7"/>
                <w:szCs w:val="17"/>
                <w:color w:val="auto"/>
              </w:rPr>
            </w:pPr>
          </w:p>
        </w:tc>
      </w:tr>
      <w:tr>
        <w:trPr>
          <w:trHeight w:val="751"/>
        </w:trPr>
        <w:tc>
          <w:tcPr>
            <w:tcW w:w="4640" w:type="dxa"/>
            <w:vAlign w:val="bottom"/>
            <w:gridSpan w:val="2"/>
          </w:tcPr>
          <w:p>
            <w:pPr>
              <w:spacing w:after="0"/>
              <w:rPr>
                <w:sz w:val="20"/>
                <w:szCs w:val="20"/>
                <w:color w:val="auto"/>
              </w:rPr>
            </w:pPr>
            <w:r>
              <w:rPr>
                <w:rFonts w:ascii="Arial" w:cs="Arial" w:eastAsia="Arial" w:hAnsi="Arial"/>
                <w:sz w:val="19"/>
                <w:szCs w:val="19"/>
                <w:b w:val="1"/>
                <w:bCs w:val="1"/>
                <w:color w:val="232F84"/>
              </w:rPr>
              <w:t>3.  Details of Certain Account Balances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4640" w:type="dxa"/>
            <w:vAlign w:val="bottom"/>
            <w:gridSpan w:val="2"/>
          </w:tcPr>
          <w:p>
            <w:pPr>
              <w:spacing w:after="0"/>
              <w:rPr>
                <w:sz w:val="20"/>
                <w:szCs w:val="20"/>
                <w:color w:val="auto"/>
              </w:rPr>
            </w:pPr>
            <w:r>
              <w:rPr>
                <w:rFonts w:ascii="Arial" w:cs="Arial" w:eastAsia="Arial" w:hAnsi="Arial"/>
                <w:sz w:val="15"/>
                <w:szCs w:val="15"/>
                <w:b w:val="1"/>
                <w:bCs w:val="1"/>
                <w:i w:val="1"/>
                <w:iCs w:val="1"/>
                <w:color w:val="232F84"/>
              </w:rPr>
              <w:t>Accrued expenses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7"/>
        </w:trPr>
        <w:tc>
          <w:tcPr>
            <w:tcW w:w="40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Arial" w:cs="Arial" w:eastAsia="Arial" w:hAnsi="Arial"/>
                <w:sz w:val="15"/>
                <w:szCs w:val="15"/>
                <w:color w:val="auto"/>
              </w:rPr>
              <w:t>Accrued expenses consisted of the following:</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6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r>
      <w:tr>
        <w:trPr>
          <w:trHeight w:val="206"/>
        </w:trPr>
        <w:tc>
          <w:tcPr>
            <w:tcW w:w="464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7"/>
                <w:szCs w:val="17"/>
                <w:color w:val="auto"/>
              </w:rPr>
            </w:pPr>
          </w:p>
        </w:tc>
        <w:tc>
          <w:tcPr>
            <w:tcW w:w="110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68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12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July 31, 2021</w:t>
            </w:r>
          </w:p>
        </w:tc>
        <w:tc>
          <w:tcPr>
            <w:tcW w:w="400" w:type="dxa"/>
            <w:vAlign w:val="bottom"/>
            <w:shd w:val="clear" w:color="auto" w:fill="232F84"/>
          </w:tcPr>
          <w:p>
            <w:pPr>
              <w:spacing w:after="0"/>
              <w:rPr>
                <w:sz w:val="17"/>
                <w:szCs w:val="17"/>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c>
          <w:tcPr>
            <w:tcW w:w="20" w:type="dxa"/>
            <w:vAlign w:val="bottom"/>
          </w:tcPr>
          <w:p>
            <w:pPr>
              <w:spacing w:after="0"/>
              <w:rPr>
                <w:sz w:val="17"/>
                <w:szCs w:val="17"/>
                <w:color w:val="auto"/>
              </w:rPr>
            </w:pPr>
          </w:p>
        </w:tc>
      </w:tr>
      <w:tr>
        <w:trPr>
          <w:trHeight w:val="206"/>
        </w:trPr>
        <w:tc>
          <w:tcPr>
            <w:tcW w:w="464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Employee-related</w:t>
            </w:r>
          </w:p>
        </w:tc>
        <w:tc>
          <w:tcPr>
            <w:tcW w:w="520" w:type="dxa"/>
            <w:vAlign w:val="bottom"/>
            <w:shd w:val="clear" w:color="auto" w:fill="43C0B9"/>
          </w:tcPr>
          <w:p>
            <w:pPr>
              <w:spacing w:after="0"/>
              <w:rPr>
                <w:sz w:val="17"/>
                <w:szCs w:val="17"/>
                <w:color w:val="auto"/>
              </w:rPr>
            </w:pPr>
          </w:p>
        </w:tc>
        <w:tc>
          <w:tcPr>
            <w:tcW w:w="110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680" w:type="dxa"/>
            <w:vAlign w:val="bottom"/>
            <w:shd w:val="clear" w:color="auto" w:fill="43C0B9"/>
          </w:tcPr>
          <w:p>
            <w:pPr>
              <w:spacing w:after="0"/>
              <w:rPr>
                <w:sz w:val="17"/>
                <w:szCs w:val="17"/>
                <w:color w:val="auto"/>
              </w:rPr>
            </w:pPr>
          </w:p>
        </w:tc>
        <w:tc>
          <w:tcPr>
            <w:tcW w:w="520" w:type="dxa"/>
            <w:vAlign w:val="bottom"/>
            <w:shd w:val="clear" w:color="auto" w:fill="43C0B9"/>
          </w:tcPr>
          <w:p>
            <w:pPr>
              <w:jc w:val="right"/>
              <w:ind w:right="251"/>
              <w:spacing w:after="0"/>
              <w:rPr>
                <w:sz w:val="20"/>
                <w:szCs w:val="20"/>
                <w:color w:val="auto"/>
              </w:rPr>
            </w:pPr>
            <w:r>
              <w:rPr>
                <w:rFonts w:ascii="Arial" w:cs="Arial" w:eastAsia="Arial" w:hAnsi="Arial"/>
                <w:sz w:val="14"/>
                <w:szCs w:val="14"/>
                <w:color w:val="auto"/>
              </w:rPr>
              <w:t>$</w:t>
            </w:r>
          </w:p>
        </w:tc>
        <w:tc>
          <w:tcPr>
            <w:tcW w:w="12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12.7</w:t>
            </w:r>
          </w:p>
        </w:tc>
        <w:tc>
          <w:tcPr>
            <w:tcW w:w="400" w:type="dxa"/>
            <w:vAlign w:val="bottom"/>
            <w:shd w:val="clear" w:color="auto" w:fill="43C0B9"/>
          </w:tcPr>
          <w:p>
            <w:pPr>
              <w:jc w:val="right"/>
              <w:ind w:right="191"/>
              <w:spacing w:after="0"/>
              <w:rPr>
                <w:sz w:val="20"/>
                <w:szCs w:val="20"/>
                <w:color w:val="auto"/>
              </w:rPr>
            </w:pPr>
            <w:r>
              <w:rPr>
                <w:rFonts w:ascii="Arial" w:cs="Arial" w:eastAsia="Arial" w:hAnsi="Arial"/>
                <w:sz w:val="14"/>
                <w:szCs w:val="14"/>
                <w:color w:val="auto"/>
              </w:rPr>
              <w:t>$</w:t>
            </w:r>
          </w:p>
        </w:tc>
        <w:tc>
          <w:tcPr>
            <w:tcW w:w="12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7"/>
                <w:szCs w:val="17"/>
                <w:color w:val="auto"/>
              </w:rPr>
            </w:pPr>
          </w:p>
        </w:tc>
      </w:tr>
      <w:tr>
        <w:trPr>
          <w:trHeight w:val="20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Freight</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5.0</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7"/>
                <w:szCs w:val="17"/>
                <w:color w:val="auto"/>
              </w:rPr>
            </w:pPr>
          </w:p>
        </w:tc>
      </w:tr>
      <w:tr>
        <w:trPr>
          <w:trHeight w:val="212"/>
        </w:trPr>
        <w:tc>
          <w:tcPr>
            <w:tcW w:w="464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Customer advances</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c>
          <w:tcPr>
            <w:tcW w:w="520" w:type="dxa"/>
            <w:vAlign w:val="bottom"/>
            <w:shd w:val="clear" w:color="auto" w:fill="43C0B9"/>
          </w:tcPr>
          <w:p>
            <w:pPr>
              <w:spacing w:after="0"/>
              <w:rPr>
                <w:sz w:val="18"/>
                <w:szCs w:val="18"/>
                <w:color w:val="auto"/>
              </w:rPr>
            </w:pPr>
          </w:p>
        </w:tc>
        <w:tc>
          <w:tcPr>
            <w:tcW w:w="12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3.0</w:t>
            </w:r>
          </w:p>
        </w:tc>
        <w:tc>
          <w:tcPr>
            <w:tcW w:w="400" w:type="dxa"/>
            <w:vAlign w:val="bottom"/>
            <w:shd w:val="clear" w:color="auto" w:fill="43C0B9"/>
          </w:tcPr>
          <w:p>
            <w:pPr>
              <w:spacing w:after="0"/>
              <w:rPr>
                <w:sz w:val="18"/>
                <w:szCs w:val="18"/>
                <w:color w:val="auto"/>
              </w:rPr>
            </w:pPr>
          </w:p>
        </w:tc>
        <w:tc>
          <w:tcPr>
            <w:tcW w:w="12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Construction-in-progress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7"/>
                <w:szCs w:val="17"/>
                <w:color w:val="auto"/>
              </w:rPr>
            </w:pPr>
          </w:p>
        </w:tc>
      </w:tr>
      <w:tr>
        <w:trPr>
          <w:trHeight w:val="212"/>
        </w:trPr>
        <w:tc>
          <w:tcPr>
            <w:tcW w:w="464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Interest rate swaps</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c>
          <w:tcPr>
            <w:tcW w:w="520" w:type="dxa"/>
            <w:vAlign w:val="bottom"/>
            <w:shd w:val="clear" w:color="auto" w:fill="43C0B9"/>
          </w:tcPr>
          <w:p>
            <w:pPr>
              <w:spacing w:after="0"/>
              <w:rPr>
                <w:sz w:val="18"/>
                <w:szCs w:val="18"/>
                <w:color w:val="auto"/>
              </w:rPr>
            </w:pPr>
          </w:p>
        </w:tc>
        <w:tc>
          <w:tcPr>
            <w:tcW w:w="12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2.2</w:t>
            </w:r>
          </w:p>
        </w:tc>
        <w:tc>
          <w:tcPr>
            <w:tcW w:w="400" w:type="dxa"/>
            <w:vAlign w:val="bottom"/>
            <w:shd w:val="clear" w:color="auto" w:fill="43C0B9"/>
          </w:tcPr>
          <w:p>
            <w:pPr>
              <w:spacing w:after="0"/>
              <w:rPr>
                <w:sz w:val="18"/>
                <w:szCs w:val="18"/>
                <w:color w:val="auto"/>
              </w:rPr>
            </w:pPr>
          </w:p>
        </w:tc>
        <w:tc>
          <w:tcPr>
            <w:tcW w:w="12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8"/>
                <w:szCs w:val="18"/>
                <w:color w:val="auto"/>
              </w:rPr>
            </w:pPr>
          </w:p>
        </w:tc>
      </w:tr>
      <w:tr>
        <w:trPr>
          <w:trHeight w:val="20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Outside fruit purchase</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r>
      <w:tr>
        <w:trPr>
          <w:trHeight w:val="206"/>
        </w:trPr>
        <w:tc>
          <w:tcPr>
            <w:tcW w:w="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w:t>
            </w:r>
          </w:p>
        </w:tc>
        <w:tc>
          <w:tcPr>
            <w:tcW w:w="4240" w:type="dxa"/>
            <w:vAlign w:val="bottom"/>
            <w:tcBorders>
              <w:bottom w:val="single" w:sz="8" w:color="auto"/>
            </w:tcBorders>
            <w:shd w:val="clear" w:color="auto" w:fill="43C0B9"/>
          </w:tcPr>
          <w:p>
            <w:pPr>
              <w:spacing w:after="0"/>
              <w:rPr>
                <w:sz w:val="17"/>
                <w:szCs w:val="17"/>
                <w:color w:val="auto"/>
              </w:rPr>
            </w:pPr>
          </w:p>
        </w:tc>
        <w:tc>
          <w:tcPr>
            <w:tcW w:w="520" w:type="dxa"/>
            <w:vAlign w:val="bottom"/>
            <w:tcBorders>
              <w:bottom w:val="single" w:sz="8" w:color="auto"/>
            </w:tcBorders>
            <w:shd w:val="clear" w:color="auto" w:fill="43C0B9"/>
          </w:tcPr>
          <w:p>
            <w:pPr>
              <w:spacing w:after="0"/>
              <w:rPr>
                <w:sz w:val="17"/>
                <w:szCs w:val="17"/>
                <w:color w:val="auto"/>
              </w:rPr>
            </w:pPr>
          </w:p>
        </w:tc>
        <w:tc>
          <w:tcPr>
            <w:tcW w:w="110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spacing w:after="0"/>
              <w:rPr>
                <w:sz w:val="17"/>
                <w:szCs w:val="17"/>
                <w:color w:val="auto"/>
              </w:rPr>
            </w:pPr>
          </w:p>
        </w:tc>
        <w:tc>
          <w:tcPr>
            <w:tcW w:w="680" w:type="dxa"/>
            <w:vAlign w:val="bottom"/>
            <w:tcBorders>
              <w:bottom w:val="single" w:sz="8" w:color="auto"/>
            </w:tcBorders>
            <w:shd w:val="clear" w:color="auto" w:fill="43C0B9"/>
          </w:tcPr>
          <w:p>
            <w:pPr>
              <w:spacing w:after="0"/>
              <w:rPr>
                <w:sz w:val="17"/>
                <w:szCs w:val="17"/>
                <w:color w:val="auto"/>
              </w:rPr>
            </w:pPr>
          </w:p>
        </w:tc>
        <w:tc>
          <w:tcPr>
            <w:tcW w:w="520" w:type="dxa"/>
            <w:vAlign w:val="bottom"/>
            <w:tcBorders>
              <w:bottom w:val="single" w:sz="8" w:color="auto"/>
            </w:tcBorders>
            <w:shd w:val="clear" w:color="auto" w:fill="43C0B9"/>
          </w:tcPr>
          <w:p>
            <w:pPr>
              <w:spacing w:after="0"/>
              <w:rPr>
                <w:sz w:val="17"/>
                <w:szCs w:val="17"/>
                <w:color w:val="auto"/>
              </w:rPr>
            </w:pPr>
          </w:p>
        </w:tc>
        <w:tc>
          <w:tcPr>
            <w:tcW w:w="12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6.1</w:t>
            </w:r>
          </w:p>
        </w:tc>
        <w:tc>
          <w:tcPr>
            <w:tcW w:w="400" w:type="dxa"/>
            <w:vAlign w:val="bottom"/>
            <w:tcBorders>
              <w:bottom w:val="single" w:sz="8" w:color="auto"/>
            </w:tcBorders>
            <w:shd w:val="clear" w:color="auto" w:fill="43C0B9"/>
          </w:tcPr>
          <w:p>
            <w:pPr>
              <w:spacing w:after="0"/>
              <w:rPr>
                <w:sz w:val="17"/>
                <w:szCs w:val="17"/>
                <w:color w:val="auto"/>
              </w:rPr>
            </w:pPr>
          </w:p>
        </w:tc>
        <w:tc>
          <w:tcPr>
            <w:tcW w:w="12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7"/>
                <w:szCs w:val="17"/>
                <w:color w:val="auto"/>
              </w:rPr>
            </w:pPr>
          </w:p>
        </w:tc>
      </w:tr>
      <w:tr>
        <w:trPr>
          <w:trHeight w:val="199"/>
        </w:trPr>
        <w:tc>
          <w:tcPr>
            <w:tcW w:w="4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Accrued expenses</w:t>
            </w: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30.1</w:t>
            </w: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7"/>
                <w:szCs w:val="17"/>
                <w:color w:val="auto"/>
              </w:rPr>
            </w:pPr>
          </w:p>
        </w:tc>
      </w:tr>
      <w:tr>
        <w:trPr>
          <w:trHeight w:val="470"/>
        </w:trPr>
        <w:tc>
          <w:tcPr>
            <w:tcW w:w="4640" w:type="dxa"/>
            <w:vAlign w:val="bottom"/>
            <w:gridSpan w:val="2"/>
          </w:tcPr>
          <w:p>
            <w:pPr>
              <w:spacing w:after="0"/>
              <w:rPr>
                <w:sz w:val="20"/>
                <w:szCs w:val="20"/>
                <w:color w:val="auto"/>
              </w:rPr>
            </w:pPr>
            <w:r>
              <w:rPr>
                <w:rFonts w:ascii="Arial" w:cs="Arial" w:eastAsia="Arial" w:hAnsi="Arial"/>
                <w:sz w:val="15"/>
                <w:szCs w:val="15"/>
                <w:b w:val="1"/>
                <w:bCs w:val="1"/>
                <w:i w:val="1"/>
                <w:iCs w:val="1"/>
                <w:color w:val="232F84"/>
              </w:rPr>
              <w:t>Other expense</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7"/>
        </w:trPr>
        <w:tc>
          <w:tcPr>
            <w:tcW w:w="40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Arial" w:cs="Arial" w:eastAsia="Arial" w:hAnsi="Arial"/>
                <w:sz w:val="15"/>
                <w:szCs w:val="15"/>
                <w:color w:val="auto"/>
              </w:rPr>
              <w:t>Other expense consisted of the following:</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40" w:type="dxa"/>
            <w:vAlign w:val="bottom"/>
            <w:gridSpan w:val="4"/>
          </w:tcPr>
          <w:p>
            <w:pPr>
              <w:spacing w:after="0"/>
              <w:rPr>
                <w:sz w:val="21"/>
                <w:szCs w:val="21"/>
                <w:color w:val="auto"/>
              </w:rPr>
            </w:pPr>
          </w:p>
        </w:tc>
      </w:tr>
      <w:tr>
        <w:trPr>
          <w:trHeight w:val="169"/>
        </w:trPr>
        <w:tc>
          <w:tcPr>
            <w:tcW w:w="400" w:type="dxa"/>
            <w:vAlign w:val="bottom"/>
            <w:shd w:val="clear" w:color="auto" w:fill="232F84"/>
          </w:tcPr>
          <w:p>
            <w:pPr>
              <w:spacing w:after="0"/>
              <w:rPr>
                <w:sz w:val="14"/>
                <w:szCs w:val="14"/>
                <w:color w:val="auto"/>
              </w:rPr>
            </w:pPr>
          </w:p>
        </w:tc>
        <w:tc>
          <w:tcPr>
            <w:tcW w:w="424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right"/>
              <w:ind w:right="191"/>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840" w:type="dxa"/>
            <w:vAlign w:val="bottom"/>
            <w:gridSpan w:val="4"/>
            <w:shd w:val="clear" w:color="auto" w:fill="232F84"/>
          </w:tcPr>
          <w:p>
            <w:pPr>
              <w:ind w:left="580"/>
              <w:spacing w:after="0"/>
              <w:rPr>
                <w:sz w:val="20"/>
                <w:szCs w:val="20"/>
                <w:color w:val="auto"/>
              </w:rPr>
            </w:pPr>
            <w:r>
              <w:rPr>
                <w:rFonts w:ascii="Arial" w:cs="Arial" w:eastAsia="Arial" w:hAnsi="Arial"/>
                <w:sz w:val="14"/>
                <w:szCs w:val="14"/>
                <w:b w:val="1"/>
                <w:bCs w:val="1"/>
                <w:color w:val="FFFFFF"/>
              </w:rPr>
              <w:t>Nine Months Ended</w:t>
            </w:r>
          </w:p>
        </w:tc>
      </w:tr>
      <w:tr>
        <w:trPr>
          <w:trHeight w:val="195"/>
        </w:trPr>
        <w:tc>
          <w:tcPr>
            <w:tcW w:w="400" w:type="dxa"/>
            <w:vAlign w:val="bottom"/>
            <w:shd w:val="clear" w:color="auto" w:fill="232F84"/>
          </w:tcPr>
          <w:p>
            <w:pPr>
              <w:spacing w:after="0"/>
              <w:rPr>
                <w:sz w:val="17"/>
                <w:szCs w:val="17"/>
                <w:color w:val="auto"/>
              </w:rPr>
            </w:pPr>
          </w:p>
        </w:tc>
        <w:tc>
          <w:tcPr>
            <w:tcW w:w="42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right"/>
              <w:ind w:right="611"/>
              <w:spacing w:after="0"/>
              <w:rPr>
                <w:sz w:val="20"/>
                <w:szCs w:val="20"/>
                <w:color w:val="auto"/>
              </w:rPr>
            </w:pPr>
            <w:r>
              <w:rPr>
                <w:rFonts w:ascii="Arial" w:cs="Arial" w:eastAsia="Arial" w:hAnsi="Arial"/>
                <w:sz w:val="14"/>
                <w:szCs w:val="14"/>
                <w:b w:val="1"/>
                <w:bCs w:val="1"/>
                <w:color w:val="FFFFFF"/>
              </w:rPr>
              <w:t>July 31,</w:t>
            </w:r>
          </w:p>
        </w:tc>
        <w:tc>
          <w:tcPr>
            <w:tcW w:w="68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1600" w:type="dxa"/>
            <w:vAlign w:val="bottom"/>
            <w:gridSpan w:val="2"/>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July 31,</w:t>
            </w:r>
          </w:p>
        </w:tc>
        <w:tc>
          <w:tcPr>
            <w:tcW w:w="1220" w:type="dxa"/>
            <w:vAlign w:val="bottom"/>
            <w:shd w:val="clear" w:color="auto" w:fill="232F84"/>
          </w:tcPr>
          <w:p>
            <w:pPr>
              <w:spacing w:after="0"/>
              <w:rPr>
                <w:sz w:val="17"/>
                <w:szCs w:val="17"/>
                <w:color w:val="auto"/>
              </w:rPr>
            </w:pPr>
          </w:p>
        </w:tc>
        <w:tc>
          <w:tcPr>
            <w:tcW w:w="20" w:type="dxa"/>
            <w:vAlign w:val="bottom"/>
            <w:shd w:val="clear" w:color="auto" w:fill="232F84"/>
          </w:tcPr>
          <w:p>
            <w:pPr>
              <w:spacing w:after="0"/>
              <w:rPr>
                <w:sz w:val="17"/>
                <w:szCs w:val="17"/>
                <w:color w:val="auto"/>
              </w:rPr>
            </w:pPr>
          </w:p>
        </w:tc>
      </w:tr>
      <w:tr>
        <w:trPr>
          <w:trHeight w:val="216"/>
        </w:trPr>
        <w:tc>
          <w:tcPr>
            <w:tcW w:w="464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8"/>
                <w:szCs w:val="18"/>
                <w:color w:val="auto"/>
              </w:rPr>
            </w:pPr>
          </w:p>
        </w:tc>
        <w:tc>
          <w:tcPr>
            <w:tcW w:w="1100" w:type="dxa"/>
            <w:vAlign w:val="bottom"/>
            <w:shd w:val="clear" w:color="auto" w:fill="232F84"/>
          </w:tcPr>
          <w:p>
            <w:pPr>
              <w:jc w:val="right"/>
              <w:ind w:right="90"/>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68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c>
          <w:tcPr>
            <w:tcW w:w="520" w:type="dxa"/>
            <w:vAlign w:val="bottom"/>
            <w:shd w:val="clear" w:color="auto" w:fill="232F84"/>
          </w:tcPr>
          <w:p>
            <w:pPr>
              <w:spacing w:after="0"/>
              <w:rPr>
                <w:sz w:val="18"/>
                <w:szCs w:val="18"/>
                <w:color w:val="auto"/>
              </w:rPr>
            </w:pPr>
          </w:p>
        </w:tc>
        <w:tc>
          <w:tcPr>
            <w:tcW w:w="120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232F84"/>
          </w:tcPr>
          <w:p>
            <w:pPr>
              <w:spacing w:after="0"/>
              <w:rPr>
                <w:sz w:val="18"/>
                <w:szCs w:val="18"/>
                <w:color w:val="auto"/>
              </w:rPr>
            </w:pPr>
          </w:p>
        </w:tc>
        <w:tc>
          <w:tcPr>
            <w:tcW w:w="1220" w:type="dxa"/>
            <w:vAlign w:val="bottom"/>
            <w:shd w:val="clear" w:color="auto" w:fill="232F84"/>
          </w:tcPr>
          <w:p>
            <w:pPr>
              <w:jc w:val="right"/>
              <w:ind w:right="31"/>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232F84"/>
          </w:tcPr>
          <w:p>
            <w:pPr>
              <w:spacing w:after="0"/>
              <w:rPr>
                <w:sz w:val="18"/>
                <w:szCs w:val="18"/>
                <w:color w:val="auto"/>
              </w:rPr>
            </w:pPr>
          </w:p>
        </w:tc>
      </w:tr>
      <w:tr>
        <w:trPr>
          <w:trHeight w:val="206"/>
        </w:trPr>
        <w:tc>
          <w:tcPr>
            <w:tcW w:w="464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Losses (gains) on derivative financial instruments</w:t>
            </w:r>
          </w:p>
        </w:tc>
        <w:tc>
          <w:tcPr>
            <w:tcW w:w="52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center"/>
              <w:ind w:left="630"/>
              <w:spacing w:after="0"/>
              <w:rPr>
                <w:sz w:val="20"/>
                <w:szCs w:val="20"/>
                <w:color w:val="auto"/>
              </w:rPr>
            </w:pPr>
            <w:r>
              <w:rPr>
                <w:rFonts w:ascii="Arial" w:cs="Arial" w:eastAsia="Arial" w:hAnsi="Arial"/>
                <w:sz w:val="14"/>
                <w:szCs w:val="14"/>
                <w:color w:val="auto"/>
              </w:rPr>
              <w:t>0.2</w:t>
            </w:r>
          </w:p>
        </w:tc>
        <w:tc>
          <w:tcPr>
            <w:tcW w:w="940" w:type="dxa"/>
            <w:vAlign w:val="bottom"/>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center"/>
              <w:ind w:left="291"/>
              <w:spacing w:after="0"/>
              <w:rPr>
                <w:sz w:val="20"/>
                <w:szCs w:val="20"/>
                <w:color w:val="auto"/>
              </w:rPr>
            </w:pPr>
            <w:r>
              <w:rPr>
                <w:rFonts w:ascii="Arial" w:cs="Arial" w:eastAsia="Arial" w:hAnsi="Arial"/>
                <w:sz w:val="14"/>
                <w:szCs w:val="14"/>
                <w:color w:val="auto"/>
              </w:rPr>
              <w:t>0.8</w:t>
            </w:r>
          </w:p>
        </w:tc>
        <w:tc>
          <w:tcPr>
            <w:tcW w:w="520" w:type="dxa"/>
            <w:vAlign w:val="bottom"/>
            <w:shd w:val="clear" w:color="auto" w:fill="43C0B9"/>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shd w:val="clear" w:color="auto" w:fill="43C0B9"/>
          </w:tcPr>
          <w:p>
            <w:pPr>
              <w:jc w:val="center"/>
              <w:ind w:left="771"/>
              <w:spacing w:after="0"/>
              <w:rPr>
                <w:sz w:val="20"/>
                <w:szCs w:val="20"/>
                <w:color w:val="auto"/>
              </w:rPr>
            </w:pPr>
            <w:r>
              <w:rPr>
                <w:rFonts w:ascii="Arial" w:cs="Arial" w:eastAsia="Arial" w:hAnsi="Arial"/>
                <w:sz w:val="14"/>
                <w:szCs w:val="14"/>
                <w:color w:val="auto"/>
                <w:w w:val="97"/>
              </w:rPr>
              <w:t>(0.1)</w:t>
            </w:r>
          </w:p>
        </w:tc>
        <w:tc>
          <w:tcPr>
            <w:tcW w:w="400" w:type="dxa"/>
            <w:vAlign w:val="bottom"/>
            <w:shd w:val="clear" w:color="auto" w:fill="43C0B9"/>
          </w:tcPr>
          <w:p>
            <w:pPr>
              <w:jc w:val="right"/>
              <w:ind w:right="171"/>
              <w:spacing w:after="0"/>
              <w:rPr>
                <w:sz w:val="20"/>
                <w:szCs w:val="20"/>
                <w:color w:val="auto"/>
              </w:rPr>
            </w:pPr>
            <w:r>
              <w:rPr>
                <w:rFonts w:ascii="Arial" w:cs="Arial" w:eastAsia="Arial" w:hAnsi="Arial"/>
                <w:sz w:val="14"/>
                <w:szCs w:val="14"/>
                <w:color w:val="auto"/>
              </w:rPr>
              <w:t>$</w:t>
            </w:r>
          </w:p>
        </w:tc>
        <w:tc>
          <w:tcPr>
            <w:tcW w:w="12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4.2</w:t>
            </w:r>
          </w:p>
        </w:tc>
        <w:tc>
          <w:tcPr>
            <w:tcW w:w="20" w:type="dxa"/>
            <w:vAlign w:val="bottom"/>
            <w:shd w:val="clear" w:color="auto" w:fill="43C0B9"/>
          </w:tcPr>
          <w:p>
            <w:pPr>
              <w:spacing w:after="0"/>
              <w:rPr>
                <w:sz w:val="17"/>
                <w:szCs w:val="17"/>
                <w:color w:val="auto"/>
              </w:rPr>
            </w:pPr>
          </w:p>
        </w:tc>
      </w:tr>
      <w:tr>
        <w:trPr>
          <w:trHeight w:val="20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Foreign currency loss (gain)</w:t>
            </w:r>
          </w:p>
        </w:tc>
        <w:tc>
          <w:tcPr>
            <w:tcW w:w="520" w:type="dxa"/>
            <w:vAlign w:val="bottom"/>
          </w:tcPr>
          <w:p>
            <w:pPr>
              <w:spacing w:after="0"/>
              <w:rPr>
                <w:sz w:val="17"/>
                <w:szCs w:val="17"/>
                <w:color w:val="auto"/>
              </w:rPr>
            </w:pPr>
          </w:p>
        </w:tc>
        <w:tc>
          <w:tcPr>
            <w:tcW w:w="1100" w:type="dxa"/>
            <w:vAlign w:val="bottom"/>
          </w:tcPr>
          <w:p>
            <w:pPr>
              <w:jc w:val="center"/>
              <w:ind w:left="630"/>
              <w:spacing w:after="0"/>
              <w:rPr>
                <w:sz w:val="20"/>
                <w:szCs w:val="20"/>
                <w:color w:val="auto"/>
              </w:rPr>
            </w:pPr>
            <w:r>
              <w:rPr>
                <w:rFonts w:ascii="Arial" w:cs="Arial" w:eastAsia="Arial" w:hAnsi="Arial"/>
                <w:sz w:val="14"/>
                <w:szCs w:val="14"/>
                <w:color w:val="auto"/>
              </w:rPr>
              <w:t>1.0</w:t>
            </w:r>
          </w:p>
        </w:tc>
        <w:tc>
          <w:tcPr>
            <w:tcW w:w="940" w:type="dxa"/>
            <w:vAlign w:val="bottom"/>
          </w:tcPr>
          <w:p>
            <w:pPr>
              <w:spacing w:after="0"/>
              <w:rPr>
                <w:sz w:val="17"/>
                <w:szCs w:val="17"/>
                <w:color w:val="auto"/>
              </w:rPr>
            </w:pPr>
          </w:p>
        </w:tc>
        <w:tc>
          <w:tcPr>
            <w:tcW w:w="680" w:type="dxa"/>
            <w:vAlign w:val="bottom"/>
          </w:tcPr>
          <w:p>
            <w:pPr>
              <w:jc w:val="center"/>
              <w:ind w:left="291"/>
              <w:spacing w:after="0"/>
              <w:rPr>
                <w:sz w:val="20"/>
                <w:szCs w:val="20"/>
                <w:color w:val="auto"/>
              </w:rPr>
            </w:pPr>
            <w:r>
              <w:rPr>
                <w:rFonts w:ascii="Arial" w:cs="Arial" w:eastAsia="Arial" w:hAnsi="Arial"/>
                <w:sz w:val="14"/>
                <w:szCs w:val="14"/>
                <w:color w:val="auto"/>
              </w:rPr>
              <w:t>1.1</w:t>
            </w:r>
          </w:p>
        </w:tc>
        <w:tc>
          <w:tcPr>
            <w:tcW w:w="520" w:type="dxa"/>
            <w:vAlign w:val="bottom"/>
          </w:tcPr>
          <w:p>
            <w:pPr>
              <w:spacing w:after="0"/>
              <w:rPr>
                <w:sz w:val="17"/>
                <w:szCs w:val="17"/>
                <w:color w:val="auto"/>
              </w:rPr>
            </w:pPr>
          </w:p>
        </w:tc>
        <w:tc>
          <w:tcPr>
            <w:tcW w:w="1200" w:type="dxa"/>
            <w:vAlign w:val="bottom"/>
          </w:tcPr>
          <w:p>
            <w:pPr>
              <w:jc w:val="center"/>
              <w:ind w:left="771"/>
              <w:spacing w:after="0"/>
              <w:rPr>
                <w:sz w:val="20"/>
                <w:szCs w:val="20"/>
                <w:color w:val="auto"/>
              </w:rPr>
            </w:pPr>
            <w:r>
              <w:rPr>
                <w:rFonts w:ascii="Arial" w:cs="Arial" w:eastAsia="Arial" w:hAnsi="Arial"/>
                <w:sz w:val="14"/>
                <w:szCs w:val="14"/>
                <w:color w:val="auto"/>
              </w:rPr>
              <w:t>2.8</w:t>
            </w:r>
          </w:p>
        </w:tc>
        <w:tc>
          <w:tcPr>
            <w:tcW w:w="40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r>
      <w:tr>
        <w:trPr>
          <w:trHeight w:val="212"/>
        </w:trPr>
        <w:tc>
          <w:tcPr>
            <w:tcW w:w="464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Interest income</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jc w:val="center"/>
              <w:ind w:left="610"/>
              <w:spacing w:after="0"/>
              <w:rPr>
                <w:sz w:val="20"/>
                <w:szCs w:val="20"/>
                <w:color w:val="auto"/>
              </w:rPr>
            </w:pPr>
            <w:r>
              <w:rPr>
                <w:rFonts w:ascii="Arial" w:cs="Arial" w:eastAsia="Arial" w:hAnsi="Arial"/>
                <w:sz w:val="14"/>
                <w:szCs w:val="14"/>
                <w:color w:val="auto"/>
              </w:rPr>
              <w:t>(0.3)</w:t>
            </w: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jc w:val="center"/>
              <w:ind w:left="291"/>
              <w:spacing w:after="0"/>
              <w:rPr>
                <w:sz w:val="20"/>
                <w:szCs w:val="20"/>
                <w:color w:val="auto"/>
              </w:rPr>
            </w:pPr>
            <w:r>
              <w:rPr>
                <w:rFonts w:ascii="Arial" w:cs="Arial" w:eastAsia="Arial" w:hAnsi="Arial"/>
                <w:sz w:val="14"/>
                <w:szCs w:val="14"/>
                <w:color w:val="auto"/>
                <w:w w:val="97"/>
              </w:rPr>
              <w:t>(0.6)</w:t>
            </w:r>
          </w:p>
        </w:tc>
        <w:tc>
          <w:tcPr>
            <w:tcW w:w="520" w:type="dxa"/>
            <w:vAlign w:val="bottom"/>
            <w:shd w:val="clear" w:color="auto" w:fill="43C0B9"/>
          </w:tcPr>
          <w:p>
            <w:pPr>
              <w:spacing w:after="0"/>
              <w:rPr>
                <w:sz w:val="18"/>
                <w:szCs w:val="18"/>
                <w:color w:val="auto"/>
              </w:rPr>
            </w:pPr>
          </w:p>
        </w:tc>
        <w:tc>
          <w:tcPr>
            <w:tcW w:w="1200" w:type="dxa"/>
            <w:vAlign w:val="bottom"/>
            <w:shd w:val="clear" w:color="auto" w:fill="43C0B9"/>
          </w:tcPr>
          <w:p>
            <w:pPr>
              <w:jc w:val="center"/>
              <w:ind w:left="771"/>
              <w:spacing w:after="0"/>
              <w:rPr>
                <w:sz w:val="20"/>
                <w:szCs w:val="20"/>
                <w:color w:val="auto"/>
              </w:rPr>
            </w:pPr>
            <w:r>
              <w:rPr>
                <w:rFonts w:ascii="Arial" w:cs="Arial" w:eastAsia="Arial" w:hAnsi="Arial"/>
                <w:sz w:val="14"/>
                <w:szCs w:val="14"/>
                <w:color w:val="auto"/>
                <w:w w:val="97"/>
              </w:rPr>
              <w:t>(1.4)</w:t>
            </w:r>
          </w:p>
        </w:tc>
        <w:tc>
          <w:tcPr>
            <w:tcW w:w="400" w:type="dxa"/>
            <w:vAlign w:val="bottom"/>
            <w:shd w:val="clear" w:color="auto" w:fill="43C0B9"/>
          </w:tcPr>
          <w:p>
            <w:pPr>
              <w:spacing w:after="0"/>
              <w:rPr>
                <w:sz w:val="18"/>
                <w:szCs w:val="18"/>
                <w:color w:val="auto"/>
              </w:rPr>
            </w:pPr>
          </w:p>
        </w:tc>
        <w:tc>
          <w:tcPr>
            <w:tcW w:w="1240" w:type="dxa"/>
            <w:vAlign w:val="bottom"/>
            <w:gridSpan w:val="2"/>
            <w:shd w:val="clear" w:color="auto" w:fill="43C0B9"/>
          </w:tcPr>
          <w:p>
            <w:pPr>
              <w:jc w:val="right"/>
              <w:ind w:right="20"/>
              <w:spacing w:after="0"/>
              <w:rPr>
                <w:sz w:val="20"/>
                <w:szCs w:val="20"/>
                <w:color w:val="auto"/>
              </w:rPr>
            </w:pPr>
            <w:r>
              <w:rPr>
                <w:rFonts w:ascii="Arial" w:cs="Arial" w:eastAsia="Arial" w:hAnsi="Arial"/>
                <w:sz w:val="14"/>
                <w:szCs w:val="14"/>
                <w:color w:val="auto"/>
              </w:rPr>
              <w:t>(1.9)</w:t>
            </w:r>
          </w:p>
        </w:tc>
      </w:tr>
      <w:tr>
        <w:trPr>
          <w:trHeight w:val="200"/>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4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610"/>
              <w:spacing w:after="0"/>
              <w:rPr>
                <w:sz w:val="20"/>
                <w:szCs w:val="20"/>
                <w:color w:val="auto"/>
              </w:rPr>
            </w:pPr>
            <w:r>
              <w:rPr>
                <w:rFonts w:ascii="Arial" w:cs="Arial" w:eastAsia="Arial" w:hAnsi="Arial"/>
                <w:sz w:val="14"/>
                <w:szCs w:val="14"/>
                <w:color w:val="auto"/>
              </w:rPr>
              <w:t>(0.4)</w:t>
            </w: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91"/>
              <w:spacing w:after="0"/>
              <w:rPr>
                <w:sz w:val="20"/>
                <w:szCs w:val="20"/>
                <w:color w:val="auto"/>
              </w:rPr>
            </w:pPr>
            <w:r>
              <w:rPr>
                <w:rFonts w:ascii="Arial" w:cs="Arial" w:eastAsia="Arial" w:hAnsi="Arial"/>
                <w:sz w:val="14"/>
                <w:szCs w:val="14"/>
                <w:color w:val="auto"/>
                <w:w w:val="97"/>
              </w:rPr>
              <w:t>(0.1)</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771"/>
              <w:spacing w:after="0"/>
              <w:rPr>
                <w:sz w:val="20"/>
                <w:szCs w:val="20"/>
                <w:color w:val="auto"/>
              </w:rPr>
            </w:pPr>
            <w:r>
              <w:rPr>
                <w:rFonts w:ascii="Arial" w:cs="Arial" w:eastAsia="Arial" w:hAnsi="Arial"/>
                <w:sz w:val="14"/>
                <w:szCs w:val="14"/>
                <w:color w:val="auto"/>
                <w:w w:val="97"/>
              </w:rPr>
              <w:t>(0.5)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9"/>
        </w:trPr>
        <w:tc>
          <w:tcPr>
            <w:tcW w:w="464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52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43C0B9"/>
          </w:tcPr>
          <w:p>
            <w:pPr>
              <w:jc w:val="center"/>
              <w:ind w:left="630"/>
              <w:spacing w:after="0"/>
              <w:rPr>
                <w:sz w:val="20"/>
                <w:szCs w:val="20"/>
                <w:color w:val="auto"/>
              </w:rPr>
            </w:pPr>
            <w:r>
              <w:rPr>
                <w:rFonts w:ascii="Arial" w:cs="Arial" w:eastAsia="Arial" w:hAnsi="Arial"/>
                <w:sz w:val="14"/>
                <w:szCs w:val="14"/>
                <w:color w:val="auto"/>
              </w:rPr>
              <w:t>0.5</w:t>
            </w:r>
          </w:p>
        </w:tc>
        <w:tc>
          <w:tcPr>
            <w:tcW w:w="940" w:type="dxa"/>
            <w:vAlign w:val="bottom"/>
            <w:tcBorders>
              <w:bottom w:val="single" w:sz="8" w:color="auto"/>
            </w:tcBorders>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center"/>
              <w:ind w:left="291"/>
              <w:spacing w:after="0"/>
              <w:rPr>
                <w:sz w:val="20"/>
                <w:szCs w:val="20"/>
                <w:color w:val="auto"/>
              </w:rPr>
            </w:pPr>
            <w:r>
              <w:rPr>
                <w:rFonts w:ascii="Arial" w:cs="Arial" w:eastAsia="Arial" w:hAnsi="Arial"/>
                <w:sz w:val="14"/>
                <w:szCs w:val="14"/>
                <w:color w:val="auto"/>
              </w:rPr>
              <w:t>1.2</w:t>
            </w:r>
          </w:p>
        </w:tc>
        <w:tc>
          <w:tcPr>
            <w:tcW w:w="520" w:type="dxa"/>
            <w:vAlign w:val="bottom"/>
            <w:tcBorders>
              <w:bottom w:val="single" w:sz="8" w:color="auto"/>
            </w:tcBorders>
            <w:shd w:val="clear" w:color="auto" w:fill="43C0B9"/>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43C0B9"/>
          </w:tcPr>
          <w:p>
            <w:pPr>
              <w:jc w:val="center"/>
              <w:ind w:left="771"/>
              <w:spacing w:after="0"/>
              <w:rPr>
                <w:sz w:val="20"/>
                <w:szCs w:val="20"/>
                <w:color w:val="auto"/>
              </w:rPr>
            </w:pPr>
            <w:r>
              <w:rPr>
                <w:rFonts w:ascii="Arial" w:cs="Arial" w:eastAsia="Arial" w:hAnsi="Arial"/>
                <w:sz w:val="14"/>
                <w:szCs w:val="14"/>
                <w:color w:val="auto"/>
              </w:rPr>
              <w:t>0.8</w:t>
            </w:r>
          </w:p>
        </w:tc>
        <w:tc>
          <w:tcPr>
            <w:tcW w:w="400" w:type="dxa"/>
            <w:vAlign w:val="bottom"/>
            <w:tcBorders>
              <w:bottom w:val="single" w:sz="8" w:color="auto"/>
            </w:tcBorders>
            <w:shd w:val="clear" w:color="auto" w:fill="43C0B9"/>
          </w:tcPr>
          <w:p>
            <w:pPr>
              <w:jc w:val="right"/>
              <w:ind w:right="17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43C0B9"/>
          </w:tcPr>
          <w:p>
            <w:pPr>
              <w:spacing w:after="0"/>
              <w:rPr>
                <w:sz w:val="17"/>
                <w:szCs w:val="17"/>
                <w:color w:val="auto"/>
              </w:rPr>
            </w:pPr>
          </w:p>
        </w:tc>
      </w:tr>
      <w:tr>
        <w:trPr>
          <w:trHeight w:val="715"/>
        </w:trPr>
        <w:tc>
          <w:tcPr>
            <w:tcW w:w="4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5"/>
                <w:szCs w:val="15"/>
                <w:color w:val="auto"/>
              </w:rPr>
              <w:t>11</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0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346" w:lineRule="exact"/>
        <w:rPr>
          <w:sz w:val="20"/>
          <w:szCs w:val="20"/>
          <w:color w:val="auto"/>
        </w:rPr>
      </w:pPr>
    </w:p>
    <w:p>
      <w:pPr>
        <w:ind w:left="420" w:hanging="417"/>
        <w:spacing w:after="0"/>
        <w:tabs>
          <w:tab w:leader="none" w:pos="420" w:val="left"/>
        </w:tabs>
        <w:numPr>
          <w:ilvl w:val="0"/>
          <w:numId w:val="5"/>
        </w:numPr>
        <w:rPr>
          <w:rFonts w:ascii="Arial" w:cs="Arial" w:eastAsia="Arial" w:hAnsi="Arial"/>
          <w:sz w:val="19"/>
          <w:szCs w:val="19"/>
          <w:b w:val="1"/>
          <w:bCs w:val="1"/>
          <w:color w:val="232F84"/>
        </w:rPr>
      </w:pPr>
      <w:r>
        <w:rPr>
          <w:rFonts w:ascii="Arial" w:cs="Arial" w:eastAsia="Arial" w:hAnsi="Arial"/>
          <w:sz w:val="19"/>
          <w:szCs w:val="19"/>
          <w:b w:val="1"/>
          <w:bCs w:val="1"/>
          <w:color w:val="232F84"/>
        </w:rPr>
        <w:t>Debt</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Credit facility</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Long-term debt under our credit facility with Bank of America (“BoA”) Merrill Lynch consisted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40" w:type="dxa"/>
            <w:vAlign w:val="bottom"/>
            <w:shd w:val="clear" w:color="auto" w:fill="232F84"/>
          </w:tcPr>
          <w:p>
            <w:pPr>
              <w:spacing w:after="0"/>
              <w:rPr>
                <w:sz w:val="17"/>
                <w:szCs w:val="17"/>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July 31, 2021</w:t>
            </w:r>
          </w:p>
        </w:tc>
        <w:tc>
          <w:tcPr>
            <w:tcW w:w="320" w:type="dxa"/>
            <w:vAlign w:val="bottom"/>
            <w:shd w:val="clear" w:color="auto" w:fill="232F84"/>
          </w:tcPr>
          <w:p>
            <w:pPr>
              <w:spacing w:after="0"/>
              <w:rPr>
                <w:sz w:val="17"/>
                <w:szCs w:val="17"/>
                <w:color w:val="auto"/>
              </w:rPr>
            </w:pPr>
          </w:p>
        </w:tc>
        <w:tc>
          <w:tcPr>
            <w:tcW w:w="13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185"/>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Revolving line of credit. The interest rate is variable, based on LIBOR plus a spread that varies with the Company’s leverage</w:t>
            </w:r>
          </w:p>
        </w:tc>
        <w:tc>
          <w:tcPr>
            <w:tcW w:w="440" w:type="dxa"/>
            <w:vAlign w:val="bottom"/>
            <w:shd w:val="clear" w:color="auto" w:fill="43C0B9"/>
          </w:tcPr>
          <w:p>
            <w:pPr>
              <w:jc w:val="right"/>
              <w:ind w:right="231"/>
              <w:spacing w:after="0"/>
              <w:rPr>
                <w:sz w:val="20"/>
                <w:szCs w:val="20"/>
                <w:color w:val="auto"/>
              </w:rPr>
            </w:pPr>
            <w:r>
              <w:rPr>
                <w:rFonts w:ascii="Arial" w:cs="Arial" w:eastAsia="Arial" w:hAnsi="Arial"/>
                <w:sz w:val="14"/>
                <w:szCs w:val="14"/>
                <w:color w:val="auto"/>
              </w:rPr>
              <w:t>$</w:t>
            </w: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7960" w:type="dxa"/>
            <w:vAlign w:val="bottom"/>
            <w:shd w:val="clear" w:color="auto" w:fill="43C0B9"/>
          </w:tcPr>
          <w:p>
            <w:pPr>
              <w:ind w:left="20"/>
              <w:spacing w:after="0" w:line="155" w:lineRule="exact"/>
              <w:rPr>
                <w:sz w:val="20"/>
                <w:szCs w:val="20"/>
                <w:color w:val="auto"/>
              </w:rPr>
            </w:pPr>
            <w:r>
              <w:rPr>
                <w:rFonts w:ascii="Arial" w:cs="Arial" w:eastAsia="Arial" w:hAnsi="Arial"/>
                <w:sz w:val="14"/>
                <w:szCs w:val="14"/>
                <w:color w:val="auto"/>
                <w:w w:val="99"/>
              </w:rPr>
              <w:t>ratio. As of July 31, 2021 and October 31, 2020, the interest rate was 1.84% and 1.90%, respectively. Interest is payable monthly</w:t>
            </w:r>
          </w:p>
        </w:tc>
        <w:tc>
          <w:tcPr>
            <w:tcW w:w="440" w:type="dxa"/>
            <w:vAlign w:val="bottom"/>
            <w:shd w:val="clear" w:color="auto" w:fill="43C0B9"/>
          </w:tcPr>
          <w:p>
            <w:pPr>
              <w:spacing w:after="0"/>
              <w:rPr>
                <w:sz w:val="13"/>
                <w:szCs w:val="13"/>
                <w:color w:val="auto"/>
              </w:rPr>
            </w:pPr>
          </w:p>
        </w:tc>
        <w:tc>
          <w:tcPr>
            <w:tcW w:w="1220" w:type="dxa"/>
            <w:vAlign w:val="bottom"/>
            <w:shd w:val="clear" w:color="auto" w:fill="43C0B9"/>
          </w:tcPr>
          <w:p>
            <w:pPr>
              <w:spacing w:after="0"/>
              <w:rPr>
                <w:sz w:val="13"/>
                <w:szCs w:val="13"/>
                <w:color w:val="auto"/>
              </w:rPr>
            </w:pPr>
          </w:p>
        </w:tc>
        <w:tc>
          <w:tcPr>
            <w:tcW w:w="320" w:type="dxa"/>
            <w:vAlign w:val="bottom"/>
            <w:shd w:val="clear" w:color="auto" w:fill="43C0B9"/>
          </w:tcPr>
          <w:p>
            <w:pPr>
              <w:spacing w:after="0"/>
              <w:rPr>
                <w:sz w:val="13"/>
                <w:szCs w:val="13"/>
                <w:color w:val="auto"/>
              </w:rPr>
            </w:pPr>
          </w:p>
        </w:tc>
        <w:tc>
          <w:tcPr>
            <w:tcW w:w="1300" w:type="dxa"/>
            <w:vAlign w:val="bottom"/>
            <w:shd w:val="clear" w:color="auto" w:fill="43C0B9"/>
          </w:tcPr>
          <w:p>
            <w:pPr>
              <w:spacing w:after="0"/>
              <w:rPr>
                <w:sz w:val="13"/>
                <w:szCs w:val="13"/>
                <w:color w:val="auto"/>
              </w:rPr>
            </w:pPr>
          </w:p>
        </w:tc>
      </w:tr>
      <w:tr>
        <w:trPr>
          <w:trHeight w:val="176"/>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and principal is due in full in October 2023.</w:t>
            </w:r>
          </w:p>
        </w:tc>
        <w:tc>
          <w:tcPr>
            <w:tcW w:w="440" w:type="dxa"/>
            <w:vAlign w:val="bottom"/>
            <w:shd w:val="clear" w:color="auto" w:fill="43C0B9"/>
          </w:tcPr>
          <w:p>
            <w:pPr>
              <w:spacing w:after="0"/>
              <w:rPr>
                <w:sz w:val="15"/>
                <w:szCs w:val="15"/>
                <w:color w:val="auto"/>
              </w:rPr>
            </w:pPr>
          </w:p>
        </w:tc>
        <w:tc>
          <w:tcPr>
            <w:tcW w:w="1220" w:type="dxa"/>
            <w:vAlign w:val="bottom"/>
            <w:shd w:val="clear" w:color="auto" w:fill="43C0B9"/>
          </w:tcPr>
          <w:p>
            <w:pPr>
              <w:spacing w:after="0"/>
              <w:rPr>
                <w:sz w:val="15"/>
                <w:szCs w:val="15"/>
                <w:color w:val="auto"/>
              </w:rPr>
            </w:pPr>
          </w:p>
        </w:tc>
        <w:tc>
          <w:tcPr>
            <w:tcW w:w="320" w:type="dxa"/>
            <w:vAlign w:val="bottom"/>
            <w:shd w:val="clear" w:color="auto" w:fill="43C0B9"/>
          </w:tcPr>
          <w:p>
            <w:pPr>
              <w:spacing w:after="0"/>
              <w:rPr>
                <w:sz w:val="15"/>
                <w:szCs w:val="15"/>
                <w:color w:val="auto"/>
              </w:rPr>
            </w:pPr>
          </w:p>
        </w:tc>
        <w:tc>
          <w:tcPr>
            <w:tcW w:w="1300" w:type="dxa"/>
            <w:vAlign w:val="bottom"/>
            <w:shd w:val="clear" w:color="auto" w:fill="43C0B9"/>
          </w:tcPr>
          <w:p>
            <w:pPr>
              <w:spacing w:after="0"/>
              <w:rPr>
                <w:sz w:val="15"/>
                <w:szCs w:val="15"/>
                <w:color w:val="auto"/>
              </w:rPr>
            </w:pPr>
          </w:p>
        </w:tc>
      </w:tr>
      <w:tr>
        <w:trPr>
          <w:trHeight w:val="185"/>
        </w:trPr>
        <w:tc>
          <w:tcPr>
            <w:tcW w:w="7960" w:type="dxa"/>
            <w:vAlign w:val="bottom"/>
          </w:tcPr>
          <w:p>
            <w:pPr>
              <w:ind w:left="20"/>
              <w:spacing w:after="0"/>
              <w:rPr>
                <w:sz w:val="20"/>
                <w:szCs w:val="20"/>
                <w:color w:val="auto"/>
              </w:rPr>
            </w:pPr>
            <w:r>
              <w:rPr>
                <w:rFonts w:ascii="Arial" w:cs="Arial" w:eastAsia="Arial" w:hAnsi="Arial"/>
                <w:sz w:val="14"/>
                <w:szCs w:val="14"/>
                <w:color w:val="auto"/>
                <w:w w:val="98"/>
              </w:rPr>
              <w:t>Senior term loan (A-1). The interest rate is variable, based on LIBOR plus a spread that varies with the Company’s leverage ratio.</w:t>
            </w:r>
          </w:p>
        </w:tc>
        <w:tc>
          <w:tcPr>
            <w:tcW w:w="44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91.2</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95.0</w:t>
            </w:r>
          </w:p>
        </w:tc>
      </w:tr>
      <w:tr>
        <w:trPr>
          <w:trHeight w:val="155"/>
        </w:trPr>
        <w:tc>
          <w:tcPr>
            <w:tcW w:w="7960" w:type="dxa"/>
            <w:vAlign w:val="bottom"/>
          </w:tcPr>
          <w:p>
            <w:pPr>
              <w:ind w:left="20"/>
              <w:spacing w:after="0" w:line="155" w:lineRule="exact"/>
              <w:rPr>
                <w:sz w:val="20"/>
                <w:szCs w:val="20"/>
                <w:color w:val="auto"/>
              </w:rPr>
            </w:pPr>
            <w:r>
              <w:rPr>
                <w:rFonts w:ascii="Arial" w:cs="Arial" w:eastAsia="Arial" w:hAnsi="Arial"/>
                <w:sz w:val="14"/>
                <w:szCs w:val="14"/>
                <w:color w:val="auto"/>
              </w:rPr>
              <w:t>As of July 31, 2021 and October 31, 2020, the interest rate was 1.84% and 1.90%, respectively. Interest is payable monthly,</w:t>
            </w: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0"/>
        </w:trPr>
        <w:tc>
          <w:tcPr>
            <w:tcW w:w="7960" w:type="dxa"/>
            <w:vAlign w:val="bottom"/>
          </w:tcPr>
          <w:p>
            <w:pPr>
              <w:ind w:left="20"/>
              <w:spacing w:after="0"/>
              <w:rPr>
                <w:sz w:val="20"/>
                <w:szCs w:val="20"/>
                <w:color w:val="auto"/>
              </w:rPr>
            </w:pPr>
            <w:r>
              <w:rPr>
                <w:rFonts w:ascii="Arial" w:cs="Arial" w:eastAsia="Arial" w:hAnsi="Arial"/>
                <w:sz w:val="14"/>
                <w:szCs w:val="14"/>
                <w:color w:val="auto"/>
              </w:rPr>
              <w:t>principal is payable quarterly and due in full in October 2023.</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1"/>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w w:val="98"/>
              </w:rPr>
              <w:t>Senior term loan (A-2). The interest rate is variable, based on LIBOR plus a spread that varies with the Company’s leverage ratio.</w:t>
            </w:r>
          </w:p>
        </w:tc>
        <w:tc>
          <w:tcPr>
            <w:tcW w:w="440" w:type="dxa"/>
            <w:vAlign w:val="bottom"/>
            <w:shd w:val="clear" w:color="auto" w:fill="43C0B9"/>
          </w:tcPr>
          <w:p>
            <w:pPr>
              <w:spacing w:after="0"/>
              <w:rPr>
                <w:sz w:val="16"/>
                <w:szCs w:val="16"/>
                <w:color w:val="auto"/>
              </w:rPr>
            </w:pP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72.9</w:t>
            </w:r>
          </w:p>
        </w:tc>
        <w:tc>
          <w:tcPr>
            <w:tcW w:w="320" w:type="dxa"/>
            <w:vAlign w:val="bottom"/>
            <w:shd w:val="clear" w:color="auto" w:fill="43C0B9"/>
          </w:tcPr>
          <w:p>
            <w:pPr>
              <w:spacing w:after="0"/>
              <w:rPr>
                <w:sz w:val="16"/>
                <w:szCs w:val="16"/>
                <w:color w:val="auto"/>
              </w:rPr>
            </w:pPr>
          </w:p>
        </w:tc>
        <w:tc>
          <w:tcPr>
            <w:tcW w:w="13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73.5</w:t>
            </w:r>
          </w:p>
        </w:tc>
      </w:tr>
      <w:tr>
        <w:trPr>
          <w:trHeight w:val="155"/>
        </w:trPr>
        <w:tc>
          <w:tcPr>
            <w:tcW w:w="7960" w:type="dxa"/>
            <w:vAlign w:val="bottom"/>
            <w:shd w:val="clear" w:color="auto" w:fill="43C0B9"/>
          </w:tcPr>
          <w:p>
            <w:pPr>
              <w:ind w:left="20"/>
              <w:spacing w:after="0" w:line="155" w:lineRule="exact"/>
              <w:rPr>
                <w:sz w:val="20"/>
                <w:szCs w:val="20"/>
                <w:color w:val="auto"/>
              </w:rPr>
            </w:pPr>
            <w:r>
              <w:rPr>
                <w:rFonts w:ascii="Arial" w:cs="Arial" w:eastAsia="Arial" w:hAnsi="Arial"/>
                <w:sz w:val="14"/>
                <w:szCs w:val="14"/>
                <w:color w:val="auto"/>
              </w:rPr>
              <w:t>As of July 31, 2021 and October 31, 2020, the interest rate was 2.34% and 2.40% respectively. Interest is payable monthly,</w:t>
            </w:r>
          </w:p>
        </w:tc>
        <w:tc>
          <w:tcPr>
            <w:tcW w:w="440" w:type="dxa"/>
            <w:vAlign w:val="bottom"/>
            <w:shd w:val="clear" w:color="auto" w:fill="43C0B9"/>
          </w:tcPr>
          <w:p>
            <w:pPr>
              <w:spacing w:after="0"/>
              <w:rPr>
                <w:sz w:val="13"/>
                <w:szCs w:val="13"/>
                <w:color w:val="auto"/>
              </w:rPr>
            </w:pPr>
          </w:p>
        </w:tc>
        <w:tc>
          <w:tcPr>
            <w:tcW w:w="1220" w:type="dxa"/>
            <w:vAlign w:val="bottom"/>
            <w:shd w:val="clear" w:color="auto" w:fill="43C0B9"/>
          </w:tcPr>
          <w:p>
            <w:pPr>
              <w:spacing w:after="0"/>
              <w:rPr>
                <w:sz w:val="13"/>
                <w:szCs w:val="13"/>
                <w:color w:val="auto"/>
              </w:rPr>
            </w:pPr>
          </w:p>
        </w:tc>
        <w:tc>
          <w:tcPr>
            <w:tcW w:w="320" w:type="dxa"/>
            <w:vAlign w:val="bottom"/>
            <w:shd w:val="clear" w:color="auto" w:fill="43C0B9"/>
          </w:tcPr>
          <w:p>
            <w:pPr>
              <w:spacing w:after="0"/>
              <w:rPr>
                <w:sz w:val="13"/>
                <w:szCs w:val="13"/>
                <w:color w:val="auto"/>
              </w:rPr>
            </w:pPr>
          </w:p>
        </w:tc>
        <w:tc>
          <w:tcPr>
            <w:tcW w:w="1300" w:type="dxa"/>
            <w:vAlign w:val="bottom"/>
            <w:shd w:val="clear" w:color="auto" w:fill="43C0B9"/>
          </w:tcPr>
          <w:p>
            <w:pPr>
              <w:spacing w:after="0"/>
              <w:rPr>
                <w:sz w:val="13"/>
                <w:szCs w:val="13"/>
                <w:color w:val="auto"/>
              </w:rPr>
            </w:pPr>
          </w:p>
        </w:tc>
      </w:tr>
      <w:tr>
        <w:trPr>
          <w:trHeight w:val="176"/>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principal is payable quarterly and due in full in October 2025.</w:t>
            </w:r>
          </w:p>
        </w:tc>
        <w:tc>
          <w:tcPr>
            <w:tcW w:w="440" w:type="dxa"/>
            <w:vAlign w:val="bottom"/>
            <w:shd w:val="clear" w:color="auto" w:fill="43C0B9"/>
          </w:tcPr>
          <w:p>
            <w:pPr>
              <w:spacing w:after="0"/>
              <w:rPr>
                <w:sz w:val="15"/>
                <w:szCs w:val="15"/>
                <w:color w:val="auto"/>
              </w:rPr>
            </w:pPr>
          </w:p>
        </w:tc>
        <w:tc>
          <w:tcPr>
            <w:tcW w:w="1220" w:type="dxa"/>
            <w:vAlign w:val="bottom"/>
            <w:shd w:val="clear" w:color="auto" w:fill="43C0B9"/>
          </w:tcPr>
          <w:p>
            <w:pPr>
              <w:spacing w:after="0"/>
              <w:rPr>
                <w:sz w:val="15"/>
                <w:szCs w:val="15"/>
                <w:color w:val="auto"/>
              </w:rPr>
            </w:pPr>
          </w:p>
        </w:tc>
        <w:tc>
          <w:tcPr>
            <w:tcW w:w="320" w:type="dxa"/>
            <w:vAlign w:val="bottom"/>
            <w:shd w:val="clear" w:color="auto" w:fill="43C0B9"/>
          </w:tcPr>
          <w:p>
            <w:pPr>
              <w:spacing w:after="0"/>
              <w:rPr>
                <w:sz w:val="15"/>
                <w:szCs w:val="15"/>
                <w:color w:val="auto"/>
              </w:rPr>
            </w:pPr>
          </w:p>
        </w:tc>
        <w:tc>
          <w:tcPr>
            <w:tcW w:w="1300" w:type="dxa"/>
            <w:vAlign w:val="bottom"/>
            <w:shd w:val="clear" w:color="auto" w:fill="43C0B9"/>
          </w:tcPr>
          <w:p>
            <w:pPr>
              <w:spacing w:after="0"/>
              <w:rPr>
                <w:sz w:val="15"/>
                <w:szCs w:val="15"/>
                <w:color w:val="auto"/>
              </w:rPr>
            </w:pPr>
          </w:p>
        </w:tc>
      </w:tr>
      <w:tr>
        <w:trPr>
          <w:trHeight w:val="185"/>
        </w:trPr>
        <w:tc>
          <w:tcPr>
            <w:tcW w:w="7960" w:type="dxa"/>
            <w:vAlign w:val="bottom"/>
          </w:tcPr>
          <w:p>
            <w:pPr>
              <w:ind w:left="20"/>
              <w:spacing w:after="0"/>
              <w:rPr>
                <w:sz w:val="20"/>
                <w:szCs w:val="20"/>
                <w:color w:val="auto"/>
              </w:rPr>
            </w:pPr>
            <w:r>
              <w:rPr>
                <w:rFonts w:ascii="Arial" w:cs="Arial" w:eastAsia="Arial" w:hAnsi="Arial"/>
                <w:sz w:val="14"/>
                <w:szCs w:val="14"/>
                <w:color w:val="auto"/>
              </w:rPr>
              <w:t>Notes payable to BoA. Payable in monthly installments including interest at a weighted average rate of 4.56% and 4.52% as of</w:t>
            </w:r>
          </w:p>
        </w:tc>
        <w:tc>
          <w:tcPr>
            <w:tcW w:w="44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4.8</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7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July 31, 2021 and October 31, 2020, respectively. Principal is due September 2025.</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05"/>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long-term debt</w:t>
            </w:r>
          </w:p>
        </w:tc>
        <w:tc>
          <w:tcPr>
            <w:tcW w:w="440" w:type="dxa"/>
            <w:vAlign w:val="bottom"/>
            <w:shd w:val="clear" w:color="auto" w:fill="43C0B9"/>
          </w:tcPr>
          <w:p>
            <w:pPr>
              <w:spacing w:after="0"/>
              <w:rPr>
                <w:sz w:val="17"/>
                <w:szCs w:val="17"/>
                <w:color w:val="auto"/>
              </w:rPr>
            </w:pP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168.9</w:t>
            </w:r>
          </w:p>
        </w:tc>
        <w:tc>
          <w:tcPr>
            <w:tcW w:w="320" w:type="dxa"/>
            <w:vAlign w:val="bottom"/>
            <w:shd w:val="clear" w:color="auto" w:fill="43C0B9"/>
          </w:tcPr>
          <w:p>
            <w:pPr>
              <w:spacing w:after="0"/>
              <w:rPr>
                <w:sz w:val="17"/>
                <w:szCs w:val="17"/>
                <w:color w:val="auto"/>
              </w:rPr>
            </w:pPr>
          </w:p>
        </w:tc>
        <w:tc>
          <w:tcPr>
            <w:tcW w:w="13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174.7</w:t>
            </w:r>
          </w:p>
        </w:tc>
      </w:tr>
      <w:tr>
        <w:trPr>
          <w:trHeight w:val="20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debt issuance costs</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05"/>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440" w:type="dxa"/>
            <w:vAlign w:val="bottom"/>
            <w:shd w:val="clear" w:color="auto" w:fill="43C0B9"/>
          </w:tcPr>
          <w:p>
            <w:pPr>
              <w:spacing w:after="0"/>
              <w:rPr>
                <w:sz w:val="17"/>
                <w:szCs w:val="17"/>
                <w:color w:val="auto"/>
              </w:rPr>
            </w:pP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168.5</w:t>
            </w:r>
          </w:p>
        </w:tc>
        <w:tc>
          <w:tcPr>
            <w:tcW w:w="320" w:type="dxa"/>
            <w:vAlign w:val="bottom"/>
            <w:shd w:val="clear" w:color="auto" w:fill="43C0B9"/>
          </w:tcPr>
          <w:p>
            <w:pPr>
              <w:spacing w:after="0"/>
              <w:rPr>
                <w:sz w:val="17"/>
                <w:szCs w:val="17"/>
                <w:color w:val="auto"/>
              </w:rPr>
            </w:pPr>
          </w:p>
        </w:tc>
        <w:tc>
          <w:tcPr>
            <w:tcW w:w="13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174.1</w:t>
            </w:r>
          </w:p>
        </w:tc>
      </w:tr>
      <w:tr>
        <w:trPr>
          <w:trHeight w:val="20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199"/>
        </w:trPr>
        <w:tc>
          <w:tcPr>
            <w:tcW w:w="79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Long-term debt, net of current portion</w:t>
            </w:r>
          </w:p>
        </w:tc>
        <w:tc>
          <w:tcPr>
            <w:tcW w:w="440" w:type="dxa"/>
            <w:vAlign w:val="bottom"/>
            <w:tcBorders>
              <w:bottom w:val="single" w:sz="8" w:color="auto"/>
            </w:tcBorders>
            <w:shd w:val="clear" w:color="auto" w:fill="43C0B9"/>
          </w:tcPr>
          <w:p>
            <w:pPr>
              <w:jc w:val="right"/>
              <w:ind w:right="23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159.7</w:t>
            </w:r>
          </w:p>
        </w:tc>
        <w:tc>
          <w:tcPr>
            <w:tcW w:w="32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166.7</w:t>
            </w:r>
          </w:p>
        </w:tc>
      </w:tr>
    </w:tbl>
    <w:p>
      <w:pPr>
        <w:spacing w:after="0" w:line="298" w:lineRule="exact"/>
        <w:rPr>
          <w:sz w:val="20"/>
          <w:szCs w:val="20"/>
          <w:color w:val="auto"/>
        </w:rPr>
      </w:pPr>
    </w:p>
    <w:p>
      <w:pPr>
        <w:ind w:right="180" w:firstLine="619"/>
        <w:spacing w:after="0" w:line="260" w:lineRule="auto"/>
        <w:rPr>
          <w:sz w:val="20"/>
          <w:szCs w:val="20"/>
          <w:color w:val="auto"/>
        </w:rPr>
      </w:pPr>
      <w:r>
        <w:rPr>
          <w:rFonts w:ascii="Arial" w:cs="Arial" w:eastAsia="Arial" w:hAnsi="Arial"/>
          <w:sz w:val="15"/>
          <w:szCs w:val="15"/>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July 31, 2021, the Company was in compliance with all covenants of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Interest rate swaps</w:t>
      </w:r>
    </w:p>
    <w:p>
      <w:pPr>
        <w:spacing w:after="0" w:line="232" w:lineRule="exact"/>
        <w:rPr>
          <w:sz w:val="20"/>
          <w:szCs w:val="20"/>
          <w:color w:val="auto"/>
        </w:rPr>
      </w:pPr>
    </w:p>
    <w:p>
      <w:pPr>
        <w:ind w:right="140" w:firstLine="619"/>
        <w:spacing w:after="0" w:line="256" w:lineRule="auto"/>
        <w:rPr>
          <w:sz w:val="20"/>
          <w:szCs w:val="20"/>
          <w:color w:val="auto"/>
        </w:rPr>
      </w:pPr>
      <w:r>
        <w:rPr>
          <w:rFonts w:ascii="Arial" w:cs="Arial" w:eastAsia="Arial" w:hAnsi="Arial"/>
          <w:sz w:val="15"/>
          <w:szCs w:val="15"/>
          <w:color w:val="auto"/>
        </w:rPr>
        <w:t>The Company has four separate interest rate swaps with a total notional amount of $100 million to hedge changes in the variable interest rate on $100 million of principal value of the Company’s term loans. The Company has not designated the interest rate swaps as cash flow hedges, and as a result, changes in the fair value of the interest rate swaps have been recorded in other expense in the condensed consolidated statements of comprehensive income and changes in the liability are presented in net cash provided by operating activities in the condensed consolidated statements of cash flow. Refer to Note 7 for more details.</w:t>
      </w:r>
    </w:p>
    <w:p>
      <w:pPr>
        <w:spacing w:after="0" w:line="200" w:lineRule="exact"/>
        <w:rPr>
          <w:sz w:val="20"/>
          <w:szCs w:val="20"/>
          <w:color w:val="auto"/>
        </w:rPr>
      </w:pPr>
    </w:p>
    <w:p>
      <w:pPr>
        <w:spacing w:after="0" w:line="376" w:lineRule="exact"/>
        <w:rPr>
          <w:sz w:val="20"/>
          <w:szCs w:val="20"/>
          <w:color w:val="auto"/>
        </w:rPr>
      </w:pPr>
    </w:p>
    <w:p>
      <w:pPr>
        <w:ind w:left="480" w:hanging="477"/>
        <w:spacing w:after="0"/>
        <w:tabs>
          <w:tab w:leader="none" w:pos="480" w:val="left"/>
        </w:tabs>
        <w:numPr>
          <w:ilvl w:val="0"/>
          <w:numId w:val="6"/>
        </w:numPr>
        <w:rPr>
          <w:rFonts w:ascii="Arial" w:cs="Arial" w:eastAsia="Arial" w:hAnsi="Arial"/>
          <w:sz w:val="19"/>
          <w:szCs w:val="19"/>
          <w:b w:val="1"/>
          <w:bCs w:val="1"/>
          <w:color w:val="232F84"/>
        </w:rPr>
      </w:pPr>
      <w:r>
        <w:rPr>
          <w:rFonts w:ascii="Arial" w:cs="Arial" w:eastAsia="Arial" w:hAnsi="Arial"/>
          <w:sz w:val="19"/>
          <w:szCs w:val="19"/>
          <w:b w:val="1"/>
          <w:bCs w:val="1"/>
          <w:color w:val="232F84"/>
        </w:rPr>
        <w:t>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Litigation</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involved from time to time in claims, proceedings, and litigation, including the following:</w:t>
      </w:r>
    </w:p>
    <w:p>
      <w:pPr>
        <w:spacing w:after="0" w:line="214" w:lineRule="exact"/>
        <w:rPr>
          <w:sz w:val="20"/>
          <w:szCs w:val="20"/>
          <w:color w:val="auto"/>
        </w:rPr>
      </w:pPr>
    </w:p>
    <w:p>
      <w:pPr>
        <w:ind w:right="20" w:firstLine="619"/>
        <w:spacing w:after="0" w:line="253" w:lineRule="auto"/>
        <w:rPr>
          <w:sz w:val="20"/>
          <w:szCs w:val="20"/>
          <w:color w:val="auto"/>
        </w:rPr>
      </w:pPr>
      <w:r>
        <w:rPr>
          <w:rFonts w:ascii="Arial" w:cs="Arial" w:eastAsia="Arial" w:hAnsi="Arial"/>
          <w:sz w:val="15"/>
          <w:szCs w:val="15"/>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condensed consolidated statements of comprehensive income during the three months ended April 30, 2021. This preliminary settlement is subject to approval by the applicable courts.</w:t>
      </w:r>
    </w:p>
    <w:p>
      <w:pPr>
        <w:spacing w:after="0" w:line="194" w:lineRule="exact"/>
        <w:rPr>
          <w:sz w:val="20"/>
          <w:szCs w:val="20"/>
          <w:color w:val="auto"/>
        </w:rPr>
      </w:pPr>
    </w:p>
    <w:p>
      <w:pPr>
        <w:jc w:val="both"/>
        <w:ind w:right="120" w:firstLine="619"/>
        <w:spacing w:after="0" w:line="260" w:lineRule="auto"/>
        <w:rPr>
          <w:sz w:val="20"/>
          <w:szCs w:val="20"/>
          <w:color w:val="auto"/>
        </w:rPr>
      </w:pPr>
      <w:r>
        <w:rPr>
          <w:rFonts w:ascii="Arial" w:cs="Arial" w:eastAsia="Arial" w:hAnsi="Arial"/>
          <w:sz w:val="15"/>
          <w:szCs w:val="15"/>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346" w:lineRule="exact"/>
        <w:rPr>
          <w:sz w:val="20"/>
          <w:szCs w:val="20"/>
          <w:color w:val="auto"/>
        </w:rPr>
      </w:pPr>
    </w:p>
    <w:p>
      <w:pPr>
        <w:ind w:left="420" w:hanging="417"/>
        <w:spacing w:after="0"/>
        <w:tabs>
          <w:tab w:leader="none" w:pos="420" w:val="left"/>
        </w:tabs>
        <w:numPr>
          <w:ilvl w:val="0"/>
          <w:numId w:val="7"/>
        </w:numPr>
        <w:rPr>
          <w:rFonts w:ascii="Arial" w:cs="Arial" w:eastAsia="Arial" w:hAnsi="Arial"/>
          <w:sz w:val="19"/>
          <w:szCs w:val="19"/>
          <w:b w:val="1"/>
          <w:bCs w:val="1"/>
          <w:color w:val="232F84"/>
        </w:rPr>
      </w:pPr>
      <w:r>
        <w:rPr>
          <w:rFonts w:ascii="Arial" w:cs="Arial" w:eastAsia="Arial" w:hAnsi="Arial"/>
          <w:sz w:val="19"/>
          <w:szCs w:val="19"/>
          <w:b w:val="1"/>
          <w:bCs w:val="1"/>
          <w:color w:val="232F84"/>
        </w:rPr>
        <w:t>Income Taxes</w:t>
      </w:r>
    </w:p>
    <w:p>
      <w:pPr>
        <w:spacing w:after="0" w:line="236" w:lineRule="exact"/>
        <w:rPr>
          <w:sz w:val="20"/>
          <w:szCs w:val="20"/>
          <w:color w:val="auto"/>
        </w:rPr>
      </w:pPr>
    </w:p>
    <w:p>
      <w:pPr>
        <w:ind w:firstLine="619"/>
        <w:spacing w:after="0" w:line="259" w:lineRule="auto"/>
        <w:rPr>
          <w:sz w:val="20"/>
          <w:szCs w:val="20"/>
          <w:color w:val="auto"/>
        </w:rPr>
      </w:pPr>
      <w:r>
        <w:rPr>
          <w:rFonts w:ascii="Arial" w:cs="Arial" w:eastAsia="Arial" w:hAnsi="Arial"/>
          <w:sz w:val="15"/>
          <w:szCs w:val="15"/>
          <w:color w:val="auto"/>
        </w:rPr>
        <w:t>The income tax expense recorded for the three and nine months ended July 31, 2021 and July 31, 2020,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changes in uncertain tax positions (“UTP”), and changes in tax law affecting the rate in future years.</w:t>
      </w:r>
    </w:p>
    <w:p>
      <w:pPr>
        <w:spacing w:after="0" w:line="370" w:lineRule="exact"/>
        <w:rPr>
          <w:sz w:val="20"/>
          <w:szCs w:val="20"/>
          <w:color w:val="auto"/>
        </w:rPr>
      </w:pPr>
    </w:p>
    <w:p>
      <w:pPr>
        <w:ind w:right="60" w:firstLine="619"/>
        <w:spacing w:after="0" w:line="255" w:lineRule="auto"/>
        <w:rPr>
          <w:sz w:val="20"/>
          <w:szCs w:val="20"/>
          <w:color w:val="auto"/>
        </w:rPr>
      </w:pPr>
      <w:r>
        <w:rPr>
          <w:rFonts w:ascii="Arial" w:cs="Arial" w:eastAsia="Arial" w:hAnsi="Arial"/>
          <w:sz w:val="15"/>
          <w:szCs w:val="15"/>
          <w:color w:val="auto"/>
        </w:rPr>
        <w:t>As of July 31, 2021, the Company had $15.7 million in UTP accrued, of which $7.9 million relates to interest and penalties, inclusive of inflationary adjustments. The period for assessing interest and penalties has expired. However, the Company continues to record certain statutory adjustments related to inflation. During the three and nine months ended July 31, 2021, the Company recognized $0.3 million and $0.8 million, respectively, as income tax expense related to inflationary and other adjustments. Changes in the UTP related to changes in foreign exchange rates during the period are included in other expense in the condensed consolidated statements of comprehensive income.</w:t>
      </w:r>
    </w:p>
    <w:p>
      <w:pPr>
        <w:spacing w:after="0" w:line="192" w:lineRule="exact"/>
        <w:rPr>
          <w:sz w:val="20"/>
          <w:szCs w:val="20"/>
          <w:color w:val="auto"/>
        </w:rPr>
      </w:pPr>
    </w:p>
    <w:p>
      <w:pPr>
        <w:ind w:right="80" w:firstLine="619"/>
        <w:spacing w:after="0" w:line="257" w:lineRule="auto"/>
        <w:rPr>
          <w:sz w:val="20"/>
          <w:szCs w:val="20"/>
          <w:color w:val="auto"/>
        </w:rPr>
      </w:pPr>
      <w:r>
        <w:rPr>
          <w:rFonts w:ascii="Arial" w:cs="Arial" w:eastAsia="Arial" w:hAnsi="Arial"/>
          <w:sz w:val="15"/>
          <w:szCs w:val="15"/>
          <w:color w:val="auto"/>
        </w:rPr>
        <w:t>Additionally, the Company recorded a discrete tax expense of $5.1 million during the three months ended January 31, 2021, related to the remeasurement of our deferred tax liabilities in Peru due to the enactment of tax rate changes for future years. On December 30, 2020, Peru enacted certain tax law changes effective January 1, 2021 that repealed existing tax laws which provided benefits to agribusiness entities. The new law will subject the Company to higher Peruvian tax rates than the current rate of 15% as follows: 20% for calendar years 2023 to 2024, 25% for calendar years 2025 to 2027, and 29.5% thereafter.</w:t>
      </w:r>
    </w:p>
    <w:p>
      <w:pPr>
        <w:spacing w:after="0" w:line="392" w:lineRule="exact"/>
        <w:rPr>
          <w:sz w:val="20"/>
          <w:szCs w:val="20"/>
          <w:color w:val="auto"/>
        </w:rPr>
      </w:pPr>
    </w:p>
    <w:p>
      <w:pPr>
        <w:ind w:left="420" w:hanging="417"/>
        <w:spacing w:after="0"/>
        <w:tabs>
          <w:tab w:leader="none" w:pos="420" w:val="left"/>
        </w:tabs>
        <w:numPr>
          <w:ilvl w:val="0"/>
          <w:numId w:val="8"/>
        </w:numPr>
        <w:rPr>
          <w:rFonts w:ascii="Arial" w:cs="Arial" w:eastAsia="Arial" w:hAnsi="Arial"/>
          <w:sz w:val="19"/>
          <w:szCs w:val="19"/>
          <w:b w:val="1"/>
          <w:bCs w:val="1"/>
          <w:color w:val="232F84"/>
        </w:rPr>
      </w:pPr>
      <w:r>
        <w:rPr>
          <w:rFonts w:ascii="Arial" w:cs="Arial" w:eastAsia="Arial" w:hAnsi="Arial"/>
          <w:sz w:val="19"/>
          <w:szCs w:val="19"/>
          <w:b w:val="1"/>
          <w:bCs w:val="1"/>
          <w:color w:val="232F84"/>
        </w:rPr>
        <w:t>Fair Value Measurements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Financial liabilities measured and recorded at fair value on a recurring basis included in the condensed consolidated balance sheets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shd w:val="clear" w:color="auto" w:fill="232F84"/>
          </w:tcPr>
          <w:p>
            <w:pPr>
              <w:spacing w:after="0"/>
              <w:rPr>
                <w:sz w:val="18"/>
                <w:szCs w:val="18"/>
                <w:color w:val="auto"/>
              </w:rPr>
            </w:pPr>
          </w:p>
        </w:tc>
        <w:tc>
          <w:tcPr>
            <w:tcW w:w="400" w:type="dxa"/>
            <w:vAlign w:val="bottom"/>
            <w:shd w:val="clear" w:color="auto" w:fill="232F84"/>
          </w:tcPr>
          <w:p>
            <w:pPr>
              <w:spacing w:after="0"/>
              <w:rPr>
                <w:sz w:val="18"/>
                <w:szCs w:val="18"/>
                <w:color w:val="auto"/>
              </w:rPr>
            </w:pPr>
          </w:p>
        </w:tc>
        <w:tc>
          <w:tcPr>
            <w:tcW w:w="700" w:type="dxa"/>
            <w:vAlign w:val="bottom"/>
            <w:shd w:val="clear" w:color="auto" w:fill="232F84"/>
          </w:tcPr>
          <w:p>
            <w:pPr>
              <w:spacing w:after="0"/>
              <w:rPr>
                <w:sz w:val="18"/>
                <w:szCs w:val="18"/>
                <w:color w:val="auto"/>
              </w:rPr>
            </w:pPr>
          </w:p>
        </w:tc>
        <w:tc>
          <w:tcPr>
            <w:tcW w:w="160" w:type="dxa"/>
            <w:vAlign w:val="bottom"/>
            <w:shd w:val="clear" w:color="auto" w:fill="232F84"/>
          </w:tcPr>
          <w:p>
            <w:pPr>
              <w:spacing w:after="0"/>
              <w:rPr>
                <w:sz w:val="18"/>
                <w:szCs w:val="18"/>
                <w:color w:val="auto"/>
              </w:rPr>
            </w:pPr>
          </w:p>
        </w:tc>
        <w:tc>
          <w:tcPr>
            <w:tcW w:w="2240" w:type="dxa"/>
            <w:vAlign w:val="bottom"/>
            <w:gridSpan w:val="2"/>
            <w:shd w:val="clear" w:color="auto" w:fill="232F84"/>
          </w:tcPr>
          <w:p>
            <w:pPr>
              <w:jc w:val="right"/>
              <w:ind w:right="611"/>
              <w:spacing w:after="0"/>
              <w:rPr>
                <w:sz w:val="20"/>
                <w:szCs w:val="20"/>
                <w:color w:val="auto"/>
              </w:rPr>
            </w:pPr>
            <w:r>
              <w:rPr>
                <w:rFonts w:ascii="Arial" w:cs="Arial" w:eastAsia="Arial" w:hAnsi="Arial"/>
                <w:sz w:val="14"/>
                <w:szCs w:val="14"/>
                <w:b w:val="1"/>
                <w:bCs w:val="1"/>
                <w:color w:val="FFFFFF"/>
              </w:rPr>
              <w:t>July 31, 2021</w:t>
            </w:r>
          </w:p>
        </w:tc>
        <w:tc>
          <w:tcPr>
            <w:tcW w:w="240" w:type="dxa"/>
            <w:vAlign w:val="bottom"/>
            <w:shd w:val="clear" w:color="auto" w:fill="232F84"/>
          </w:tcPr>
          <w:p>
            <w:pPr>
              <w:spacing w:after="0"/>
              <w:rPr>
                <w:sz w:val="18"/>
                <w:szCs w:val="18"/>
                <w:color w:val="auto"/>
              </w:rPr>
            </w:pPr>
          </w:p>
        </w:tc>
        <w:tc>
          <w:tcPr>
            <w:tcW w:w="1560" w:type="dxa"/>
            <w:vAlign w:val="bottom"/>
            <w:shd w:val="clear" w:color="auto" w:fill="232F84"/>
          </w:tcPr>
          <w:p>
            <w:pPr>
              <w:spacing w:after="0"/>
              <w:rPr>
                <w:sz w:val="18"/>
                <w:szCs w:val="18"/>
                <w:color w:val="auto"/>
              </w:rPr>
            </w:pPr>
          </w:p>
        </w:tc>
        <w:tc>
          <w:tcPr>
            <w:tcW w:w="700" w:type="dxa"/>
            <w:vAlign w:val="bottom"/>
            <w:shd w:val="clear" w:color="auto" w:fill="232F84"/>
          </w:tcPr>
          <w:p>
            <w:pPr>
              <w:spacing w:after="0"/>
              <w:rPr>
                <w:sz w:val="18"/>
                <w:szCs w:val="18"/>
                <w:color w:val="auto"/>
              </w:rPr>
            </w:pPr>
          </w:p>
        </w:tc>
        <w:tc>
          <w:tcPr>
            <w:tcW w:w="180" w:type="dxa"/>
            <w:vAlign w:val="bottom"/>
            <w:shd w:val="clear" w:color="auto" w:fill="232F84"/>
          </w:tcPr>
          <w:p>
            <w:pPr>
              <w:spacing w:after="0"/>
              <w:rPr>
                <w:sz w:val="18"/>
                <w:szCs w:val="18"/>
                <w:color w:val="auto"/>
              </w:rPr>
            </w:pPr>
          </w:p>
        </w:tc>
        <w:tc>
          <w:tcPr>
            <w:tcW w:w="2240" w:type="dxa"/>
            <w:vAlign w:val="bottom"/>
            <w:gridSpan w:val="2"/>
            <w:shd w:val="clear" w:color="auto" w:fill="232F84"/>
          </w:tcPr>
          <w:p>
            <w:pPr>
              <w:jc w:val="right"/>
              <w:ind w:right="491"/>
              <w:spacing w:after="0"/>
              <w:rPr>
                <w:sz w:val="20"/>
                <w:szCs w:val="20"/>
                <w:color w:val="auto"/>
              </w:rPr>
            </w:pPr>
            <w:r>
              <w:rPr>
                <w:rFonts w:ascii="Arial" w:cs="Arial" w:eastAsia="Arial" w:hAnsi="Arial"/>
                <w:sz w:val="14"/>
                <w:szCs w:val="14"/>
                <w:b w:val="1"/>
                <w:bCs w:val="1"/>
                <w:color w:val="FFFFFF"/>
              </w:rPr>
              <w:t>October 31, 2020</w:t>
            </w:r>
          </w:p>
        </w:tc>
        <w:tc>
          <w:tcPr>
            <w:tcW w:w="260" w:type="dxa"/>
            <w:vAlign w:val="bottom"/>
            <w:shd w:val="clear" w:color="auto" w:fill="232F84"/>
          </w:tcPr>
          <w:p>
            <w:pPr>
              <w:spacing w:after="0"/>
              <w:rPr>
                <w:sz w:val="18"/>
                <w:szCs w:val="18"/>
                <w:color w:val="auto"/>
              </w:rPr>
            </w:pPr>
          </w:p>
        </w:tc>
        <w:tc>
          <w:tcPr>
            <w:tcW w:w="1040" w:type="dxa"/>
            <w:vAlign w:val="bottom"/>
            <w:shd w:val="clear" w:color="auto" w:fill="232F84"/>
          </w:tcPr>
          <w:p>
            <w:pPr>
              <w:spacing w:after="0"/>
              <w:rPr>
                <w:sz w:val="18"/>
                <w:szCs w:val="18"/>
                <w:color w:val="auto"/>
              </w:rPr>
            </w:pPr>
          </w:p>
        </w:tc>
      </w:tr>
      <w:tr>
        <w:trPr>
          <w:trHeight w:val="177"/>
        </w:trPr>
        <w:tc>
          <w:tcPr>
            <w:tcW w:w="1520" w:type="dxa"/>
            <w:vAlign w:val="bottom"/>
            <w:shd w:val="clear" w:color="auto" w:fill="232F84"/>
          </w:tcPr>
          <w:p>
            <w:pPr>
              <w:spacing w:after="0"/>
              <w:rPr>
                <w:sz w:val="15"/>
                <w:szCs w:val="15"/>
                <w:color w:val="auto"/>
              </w:rPr>
            </w:pPr>
          </w:p>
        </w:tc>
        <w:tc>
          <w:tcPr>
            <w:tcW w:w="40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60" w:type="dxa"/>
            <w:vAlign w:val="bottom"/>
            <w:shd w:val="clear" w:color="auto" w:fill="232F84"/>
          </w:tcPr>
          <w:p>
            <w:pPr>
              <w:spacing w:after="0"/>
              <w:rPr>
                <w:sz w:val="15"/>
                <w:szCs w:val="15"/>
                <w:color w:val="auto"/>
              </w:rPr>
            </w:pPr>
          </w:p>
        </w:tc>
        <w:tc>
          <w:tcPr>
            <w:tcW w:w="1280" w:type="dxa"/>
            <w:vAlign w:val="bottom"/>
            <w:shd w:val="clear" w:color="auto" w:fill="232F84"/>
          </w:tcPr>
          <w:p>
            <w:pPr>
              <w:spacing w:after="0"/>
              <w:rPr>
                <w:sz w:val="15"/>
                <w:szCs w:val="15"/>
                <w:color w:val="auto"/>
              </w:rPr>
            </w:pPr>
          </w:p>
        </w:tc>
        <w:tc>
          <w:tcPr>
            <w:tcW w:w="960" w:type="dxa"/>
            <w:vAlign w:val="bottom"/>
            <w:shd w:val="clear" w:color="auto" w:fill="232F84"/>
          </w:tcPr>
          <w:p>
            <w:pPr>
              <w:jc w:val="right"/>
              <w:ind w:right="11"/>
              <w:spacing w:after="0"/>
              <w:rPr>
                <w:sz w:val="20"/>
                <w:szCs w:val="20"/>
                <w:color w:val="auto"/>
              </w:rPr>
            </w:pPr>
            <w:r>
              <w:rPr>
                <w:rFonts w:ascii="Arial" w:cs="Arial" w:eastAsia="Arial" w:hAnsi="Arial"/>
                <w:sz w:val="14"/>
                <w:szCs w:val="14"/>
                <w:b w:val="1"/>
                <w:bCs w:val="1"/>
                <w:color w:val="FFFFFF"/>
              </w:rPr>
              <w:t>Significant</w:t>
            </w:r>
          </w:p>
        </w:tc>
        <w:tc>
          <w:tcPr>
            <w:tcW w:w="240" w:type="dxa"/>
            <w:vAlign w:val="bottom"/>
            <w:shd w:val="clear" w:color="auto" w:fill="232F84"/>
          </w:tcPr>
          <w:p>
            <w:pPr>
              <w:spacing w:after="0"/>
              <w:rPr>
                <w:sz w:val="15"/>
                <w:szCs w:val="15"/>
                <w:color w:val="auto"/>
              </w:rPr>
            </w:pPr>
          </w:p>
        </w:tc>
        <w:tc>
          <w:tcPr>
            <w:tcW w:w="156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28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c>
          <w:tcPr>
            <w:tcW w:w="260" w:type="dxa"/>
            <w:vAlign w:val="bottom"/>
            <w:shd w:val="clear" w:color="auto" w:fill="232F84"/>
          </w:tcPr>
          <w:p>
            <w:pPr>
              <w:spacing w:after="0"/>
              <w:rPr>
                <w:sz w:val="15"/>
                <w:szCs w:val="15"/>
                <w:color w:val="auto"/>
              </w:rPr>
            </w:pPr>
          </w:p>
        </w:tc>
        <w:tc>
          <w:tcPr>
            <w:tcW w:w="1040" w:type="dxa"/>
            <w:vAlign w:val="bottom"/>
            <w:shd w:val="clear" w:color="auto" w:fill="232F84"/>
          </w:tcPr>
          <w:p>
            <w:pPr>
              <w:spacing w:after="0"/>
              <w:rPr>
                <w:sz w:val="15"/>
                <w:szCs w:val="15"/>
                <w:color w:val="auto"/>
              </w:rPr>
            </w:pPr>
          </w:p>
        </w:tc>
      </w:tr>
      <w:tr>
        <w:trPr>
          <w:trHeight w:val="155"/>
        </w:trPr>
        <w:tc>
          <w:tcPr>
            <w:tcW w:w="1520" w:type="dxa"/>
            <w:vAlign w:val="bottom"/>
            <w:shd w:val="clear" w:color="auto" w:fill="232F84"/>
          </w:tcPr>
          <w:p>
            <w:pPr>
              <w:spacing w:after="0"/>
              <w:rPr>
                <w:sz w:val="13"/>
                <w:szCs w:val="13"/>
                <w:color w:val="auto"/>
              </w:rPr>
            </w:pPr>
          </w:p>
        </w:tc>
        <w:tc>
          <w:tcPr>
            <w:tcW w:w="400" w:type="dxa"/>
            <w:vAlign w:val="bottom"/>
            <w:shd w:val="clear" w:color="auto" w:fill="232F84"/>
          </w:tcPr>
          <w:p>
            <w:pPr>
              <w:spacing w:after="0"/>
              <w:rPr>
                <w:sz w:val="13"/>
                <w:szCs w:val="13"/>
                <w:color w:val="auto"/>
              </w:rPr>
            </w:pPr>
          </w:p>
        </w:tc>
        <w:tc>
          <w:tcPr>
            <w:tcW w:w="700" w:type="dxa"/>
            <w:vAlign w:val="bottom"/>
            <w:shd w:val="clear" w:color="auto" w:fill="232F84"/>
          </w:tcPr>
          <w:p>
            <w:pPr>
              <w:spacing w:after="0"/>
              <w:rPr>
                <w:sz w:val="13"/>
                <w:szCs w:val="13"/>
                <w:color w:val="auto"/>
              </w:rPr>
            </w:pPr>
          </w:p>
        </w:tc>
        <w:tc>
          <w:tcPr>
            <w:tcW w:w="160" w:type="dxa"/>
            <w:vAlign w:val="bottom"/>
            <w:shd w:val="clear" w:color="auto" w:fill="232F84"/>
          </w:tcPr>
          <w:p>
            <w:pPr>
              <w:spacing w:after="0"/>
              <w:rPr>
                <w:sz w:val="13"/>
                <w:szCs w:val="13"/>
                <w:color w:val="auto"/>
              </w:rPr>
            </w:pPr>
          </w:p>
        </w:tc>
        <w:tc>
          <w:tcPr>
            <w:tcW w:w="1280" w:type="dxa"/>
            <w:vAlign w:val="bottom"/>
            <w:shd w:val="clear" w:color="auto" w:fill="232F84"/>
          </w:tcPr>
          <w:p>
            <w:pPr>
              <w:jc w:val="right"/>
              <w:ind w:right="251"/>
              <w:spacing w:after="0" w:line="155" w:lineRule="exact"/>
              <w:rPr>
                <w:sz w:val="20"/>
                <w:szCs w:val="20"/>
                <w:color w:val="auto"/>
              </w:rPr>
            </w:pPr>
            <w:r>
              <w:rPr>
                <w:rFonts w:ascii="Arial" w:cs="Arial" w:eastAsia="Arial" w:hAnsi="Arial"/>
                <w:sz w:val="14"/>
                <w:szCs w:val="14"/>
                <w:b w:val="1"/>
                <w:bCs w:val="1"/>
                <w:color w:val="FFFFFF"/>
                <w:w w:val="98"/>
              </w:rPr>
              <w:t>Quoted Prices</w:t>
            </w:r>
          </w:p>
        </w:tc>
        <w:tc>
          <w:tcPr>
            <w:tcW w:w="960" w:type="dxa"/>
            <w:vAlign w:val="bottom"/>
            <w:shd w:val="clear" w:color="auto" w:fill="232F84"/>
          </w:tcPr>
          <w:p>
            <w:pPr>
              <w:jc w:val="right"/>
              <w:ind w:right="11"/>
              <w:spacing w:after="0" w:line="155" w:lineRule="exact"/>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232F84"/>
          </w:tcPr>
          <w:p>
            <w:pPr>
              <w:spacing w:after="0"/>
              <w:rPr>
                <w:sz w:val="13"/>
                <w:szCs w:val="13"/>
                <w:color w:val="auto"/>
              </w:rPr>
            </w:pPr>
          </w:p>
        </w:tc>
        <w:tc>
          <w:tcPr>
            <w:tcW w:w="1560" w:type="dxa"/>
            <w:vAlign w:val="bottom"/>
            <w:shd w:val="clear" w:color="auto" w:fill="232F84"/>
          </w:tcPr>
          <w:p>
            <w:pPr>
              <w:jc w:val="right"/>
              <w:ind w:right="451"/>
              <w:spacing w:after="0" w:line="155" w:lineRule="exact"/>
              <w:rPr>
                <w:sz w:val="20"/>
                <w:szCs w:val="20"/>
                <w:color w:val="auto"/>
              </w:rPr>
            </w:pPr>
            <w:r>
              <w:rPr>
                <w:rFonts w:ascii="Arial" w:cs="Arial" w:eastAsia="Arial" w:hAnsi="Arial"/>
                <w:sz w:val="14"/>
                <w:szCs w:val="14"/>
                <w:b w:val="1"/>
                <w:bCs w:val="1"/>
                <w:color w:val="FFFFFF"/>
              </w:rPr>
              <w:t>Significant</w:t>
            </w:r>
          </w:p>
        </w:tc>
        <w:tc>
          <w:tcPr>
            <w:tcW w:w="700" w:type="dxa"/>
            <w:vAlign w:val="bottom"/>
            <w:shd w:val="clear" w:color="auto" w:fill="232F84"/>
          </w:tcPr>
          <w:p>
            <w:pPr>
              <w:spacing w:after="0"/>
              <w:rPr>
                <w:sz w:val="13"/>
                <w:szCs w:val="13"/>
                <w:color w:val="auto"/>
              </w:rPr>
            </w:pPr>
          </w:p>
        </w:tc>
        <w:tc>
          <w:tcPr>
            <w:tcW w:w="180" w:type="dxa"/>
            <w:vAlign w:val="bottom"/>
            <w:shd w:val="clear" w:color="auto" w:fill="232F84"/>
          </w:tcPr>
          <w:p>
            <w:pPr>
              <w:spacing w:after="0"/>
              <w:rPr>
                <w:sz w:val="13"/>
                <w:szCs w:val="13"/>
                <w:color w:val="auto"/>
              </w:rPr>
            </w:pPr>
          </w:p>
        </w:tc>
        <w:tc>
          <w:tcPr>
            <w:tcW w:w="1280" w:type="dxa"/>
            <w:vAlign w:val="bottom"/>
            <w:shd w:val="clear" w:color="auto" w:fill="232F84"/>
          </w:tcPr>
          <w:p>
            <w:pPr>
              <w:jc w:val="right"/>
              <w:ind w:right="271"/>
              <w:spacing w:after="0" w:line="155" w:lineRule="exact"/>
              <w:rPr>
                <w:sz w:val="20"/>
                <w:szCs w:val="20"/>
                <w:color w:val="auto"/>
              </w:rPr>
            </w:pPr>
            <w:r>
              <w:rPr>
                <w:rFonts w:ascii="Arial" w:cs="Arial" w:eastAsia="Arial" w:hAnsi="Arial"/>
                <w:sz w:val="14"/>
                <w:szCs w:val="14"/>
                <w:b w:val="1"/>
                <w:bCs w:val="1"/>
                <w:color w:val="FFFFFF"/>
                <w:w w:val="96"/>
              </w:rPr>
              <w:t>Quoted Prices</w:t>
            </w:r>
          </w:p>
        </w:tc>
        <w:tc>
          <w:tcPr>
            <w:tcW w:w="960" w:type="dxa"/>
            <w:vAlign w:val="bottom"/>
            <w:shd w:val="clear" w:color="auto" w:fill="232F84"/>
          </w:tcPr>
          <w:p>
            <w:pPr>
              <w:jc w:val="right"/>
              <w:spacing w:after="0" w:line="155" w:lineRule="exact"/>
              <w:rPr>
                <w:sz w:val="20"/>
                <w:szCs w:val="20"/>
                <w:color w:val="auto"/>
              </w:rPr>
            </w:pPr>
            <w:r>
              <w:rPr>
                <w:rFonts w:ascii="Arial" w:cs="Arial" w:eastAsia="Arial" w:hAnsi="Arial"/>
                <w:sz w:val="14"/>
                <w:szCs w:val="14"/>
                <w:b w:val="1"/>
                <w:bCs w:val="1"/>
                <w:color w:val="FFFFFF"/>
              </w:rPr>
              <w:t>Other</w:t>
            </w:r>
          </w:p>
        </w:tc>
        <w:tc>
          <w:tcPr>
            <w:tcW w:w="260" w:type="dxa"/>
            <w:vAlign w:val="bottom"/>
            <w:shd w:val="clear" w:color="auto" w:fill="232F84"/>
          </w:tcPr>
          <w:p>
            <w:pPr>
              <w:spacing w:after="0"/>
              <w:rPr>
                <w:sz w:val="13"/>
                <w:szCs w:val="13"/>
                <w:color w:val="auto"/>
              </w:rPr>
            </w:pPr>
          </w:p>
        </w:tc>
        <w:tc>
          <w:tcPr>
            <w:tcW w:w="1040" w:type="dxa"/>
            <w:vAlign w:val="bottom"/>
            <w:shd w:val="clear" w:color="auto" w:fill="232F84"/>
          </w:tcPr>
          <w:p>
            <w:pPr>
              <w:jc w:val="right"/>
              <w:spacing w:after="0" w:line="155" w:lineRule="exact"/>
              <w:rPr>
                <w:sz w:val="20"/>
                <w:szCs w:val="20"/>
                <w:color w:val="auto"/>
              </w:rPr>
            </w:pPr>
            <w:r>
              <w:rPr>
                <w:rFonts w:ascii="Arial" w:cs="Arial" w:eastAsia="Arial" w:hAnsi="Arial"/>
                <w:sz w:val="14"/>
                <w:szCs w:val="14"/>
                <w:b w:val="1"/>
                <w:bCs w:val="1"/>
                <w:color w:val="FFFFFF"/>
              </w:rPr>
              <w:t>Significant</w:t>
            </w:r>
          </w:p>
        </w:tc>
      </w:tr>
      <w:tr>
        <w:trPr>
          <w:trHeight w:val="155"/>
        </w:trPr>
        <w:tc>
          <w:tcPr>
            <w:tcW w:w="1520" w:type="dxa"/>
            <w:vAlign w:val="bottom"/>
            <w:shd w:val="clear" w:color="auto" w:fill="232F84"/>
          </w:tcPr>
          <w:p>
            <w:pPr>
              <w:spacing w:after="0"/>
              <w:rPr>
                <w:sz w:val="13"/>
                <w:szCs w:val="13"/>
                <w:color w:val="auto"/>
              </w:rPr>
            </w:pPr>
          </w:p>
        </w:tc>
        <w:tc>
          <w:tcPr>
            <w:tcW w:w="400" w:type="dxa"/>
            <w:vAlign w:val="bottom"/>
            <w:shd w:val="clear" w:color="auto" w:fill="232F84"/>
          </w:tcPr>
          <w:p>
            <w:pPr>
              <w:spacing w:after="0"/>
              <w:rPr>
                <w:sz w:val="13"/>
                <w:szCs w:val="13"/>
                <w:color w:val="auto"/>
              </w:rPr>
            </w:pPr>
          </w:p>
        </w:tc>
        <w:tc>
          <w:tcPr>
            <w:tcW w:w="700" w:type="dxa"/>
            <w:vAlign w:val="bottom"/>
            <w:shd w:val="clear" w:color="auto" w:fill="232F84"/>
          </w:tcPr>
          <w:p>
            <w:pPr>
              <w:spacing w:after="0"/>
              <w:rPr>
                <w:sz w:val="13"/>
                <w:szCs w:val="13"/>
                <w:color w:val="auto"/>
              </w:rPr>
            </w:pPr>
          </w:p>
        </w:tc>
        <w:tc>
          <w:tcPr>
            <w:tcW w:w="160" w:type="dxa"/>
            <w:vAlign w:val="bottom"/>
            <w:shd w:val="clear" w:color="auto" w:fill="232F84"/>
          </w:tcPr>
          <w:p>
            <w:pPr>
              <w:spacing w:after="0"/>
              <w:rPr>
                <w:sz w:val="13"/>
                <w:szCs w:val="13"/>
                <w:color w:val="auto"/>
              </w:rPr>
            </w:pPr>
          </w:p>
        </w:tc>
        <w:tc>
          <w:tcPr>
            <w:tcW w:w="1280" w:type="dxa"/>
            <w:vAlign w:val="bottom"/>
            <w:shd w:val="clear" w:color="auto" w:fill="232F84"/>
          </w:tcPr>
          <w:p>
            <w:pPr>
              <w:jc w:val="right"/>
              <w:ind w:right="251"/>
              <w:spacing w:after="0" w:line="155" w:lineRule="exact"/>
              <w:rPr>
                <w:sz w:val="20"/>
                <w:szCs w:val="20"/>
                <w:color w:val="auto"/>
              </w:rPr>
            </w:pPr>
            <w:r>
              <w:rPr>
                <w:rFonts w:ascii="Arial" w:cs="Arial" w:eastAsia="Arial" w:hAnsi="Arial"/>
                <w:sz w:val="14"/>
                <w:szCs w:val="14"/>
                <w:b w:val="1"/>
                <w:bCs w:val="1"/>
                <w:color w:val="FFFFFF"/>
              </w:rPr>
              <w:t>in Active</w:t>
            </w:r>
          </w:p>
        </w:tc>
        <w:tc>
          <w:tcPr>
            <w:tcW w:w="960" w:type="dxa"/>
            <w:vAlign w:val="bottom"/>
            <w:shd w:val="clear" w:color="auto" w:fill="232F84"/>
          </w:tcPr>
          <w:p>
            <w:pPr>
              <w:jc w:val="right"/>
              <w:ind w:right="11"/>
              <w:spacing w:after="0" w:line="155" w:lineRule="exact"/>
              <w:rPr>
                <w:sz w:val="20"/>
                <w:szCs w:val="20"/>
                <w:color w:val="auto"/>
              </w:rPr>
            </w:pPr>
            <w:r>
              <w:rPr>
                <w:rFonts w:ascii="Arial" w:cs="Arial" w:eastAsia="Arial" w:hAnsi="Arial"/>
                <w:sz w:val="14"/>
                <w:szCs w:val="14"/>
                <w:b w:val="1"/>
                <w:bCs w:val="1"/>
                <w:color w:val="FFFFFF"/>
              </w:rPr>
              <w:t>Observable</w:t>
            </w:r>
          </w:p>
        </w:tc>
        <w:tc>
          <w:tcPr>
            <w:tcW w:w="240" w:type="dxa"/>
            <w:vAlign w:val="bottom"/>
            <w:shd w:val="clear" w:color="auto" w:fill="232F84"/>
          </w:tcPr>
          <w:p>
            <w:pPr>
              <w:spacing w:after="0"/>
              <w:rPr>
                <w:sz w:val="13"/>
                <w:szCs w:val="13"/>
                <w:color w:val="auto"/>
              </w:rPr>
            </w:pPr>
          </w:p>
        </w:tc>
        <w:tc>
          <w:tcPr>
            <w:tcW w:w="1560" w:type="dxa"/>
            <w:vAlign w:val="bottom"/>
            <w:shd w:val="clear" w:color="auto" w:fill="232F84"/>
          </w:tcPr>
          <w:p>
            <w:pPr>
              <w:jc w:val="right"/>
              <w:ind w:right="451"/>
              <w:spacing w:after="0" w:line="155" w:lineRule="exact"/>
              <w:rPr>
                <w:sz w:val="20"/>
                <w:szCs w:val="20"/>
                <w:color w:val="auto"/>
              </w:rPr>
            </w:pPr>
            <w:r>
              <w:rPr>
                <w:rFonts w:ascii="Arial" w:cs="Arial" w:eastAsia="Arial" w:hAnsi="Arial"/>
                <w:sz w:val="14"/>
                <w:szCs w:val="14"/>
                <w:b w:val="1"/>
                <w:bCs w:val="1"/>
                <w:color w:val="FFFFFF"/>
              </w:rPr>
              <w:t>Unobservable</w:t>
            </w:r>
          </w:p>
        </w:tc>
        <w:tc>
          <w:tcPr>
            <w:tcW w:w="700" w:type="dxa"/>
            <w:vAlign w:val="bottom"/>
            <w:shd w:val="clear" w:color="auto" w:fill="232F84"/>
          </w:tcPr>
          <w:p>
            <w:pPr>
              <w:spacing w:after="0"/>
              <w:rPr>
                <w:sz w:val="13"/>
                <w:szCs w:val="13"/>
                <w:color w:val="auto"/>
              </w:rPr>
            </w:pPr>
          </w:p>
        </w:tc>
        <w:tc>
          <w:tcPr>
            <w:tcW w:w="180" w:type="dxa"/>
            <w:vAlign w:val="bottom"/>
            <w:shd w:val="clear" w:color="auto" w:fill="232F84"/>
          </w:tcPr>
          <w:p>
            <w:pPr>
              <w:spacing w:after="0"/>
              <w:rPr>
                <w:sz w:val="13"/>
                <w:szCs w:val="13"/>
                <w:color w:val="auto"/>
              </w:rPr>
            </w:pPr>
          </w:p>
        </w:tc>
        <w:tc>
          <w:tcPr>
            <w:tcW w:w="1280" w:type="dxa"/>
            <w:vAlign w:val="bottom"/>
            <w:shd w:val="clear" w:color="auto" w:fill="232F84"/>
          </w:tcPr>
          <w:p>
            <w:pPr>
              <w:jc w:val="right"/>
              <w:ind w:right="271"/>
              <w:spacing w:after="0" w:line="155" w:lineRule="exact"/>
              <w:rPr>
                <w:sz w:val="20"/>
                <w:szCs w:val="20"/>
                <w:color w:val="auto"/>
              </w:rPr>
            </w:pPr>
            <w:r>
              <w:rPr>
                <w:rFonts w:ascii="Arial" w:cs="Arial" w:eastAsia="Arial" w:hAnsi="Arial"/>
                <w:sz w:val="14"/>
                <w:szCs w:val="14"/>
                <w:b w:val="1"/>
                <w:bCs w:val="1"/>
                <w:color w:val="FFFFFF"/>
              </w:rPr>
              <w:t>in Active</w:t>
            </w:r>
          </w:p>
        </w:tc>
        <w:tc>
          <w:tcPr>
            <w:tcW w:w="960" w:type="dxa"/>
            <w:vAlign w:val="bottom"/>
            <w:shd w:val="clear" w:color="auto" w:fill="232F84"/>
          </w:tcPr>
          <w:p>
            <w:pPr>
              <w:jc w:val="right"/>
              <w:spacing w:after="0" w:line="155" w:lineRule="exact"/>
              <w:rPr>
                <w:sz w:val="20"/>
                <w:szCs w:val="20"/>
                <w:color w:val="auto"/>
              </w:rPr>
            </w:pPr>
            <w:r>
              <w:rPr>
                <w:rFonts w:ascii="Arial" w:cs="Arial" w:eastAsia="Arial" w:hAnsi="Arial"/>
                <w:sz w:val="14"/>
                <w:szCs w:val="14"/>
                <w:b w:val="1"/>
                <w:bCs w:val="1"/>
                <w:color w:val="FFFFFF"/>
              </w:rPr>
              <w:t>Observable</w:t>
            </w:r>
          </w:p>
        </w:tc>
        <w:tc>
          <w:tcPr>
            <w:tcW w:w="260" w:type="dxa"/>
            <w:vAlign w:val="bottom"/>
            <w:shd w:val="clear" w:color="auto" w:fill="232F84"/>
          </w:tcPr>
          <w:p>
            <w:pPr>
              <w:spacing w:after="0"/>
              <w:rPr>
                <w:sz w:val="13"/>
                <w:szCs w:val="13"/>
                <w:color w:val="auto"/>
              </w:rPr>
            </w:pPr>
          </w:p>
        </w:tc>
        <w:tc>
          <w:tcPr>
            <w:tcW w:w="1040" w:type="dxa"/>
            <w:vAlign w:val="bottom"/>
            <w:shd w:val="clear" w:color="auto" w:fill="232F84"/>
          </w:tcPr>
          <w:p>
            <w:pPr>
              <w:jc w:val="right"/>
              <w:spacing w:after="0" w:line="155" w:lineRule="exact"/>
              <w:rPr>
                <w:sz w:val="20"/>
                <w:szCs w:val="20"/>
                <w:color w:val="auto"/>
              </w:rPr>
            </w:pPr>
            <w:r>
              <w:rPr>
                <w:rFonts w:ascii="Arial" w:cs="Arial" w:eastAsia="Arial" w:hAnsi="Arial"/>
                <w:sz w:val="14"/>
                <w:szCs w:val="14"/>
                <w:b w:val="1"/>
                <w:bCs w:val="1"/>
                <w:color w:val="FFFFFF"/>
              </w:rPr>
              <w:t>Unobservable</w:t>
            </w:r>
          </w:p>
        </w:tc>
      </w:tr>
      <w:tr>
        <w:trPr>
          <w:trHeight w:val="155"/>
        </w:trPr>
        <w:tc>
          <w:tcPr>
            <w:tcW w:w="1520" w:type="dxa"/>
            <w:vAlign w:val="bottom"/>
            <w:shd w:val="clear" w:color="auto" w:fill="232F84"/>
          </w:tcPr>
          <w:p>
            <w:pPr>
              <w:spacing w:after="0"/>
              <w:rPr>
                <w:sz w:val="13"/>
                <w:szCs w:val="13"/>
                <w:color w:val="auto"/>
              </w:rPr>
            </w:pPr>
          </w:p>
        </w:tc>
        <w:tc>
          <w:tcPr>
            <w:tcW w:w="400" w:type="dxa"/>
            <w:vAlign w:val="bottom"/>
            <w:shd w:val="clear" w:color="auto" w:fill="232F84"/>
          </w:tcPr>
          <w:p>
            <w:pPr>
              <w:spacing w:after="0"/>
              <w:rPr>
                <w:sz w:val="13"/>
                <w:szCs w:val="13"/>
                <w:color w:val="auto"/>
              </w:rPr>
            </w:pPr>
          </w:p>
        </w:tc>
        <w:tc>
          <w:tcPr>
            <w:tcW w:w="700" w:type="dxa"/>
            <w:vAlign w:val="bottom"/>
            <w:shd w:val="clear" w:color="auto" w:fill="232F84"/>
          </w:tcPr>
          <w:p>
            <w:pPr>
              <w:spacing w:after="0"/>
              <w:rPr>
                <w:sz w:val="13"/>
                <w:szCs w:val="13"/>
                <w:color w:val="auto"/>
              </w:rPr>
            </w:pPr>
          </w:p>
        </w:tc>
        <w:tc>
          <w:tcPr>
            <w:tcW w:w="160" w:type="dxa"/>
            <w:vAlign w:val="bottom"/>
            <w:shd w:val="clear" w:color="auto" w:fill="232F84"/>
          </w:tcPr>
          <w:p>
            <w:pPr>
              <w:spacing w:after="0"/>
              <w:rPr>
                <w:sz w:val="13"/>
                <w:szCs w:val="13"/>
                <w:color w:val="auto"/>
              </w:rPr>
            </w:pPr>
          </w:p>
        </w:tc>
        <w:tc>
          <w:tcPr>
            <w:tcW w:w="1280" w:type="dxa"/>
            <w:vAlign w:val="bottom"/>
            <w:shd w:val="clear" w:color="auto" w:fill="232F84"/>
          </w:tcPr>
          <w:p>
            <w:pPr>
              <w:jc w:val="right"/>
              <w:ind w:right="251"/>
              <w:spacing w:after="0" w:line="155" w:lineRule="exact"/>
              <w:rPr>
                <w:sz w:val="20"/>
                <w:szCs w:val="20"/>
                <w:color w:val="auto"/>
              </w:rPr>
            </w:pPr>
            <w:r>
              <w:rPr>
                <w:rFonts w:ascii="Arial" w:cs="Arial" w:eastAsia="Arial" w:hAnsi="Arial"/>
                <w:sz w:val="14"/>
                <w:szCs w:val="14"/>
                <w:b w:val="1"/>
                <w:bCs w:val="1"/>
                <w:color w:val="FFFFFF"/>
              </w:rPr>
              <w:t>Markets</w:t>
            </w:r>
          </w:p>
        </w:tc>
        <w:tc>
          <w:tcPr>
            <w:tcW w:w="960" w:type="dxa"/>
            <w:vAlign w:val="bottom"/>
            <w:shd w:val="clear" w:color="auto" w:fill="232F84"/>
          </w:tcPr>
          <w:p>
            <w:pPr>
              <w:jc w:val="right"/>
              <w:ind w:right="11"/>
              <w:spacing w:after="0" w:line="155" w:lineRule="exact"/>
              <w:rPr>
                <w:sz w:val="20"/>
                <w:szCs w:val="20"/>
                <w:color w:val="auto"/>
              </w:rPr>
            </w:pPr>
            <w:r>
              <w:rPr>
                <w:rFonts w:ascii="Arial" w:cs="Arial" w:eastAsia="Arial" w:hAnsi="Arial"/>
                <w:sz w:val="14"/>
                <w:szCs w:val="14"/>
                <w:b w:val="1"/>
                <w:bCs w:val="1"/>
                <w:color w:val="FFFFFF"/>
              </w:rPr>
              <w:t>Inputs</w:t>
            </w:r>
          </w:p>
        </w:tc>
        <w:tc>
          <w:tcPr>
            <w:tcW w:w="240" w:type="dxa"/>
            <w:vAlign w:val="bottom"/>
            <w:shd w:val="clear" w:color="auto" w:fill="232F84"/>
          </w:tcPr>
          <w:p>
            <w:pPr>
              <w:spacing w:after="0"/>
              <w:rPr>
                <w:sz w:val="13"/>
                <w:szCs w:val="13"/>
                <w:color w:val="auto"/>
              </w:rPr>
            </w:pPr>
          </w:p>
        </w:tc>
        <w:tc>
          <w:tcPr>
            <w:tcW w:w="1560" w:type="dxa"/>
            <w:vAlign w:val="bottom"/>
            <w:shd w:val="clear" w:color="auto" w:fill="232F84"/>
          </w:tcPr>
          <w:p>
            <w:pPr>
              <w:jc w:val="right"/>
              <w:ind w:right="451"/>
              <w:spacing w:after="0" w:line="155" w:lineRule="exact"/>
              <w:rPr>
                <w:sz w:val="20"/>
                <w:szCs w:val="20"/>
                <w:color w:val="auto"/>
              </w:rPr>
            </w:pPr>
            <w:r>
              <w:rPr>
                <w:rFonts w:ascii="Arial" w:cs="Arial" w:eastAsia="Arial" w:hAnsi="Arial"/>
                <w:sz w:val="14"/>
                <w:szCs w:val="14"/>
                <w:b w:val="1"/>
                <w:bCs w:val="1"/>
                <w:color w:val="FFFFFF"/>
              </w:rPr>
              <w:t>Inputs</w:t>
            </w:r>
          </w:p>
        </w:tc>
        <w:tc>
          <w:tcPr>
            <w:tcW w:w="700" w:type="dxa"/>
            <w:vAlign w:val="bottom"/>
            <w:shd w:val="clear" w:color="auto" w:fill="232F84"/>
          </w:tcPr>
          <w:p>
            <w:pPr>
              <w:spacing w:after="0"/>
              <w:rPr>
                <w:sz w:val="13"/>
                <w:szCs w:val="13"/>
                <w:color w:val="auto"/>
              </w:rPr>
            </w:pPr>
          </w:p>
        </w:tc>
        <w:tc>
          <w:tcPr>
            <w:tcW w:w="180" w:type="dxa"/>
            <w:vAlign w:val="bottom"/>
            <w:shd w:val="clear" w:color="auto" w:fill="232F84"/>
          </w:tcPr>
          <w:p>
            <w:pPr>
              <w:spacing w:after="0"/>
              <w:rPr>
                <w:sz w:val="13"/>
                <w:szCs w:val="13"/>
                <w:color w:val="auto"/>
              </w:rPr>
            </w:pPr>
          </w:p>
        </w:tc>
        <w:tc>
          <w:tcPr>
            <w:tcW w:w="1280" w:type="dxa"/>
            <w:vAlign w:val="bottom"/>
            <w:shd w:val="clear" w:color="auto" w:fill="232F84"/>
          </w:tcPr>
          <w:p>
            <w:pPr>
              <w:jc w:val="right"/>
              <w:ind w:right="291"/>
              <w:spacing w:after="0" w:line="155" w:lineRule="exact"/>
              <w:rPr>
                <w:sz w:val="20"/>
                <w:szCs w:val="20"/>
                <w:color w:val="auto"/>
              </w:rPr>
            </w:pPr>
            <w:r>
              <w:rPr>
                <w:rFonts w:ascii="Arial" w:cs="Arial" w:eastAsia="Arial" w:hAnsi="Arial"/>
                <w:sz w:val="14"/>
                <w:szCs w:val="14"/>
                <w:b w:val="1"/>
                <w:bCs w:val="1"/>
                <w:color w:val="FFFFFF"/>
              </w:rPr>
              <w:t>Markets</w:t>
            </w:r>
          </w:p>
        </w:tc>
        <w:tc>
          <w:tcPr>
            <w:tcW w:w="960" w:type="dxa"/>
            <w:vAlign w:val="bottom"/>
            <w:shd w:val="clear" w:color="auto" w:fill="232F84"/>
          </w:tcPr>
          <w:p>
            <w:pPr>
              <w:jc w:val="right"/>
              <w:spacing w:after="0" w:line="155" w:lineRule="exact"/>
              <w:rPr>
                <w:sz w:val="20"/>
                <w:szCs w:val="20"/>
                <w:color w:val="auto"/>
              </w:rPr>
            </w:pPr>
            <w:r>
              <w:rPr>
                <w:rFonts w:ascii="Arial" w:cs="Arial" w:eastAsia="Arial" w:hAnsi="Arial"/>
                <w:sz w:val="14"/>
                <w:szCs w:val="14"/>
                <w:b w:val="1"/>
                <w:bCs w:val="1"/>
                <w:color w:val="FFFFFF"/>
              </w:rPr>
              <w:t>Inputs</w:t>
            </w:r>
          </w:p>
        </w:tc>
        <w:tc>
          <w:tcPr>
            <w:tcW w:w="260" w:type="dxa"/>
            <w:vAlign w:val="bottom"/>
            <w:shd w:val="clear" w:color="auto" w:fill="232F84"/>
          </w:tcPr>
          <w:p>
            <w:pPr>
              <w:spacing w:after="0"/>
              <w:rPr>
                <w:sz w:val="13"/>
                <w:szCs w:val="13"/>
                <w:color w:val="auto"/>
              </w:rPr>
            </w:pPr>
          </w:p>
        </w:tc>
        <w:tc>
          <w:tcPr>
            <w:tcW w:w="1040" w:type="dxa"/>
            <w:vAlign w:val="bottom"/>
            <w:shd w:val="clear" w:color="auto" w:fill="232F84"/>
          </w:tcPr>
          <w:p>
            <w:pPr>
              <w:jc w:val="right"/>
              <w:spacing w:after="0" w:line="155" w:lineRule="exact"/>
              <w:rPr>
                <w:sz w:val="20"/>
                <w:szCs w:val="20"/>
                <w:color w:val="auto"/>
              </w:rPr>
            </w:pPr>
            <w:r>
              <w:rPr>
                <w:rFonts w:ascii="Arial" w:cs="Arial" w:eastAsia="Arial" w:hAnsi="Arial"/>
                <w:sz w:val="14"/>
                <w:szCs w:val="14"/>
                <w:b w:val="1"/>
                <w:bCs w:val="1"/>
                <w:color w:val="FFFFFF"/>
              </w:rPr>
              <w:t>Inputs</w:t>
            </w:r>
          </w:p>
        </w:tc>
      </w:tr>
      <w:tr>
        <w:trPr>
          <w:trHeight w:val="192"/>
        </w:trPr>
        <w:tc>
          <w:tcPr>
            <w:tcW w:w="15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00" w:type="dxa"/>
            <w:vAlign w:val="bottom"/>
            <w:shd w:val="clear" w:color="auto" w:fill="232F84"/>
          </w:tcPr>
          <w:p>
            <w:pPr>
              <w:spacing w:after="0"/>
              <w:rPr>
                <w:sz w:val="16"/>
                <w:szCs w:val="16"/>
                <w:color w:val="auto"/>
              </w:rPr>
            </w:pPr>
          </w:p>
        </w:tc>
        <w:tc>
          <w:tcPr>
            <w:tcW w:w="700" w:type="dxa"/>
            <w:vAlign w:val="bottom"/>
            <w:shd w:val="clear" w:color="auto" w:fill="232F84"/>
          </w:tcPr>
          <w:p>
            <w:pPr>
              <w:jc w:val="center"/>
              <w:ind w:left="191"/>
              <w:spacing w:after="0"/>
              <w:rPr>
                <w:sz w:val="20"/>
                <w:szCs w:val="20"/>
                <w:color w:val="auto"/>
              </w:rPr>
            </w:pPr>
            <w:r>
              <w:rPr>
                <w:rFonts w:ascii="Arial" w:cs="Arial" w:eastAsia="Arial" w:hAnsi="Arial"/>
                <w:sz w:val="14"/>
                <w:szCs w:val="14"/>
                <w:b w:val="1"/>
                <w:bCs w:val="1"/>
                <w:color w:val="FFFFFF"/>
                <w:w w:val="95"/>
              </w:rPr>
              <w:t>Total</w:t>
            </w:r>
          </w:p>
        </w:tc>
        <w:tc>
          <w:tcPr>
            <w:tcW w:w="160" w:type="dxa"/>
            <w:vAlign w:val="bottom"/>
            <w:shd w:val="clear" w:color="auto" w:fill="232F84"/>
          </w:tcPr>
          <w:p>
            <w:pPr>
              <w:spacing w:after="0"/>
              <w:rPr>
                <w:sz w:val="16"/>
                <w:szCs w:val="16"/>
                <w:color w:val="auto"/>
              </w:rPr>
            </w:pPr>
          </w:p>
        </w:tc>
        <w:tc>
          <w:tcPr>
            <w:tcW w:w="1280" w:type="dxa"/>
            <w:vAlign w:val="bottom"/>
            <w:shd w:val="clear" w:color="auto" w:fill="232F84"/>
          </w:tcPr>
          <w:p>
            <w:pPr>
              <w:jc w:val="right"/>
              <w:ind w:right="251"/>
              <w:spacing w:after="0"/>
              <w:rPr>
                <w:sz w:val="20"/>
                <w:szCs w:val="20"/>
                <w:color w:val="auto"/>
              </w:rPr>
            </w:pPr>
            <w:r>
              <w:rPr>
                <w:rFonts w:ascii="Arial" w:cs="Arial" w:eastAsia="Arial" w:hAnsi="Arial"/>
                <w:sz w:val="14"/>
                <w:szCs w:val="14"/>
                <w:b w:val="1"/>
                <w:bCs w:val="1"/>
                <w:color w:val="FFFFFF"/>
              </w:rPr>
              <w:t>(Level 1)</w:t>
            </w:r>
          </w:p>
        </w:tc>
        <w:tc>
          <w:tcPr>
            <w:tcW w:w="960" w:type="dxa"/>
            <w:vAlign w:val="bottom"/>
            <w:shd w:val="clear" w:color="auto" w:fill="232F84"/>
          </w:tcPr>
          <w:p>
            <w:pPr>
              <w:jc w:val="right"/>
              <w:ind w:right="11"/>
              <w:spacing w:after="0"/>
              <w:rPr>
                <w:sz w:val="20"/>
                <w:szCs w:val="20"/>
                <w:color w:val="auto"/>
              </w:rPr>
            </w:pPr>
            <w:r>
              <w:rPr>
                <w:rFonts w:ascii="Arial" w:cs="Arial" w:eastAsia="Arial" w:hAnsi="Arial"/>
                <w:sz w:val="14"/>
                <w:szCs w:val="14"/>
                <w:b w:val="1"/>
                <w:bCs w:val="1"/>
                <w:color w:val="FFFFFF"/>
              </w:rPr>
              <w:t>(Level 2)</w:t>
            </w:r>
          </w:p>
        </w:tc>
        <w:tc>
          <w:tcPr>
            <w:tcW w:w="240" w:type="dxa"/>
            <w:vAlign w:val="bottom"/>
            <w:shd w:val="clear" w:color="auto" w:fill="232F84"/>
          </w:tcPr>
          <w:p>
            <w:pPr>
              <w:spacing w:after="0"/>
              <w:rPr>
                <w:sz w:val="16"/>
                <w:szCs w:val="16"/>
                <w:color w:val="auto"/>
              </w:rPr>
            </w:pPr>
          </w:p>
        </w:tc>
        <w:tc>
          <w:tcPr>
            <w:tcW w:w="1560" w:type="dxa"/>
            <w:vAlign w:val="bottom"/>
            <w:shd w:val="clear" w:color="auto" w:fill="232F84"/>
          </w:tcPr>
          <w:p>
            <w:pPr>
              <w:jc w:val="right"/>
              <w:ind w:right="451"/>
              <w:spacing w:after="0"/>
              <w:rPr>
                <w:sz w:val="20"/>
                <w:szCs w:val="20"/>
                <w:color w:val="auto"/>
              </w:rPr>
            </w:pPr>
            <w:r>
              <w:rPr>
                <w:rFonts w:ascii="Arial" w:cs="Arial" w:eastAsia="Arial" w:hAnsi="Arial"/>
                <w:sz w:val="14"/>
                <w:szCs w:val="14"/>
                <w:b w:val="1"/>
                <w:bCs w:val="1"/>
                <w:color w:val="FFFFFF"/>
              </w:rPr>
              <w:t>(Level 3)</w:t>
            </w:r>
          </w:p>
        </w:tc>
        <w:tc>
          <w:tcPr>
            <w:tcW w:w="700" w:type="dxa"/>
            <w:vAlign w:val="bottom"/>
            <w:shd w:val="clear" w:color="auto" w:fill="232F84"/>
          </w:tcPr>
          <w:p>
            <w:pPr>
              <w:jc w:val="center"/>
              <w:ind w:left="191"/>
              <w:spacing w:after="0"/>
              <w:rPr>
                <w:sz w:val="20"/>
                <w:szCs w:val="20"/>
                <w:color w:val="auto"/>
              </w:rPr>
            </w:pPr>
            <w:r>
              <w:rPr>
                <w:rFonts w:ascii="Arial" w:cs="Arial" w:eastAsia="Arial" w:hAnsi="Arial"/>
                <w:sz w:val="14"/>
                <w:szCs w:val="14"/>
                <w:b w:val="1"/>
                <w:bCs w:val="1"/>
                <w:color w:val="FFFFFF"/>
                <w:w w:val="95"/>
              </w:rPr>
              <w:t>Total</w:t>
            </w:r>
          </w:p>
        </w:tc>
        <w:tc>
          <w:tcPr>
            <w:tcW w:w="180" w:type="dxa"/>
            <w:vAlign w:val="bottom"/>
            <w:shd w:val="clear" w:color="auto" w:fill="232F84"/>
          </w:tcPr>
          <w:p>
            <w:pPr>
              <w:spacing w:after="0"/>
              <w:rPr>
                <w:sz w:val="16"/>
                <w:szCs w:val="16"/>
                <w:color w:val="auto"/>
              </w:rPr>
            </w:pPr>
          </w:p>
        </w:tc>
        <w:tc>
          <w:tcPr>
            <w:tcW w:w="1280" w:type="dxa"/>
            <w:vAlign w:val="bottom"/>
            <w:shd w:val="clear" w:color="auto" w:fill="232F84"/>
          </w:tcPr>
          <w:p>
            <w:pPr>
              <w:jc w:val="right"/>
              <w:ind w:right="271"/>
              <w:spacing w:after="0"/>
              <w:rPr>
                <w:sz w:val="20"/>
                <w:szCs w:val="20"/>
                <w:color w:val="auto"/>
              </w:rPr>
            </w:pPr>
            <w:r>
              <w:rPr>
                <w:rFonts w:ascii="Arial" w:cs="Arial" w:eastAsia="Arial" w:hAnsi="Arial"/>
                <w:sz w:val="14"/>
                <w:szCs w:val="14"/>
                <w:b w:val="1"/>
                <w:bCs w:val="1"/>
                <w:color w:val="FFFFFF"/>
              </w:rPr>
              <w:t>(Level 1)</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2)</w:t>
            </w:r>
          </w:p>
        </w:tc>
        <w:tc>
          <w:tcPr>
            <w:tcW w:w="260" w:type="dxa"/>
            <w:vAlign w:val="bottom"/>
            <w:shd w:val="clear" w:color="auto" w:fill="232F84"/>
          </w:tcPr>
          <w:p>
            <w:pPr>
              <w:spacing w:after="0"/>
              <w:rPr>
                <w:sz w:val="16"/>
                <w:szCs w:val="16"/>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3)</w:t>
            </w:r>
          </w:p>
        </w:tc>
      </w:tr>
      <w:tr>
        <w:trPr>
          <w:trHeight w:val="185"/>
        </w:trPr>
        <w:tc>
          <w:tcPr>
            <w:tcW w:w="152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rate swap</w:t>
            </w:r>
          </w:p>
        </w:tc>
        <w:tc>
          <w:tcPr>
            <w:tcW w:w="40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60" w:type="dxa"/>
            <w:vAlign w:val="bottom"/>
            <w:shd w:val="clear" w:color="auto" w:fill="43C0B9"/>
          </w:tcPr>
          <w:p>
            <w:pPr>
              <w:spacing w:after="0"/>
              <w:rPr>
                <w:sz w:val="16"/>
                <w:szCs w:val="16"/>
                <w:color w:val="auto"/>
              </w:rPr>
            </w:pPr>
          </w:p>
        </w:tc>
        <w:tc>
          <w:tcPr>
            <w:tcW w:w="1280" w:type="dxa"/>
            <w:vAlign w:val="bottom"/>
            <w:shd w:val="clear" w:color="auto" w:fill="43C0B9"/>
          </w:tcPr>
          <w:p>
            <w:pPr>
              <w:spacing w:after="0"/>
              <w:rPr>
                <w:sz w:val="16"/>
                <w:szCs w:val="16"/>
                <w:color w:val="auto"/>
              </w:rPr>
            </w:pPr>
          </w:p>
        </w:tc>
        <w:tc>
          <w:tcPr>
            <w:tcW w:w="960" w:type="dxa"/>
            <w:vAlign w:val="bottom"/>
            <w:shd w:val="clear" w:color="auto" w:fill="43C0B9"/>
          </w:tcPr>
          <w:p>
            <w:pPr>
              <w:spacing w:after="0"/>
              <w:rPr>
                <w:sz w:val="16"/>
                <w:szCs w:val="16"/>
                <w:color w:val="auto"/>
              </w:rPr>
            </w:pPr>
          </w:p>
        </w:tc>
        <w:tc>
          <w:tcPr>
            <w:tcW w:w="240" w:type="dxa"/>
            <w:vAlign w:val="bottom"/>
            <w:shd w:val="clear" w:color="auto" w:fill="43C0B9"/>
          </w:tcPr>
          <w:p>
            <w:pPr>
              <w:spacing w:after="0"/>
              <w:rPr>
                <w:sz w:val="16"/>
                <w:szCs w:val="16"/>
                <w:color w:val="auto"/>
              </w:rPr>
            </w:pPr>
          </w:p>
        </w:tc>
        <w:tc>
          <w:tcPr>
            <w:tcW w:w="156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80" w:type="dxa"/>
            <w:vAlign w:val="bottom"/>
            <w:shd w:val="clear" w:color="auto" w:fill="43C0B9"/>
          </w:tcPr>
          <w:p>
            <w:pPr>
              <w:spacing w:after="0"/>
              <w:rPr>
                <w:sz w:val="16"/>
                <w:szCs w:val="16"/>
                <w:color w:val="auto"/>
              </w:rPr>
            </w:pPr>
          </w:p>
        </w:tc>
        <w:tc>
          <w:tcPr>
            <w:tcW w:w="1280" w:type="dxa"/>
            <w:vAlign w:val="bottom"/>
            <w:shd w:val="clear" w:color="auto" w:fill="43C0B9"/>
          </w:tcPr>
          <w:p>
            <w:pPr>
              <w:spacing w:after="0"/>
              <w:rPr>
                <w:sz w:val="16"/>
                <w:szCs w:val="16"/>
                <w:color w:val="auto"/>
              </w:rPr>
            </w:pPr>
          </w:p>
        </w:tc>
        <w:tc>
          <w:tcPr>
            <w:tcW w:w="960" w:type="dxa"/>
            <w:vAlign w:val="bottom"/>
            <w:shd w:val="clear" w:color="auto" w:fill="43C0B9"/>
          </w:tcPr>
          <w:p>
            <w:pPr>
              <w:spacing w:after="0"/>
              <w:rPr>
                <w:sz w:val="16"/>
                <w:szCs w:val="16"/>
                <w:color w:val="auto"/>
              </w:rPr>
            </w:pPr>
          </w:p>
        </w:tc>
        <w:tc>
          <w:tcPr>
            <w:tcW w:w="260" w:type="dxa"/>
            <w:vAlign w:val="bottom"/>
            <w:shd w:val="clear" w:color="auto" w:fill="43C0B9"/>
          </w:tcPr>
          <w:p>
            <w:pPr>
              <w:spacing w:after="0"/>
              <w:rPr>
                <w:sz w:val="16"/>
                <w:szCs w:val="16"/>
                <w:color w:val="auto"/>
              </w:rPr>
            </w:pPr>
          </w:p>
        </w:tc>
        <w:tc>
          <w:tcPr>
            <w:tcW w:w="1040" w:type="dxa"/>
            <w:vAlign w:val="bottom"/>
            <w:shd w:val="clear" w:color="auto" w:fill="43C0B9"/>
          </w:tcPr>
          <w:p>
            <w:pPr>
              <w:spacing w:after="0"/>
              <w:rPr>
                <w:sz w:val="16"/>
                <w:szCs w:val="16"/>
                <w:color w:val="auto"/>
              </w:rPr>
            </w:pPr>
          </w:p>
        </w:tc>
      </w:tr>
      <w:tr>
        <w:trPr>
          <w:trHeight w:val="170"/>
        </w:trPr>
        <w:tc>
          <w:tcPr>
            <w:tcW w:w="15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liability</w:t>
            </w:r>
          </w:p>
        </w:tc>
        <w:tc>
          <w:tcPr>
            <w:tcW w:w="400" w:type="dxa"/>
            <w:vAlign w:val="bottom"/>
            <w:tcBorders>
              <w:bottom w:val="single" w:sz="8" w:color="auto"/>
            </w:tcBorders>
            <w:shd w:val="clear" w:color="auto" w:fill="43C0B9"/>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4.7</w:t>
            </w:r>
          </w:p>
        </w:tc>
        <w:tc>
          <w:tcPr>
            <w:tcW w:w="1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43C0B9"/>
          </w:tcPr>
          <w:p>
            <w:pPr>
              <w:jc w:val="right"/>
              <w:ind w:right="251"/>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6.5</w:t>
            </w:r>
          </w:p>
        </w:tc>
        <w:tc>
          <w:tcPr>
            <w:tcW w:w="1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r>
    </w:tbl>
    <w:p>
      <w:pPr>
        <w:spacing w:after="0" w:line="298" w:lineRule="exact"/>
        <w:rPr>
          <w:sz w:val="20"/>
          <w:szCs w:val="20"/>
          <w:color w:val="auto"/>
        </w:rPr>
      </w:pPr>
    </w:p>
    <w:p>
      <w:pPr>
        <w:ind w:right="80" w:firstLine="619"/>
        <w:spacing w:after="0" w:line="253" w:lineRule="auto"/>
        <w:rPr>
          <w:sz w:val="20"/>
          <w:szCs w:val="20"/>
          <w:color w:val="auto"/>
        </w:rPr>
      </w:pPr>
      <w:r>
        <w:rPr>
          <w:rFonts w:ascii="Arial" w:cs="Arial" w:eastAsia="Arial" w:hAnsi="Arial"/>
          <w:sz w:val="15"/>
          <w:szCs w:val="15"/>
          <w:color w:val="auto"/>
        </w:rPr>
        <w:t>The fair value of interest rate swaps is determined using widely accepted valuation techniques, including discounted cash flow analysis, on the expected cash flows of each derivative.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July 31, 2021 and October 31, 2020,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 the condensed consolidated statements of comprehensive income.</w:t>
      </w: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346" w:lineRule="exact"/>
        <w:rPr>
          <w:sz w:val="20"/>
          <w:szCs w:val="20"/>
          <w:color w:val="auto"/>
        </w:rPr>
      </w:pPr>
    </w:p>
    <w:p>
      <w:pPr>
        <w:spacing w:after="0"/>
        <w:tabs>
          <w:tab w:leader="none" w:pos="360" w:val="left"/>
        </w:tabs>
        <w:rPr>
          <w:sz w:val="20"/>
          <w:szCs w:val="20"/>
          <w:color w:val="auto"/>
        </w:rPr>
      </w:pPr>
      <w:r>
        <w:rPr>
          <w:rFonts w:ascii="Arial" w:cs="Arial" w:eastAsia="Arial" w:hAnsi="Arial"/>
          <w:sz w:val="19"/>
          <w:szCs w:val="19"/>
          <w:b w:val="1"/>
          <w:bCs w:val="1"/>
          <w:color w:val="232F84"/>
        </w:rPr>
        <w:t>8.</w:t>
      </w:r>
      <w:r>
        <w:rPr>
          <w:sz w:val="20"/>
          <w:szCs w:val="20"/>
          <w:color w:val="auto"/>
        </w:rPr>
        <w:tab/>
      </w:r>
      <w:r>
        <w:rPr>
          <w:rFonts w:ascii="Arial" w:cs="Arial" w:eastAsia="Arial" w:hAnsi="Arial"/>
          <w:sz w:val="18"/>
          <w:szCs w:val="18"/>
          <w:b w:val="1"/>
          <w:bCs w:val="1"/>
          <w:color w:val="232F84"/>
        </w:rPr>
        <w:t>Earnings Per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shd w:val="clear" w:color="auto" w:fill="232F84"/>
          </w:tcPr>
          <w:p>
            <w:pPr>
              <w:spacing w:after="0"/>
              <w:rPr>
                <w:sz w:val="14"/>
                <w:szCs w:val="14"/>
                <w:color w:val="auto"/>
              </w:rPr>
            </w:pPr>
          </w:p>
        </w:tc>
        <w:tc>
          <w:tcPr>
            <w:tcW w:w="460" w:type="dxa"/>
            <w:vAlign w:val="bottom"/>
            <w:shd w:val="clear" w:color="auto" w:fill="232F84"/>
          </w:tcPr>
          <w:p>
            <w:pPr>
              <w:spacing w:after="0"/>
              <w:rPr>
                <w:sz w:val="14"/>
                <w:szCs w:val="14"/>
                <w:color w:val="auto"/>
              </w:rPr>
            </w:pPr>
          </w:p>
        </w:tc>
        <w:tc>
          <w:tcPr>
            <w:tcW w:w="1900" w:type="dxa"/>
            <w:vAlign w:val="bottom"/>
            <w:gridSpan w:val="2"/>
            <w:shd w:val="clear" w:color="auto" w:fill="232F84"/>
          </w:tcPr>
          <w:p>
            <w:pPr>
              <w:jc w:val="right"/>
              <w:ind w:right="11"/>
              <w:spacing w:after="0"/>
              <w:rPr>
                <w:sz w:val="20"/>
                <w:szCs w:val="20"/>
                <w:color w:val="auto"/>
              </w:rPr>
            </w:pPr>
            <w:r>
              <w:rPr>
                <w:rFonts w:ascii="Arial" w:cs="Arial" w:eastAsia="Arial" w:hAnsi="Arial"/>
                <w:sz w:val="14"/>
                <w:szCs w:val="14"/>
                <w:b w:val="1"/>
                <w:bCs w:val="1"/>
                <w:color w:val="FFFFFF"/>
              </w:rPr>
              <w:t>Three Months Ended</w:t>
            </w:r>
          </w:p>
        </w:tc>
        <w:tc>
          <w:tcPr>
            <w:tcW w:w="940" w:type="dxa"/>
            <w:vAlign w:val="bottom"/>
            <w:shd w:val="clear" w:color="auto" w:fill="232F84"/>
          </w:tcPr>
          <w:p>
            <w:pPr>
              <w:spacing w:after="0"/>
              <w:rPr>
                <w:sz w:val="14"/>
                <w:szCs w:val="14"/>
                <w:color w:val="auto"/>
              </w:rPr>
            </w:pPr>
          </w:p>
        </w:tc>
        <w:tc>
          <w:tcPr>
            <w:tcW w:w="440" w:type="dxa"/>
            <w:vAlign w:val="bottom"/>
            <w:shd w:val="clear" w:color="auto" w:fill="232F84"/>
          </w:tcPr>
          <w:p>
            <w:pPr>
              <w:spacing w:after="0"/>
              <w:rPr>
                <w:sz w:val="14"/>
                <w:szCs w:val="14"/>
                <w:color w:val="auto"/>
              </w:rPr>
            </w:pPr>
          </w:p>
        </w:tc>
        <w:tc>
          <w:tcPr>
            <w:tcW w:w="1900" w:type="dxa"/>
            <w:vAlign w:val="bottom"/>
            <w:gridSpan w:val="2"/>
            <w:shd w:val="clear" w:color="auto" w:fill="232F84"/>
          </w:tcPr>
          <w:p>
            <w:pPr>
              <w:jc w:val="right"/>
              <w:ind w:right="31"/>
              <w:spacing w:after="0"/>
              <w:rPr>
                <w:sz w:val="20"/>
                <w:szCs w:val="20"/>
                <w:color w:val="auto"/>
              </w:rPr>
            </w:pPr>
            <w:r>
              <w:rPr>
                <w:rFonts w:ascii="Arial" w:cs="Arial" w:eastAsia="Arial" w:hAnsi="Arial"/>
                <w:sz w:val="14"/>
                <w:szCs w:val="14"/>
                <w:b w:val="1"/>
                <w:bCs w:val="1"/>
                <w:color w:val="FFFFFF"/>
              </w:rPr>
              <w:t>Nine Months Ended</w:t>
            </w:r>
          </w:p>
        </w:tc>
        <w:tc>
          <w:tcPr>
            <w:tcW w:w="860" w:type="dxa"/>
            <w:vAlign w:val="bottom"/>
            <w:shd w:val="clear" w:color="auto" w:fill="232F84"/>
          </w:tcPr>
          <w:p>
            <w:pPr>
              <w:spacing w:after="0"/>
              <w:rPr>
                <w:sz w:val="14"/>
                <w:szCs w:val="14"/>
                <w:color w:val="auto"/>
              </w:rPr>
            </w:pPr>
          </w:p>
        </w:tc>
      </w:tr>
      <w:tr>
        <w:trPr>
          <w:trHeight w:val="195"/>
        </w:trPr>
        <w:tc>
          <w:tcPr>
            <w:tcW w:w="4740" w:type="dxa"/>
            <w:vAlign w:val="bottom"/>
            <w:shd w:val="clear" w:color="auto" w:fill="232F84"/>
          </w:tcPr>
          <w:p>
            <w:pPr>
              <w:spacing w:after="0"/>
              <w:rPr>
                <w:sz w:val="17"/>
                <w:szCs w:val="17"/>
                <w:color w:val="auto"/>
              </w:rPr>
            </w:pPr>
          </w:p>
        </w:tc>
        <w:tc>
          <w:tcPr>
            <w:tcW w:w="460" w:type="dxa"/>
            <w:vAlign w:val="bottom"/>
            <w:shd w:val="clear" w:color="auto" w:fill="232F84"/>
          </w:tcPr>
          <w:p>
            <w:pPr>
              <w:spacing w:after="0"/>
              <w:rPr>
                <w:sz w:val="17"/>
                <w:szCs w:val="17"/>
                <w:color w:val="auto"/>
              </w:rPr>
            </w:pPr>
          </w:p>
        </w:tc>
        <w:tc>
          <w:tcPr>
            <w:tcW w:w="1900" w:type="dxa"/>
            <w:vAlign w:val="bottom"/>
            <w:gridSpan w:val="2"/>
            <w:shd w:val="clear" w:color="auto" w:fill="232F84"/>
          </w:tcPr>
          <w:p>
            <w:pPr>
              <w:jc w:val="right"/>
              <w:ind w:right="431"/>
              <w:spacing w:after="0"/>
              <w:rPr>
                <w:sz w:val="20"/>
                <w:szCs w:val="20"/>
                <w:color w:val="auto"/>
              </w:rPr>
            </w:pPr>
            <w:r>
              <w:rPr>
                <w:rFonts w:ascii="Arial" w:cs="Arial" w:eastAsia="Arial" w:hAnsi="Arial"/>
                <w:sz w:val="14"/>
                <w:szCs w:val="14"/>
                <w:b w:val="1"/>
                <w:bCs w:val="1"/>
                <w:color w:val="FFFFFF"/>
              </w:rPr>
              <w:t>July 31,</w:t>
            </w:r>
          </w:p>
        </w:tc>
        <w:tc>
          <w:tcPr>
            <w:tcW w:w="940" w:type="dxa"/>
            <w:vAlign w:val="bottom"/>
            <w:shd w:val="clear" w:color="auto" w:fill="232F84"/>
          </w:tcPr>
          <w:p>
            <w:pPr>
              <w:spacing w:after="0"/>
              <w:rPr>
                <w:sz w:val="17"/>
                <w:szCs w:val="17"/>
                <w:color w:val="auto"/>
              </w:rPr>
            </w:pPr>
          </w:p>
        </w:tc>
        <w:tc>
          <w:tcPr>
            <w:tcW w:w="440" w:type="dxa"/>
            <w:vAlign w:val="bottom"/>
            <w:shd w:val="clear" w:color="auto" w:fill="232F84"/>
          </w:tcPr>
          <w:p>
            <w:pPr>
              <w:spacing w:after="0"/>
              <w:rPr>
                <w:sz w:val="17"/>
                <w:szCs w:val="17"/>
                <w:color w:val="auto"/>
              </w:rPr>
            </w:pPr>
          </w:p>
        </w:tc>
        <w:tc>
          <w:tcPr>
            <w:tcW w:w="1900" w:type="dxa"/>
            <w:vAlign w:val="bottom"/>
            <w:gridSpan w:val="2"/>
            <w:shd w:val="clear" w:color="auto" w:fill="232F84"/>
          </w:tcPr>
          <w:p>
            <w:pPr>
              <w:jc w:val="right"/>
              <w:ind w:right="411"/>
              <w:spacing w:after="0"/>
              <w:rPr>
                <w:sz w:val="20"/>
                <w:szCs w:val="20"/>
                <w:color w:val="auto"/>
              </w:rPr>
            </w:pPr>
            <w:r>
              <w:rPr>
                <w:rFonts w:ascii="Arial" w:cs="Arial" w:eastAsia="Arial" w:hAnsi="Arial"/>
                <w:sz w:val="14"/>
                <w:szCs w:val="14"/>
                <w:b w:val="1"/>
                <w:bCs w:val="1"/>
                <w:color w:val="FFFFFF"/>
              </w:rPr>
              <w:t>July 31,</w:t>
            </w:r>
          </w:p>
        </w:tc>
        <w:tc>
          <w:tcPr>
            <w:tcW w:w="860" w:type="dxa"/>
            <w:vAlign w:val="bottom"/>
            <w:shd w:val="clear" w:color="auto" w:fill="232F84"/>
          </w:tcPr>
          <w:p>
            <w:pPr>
              <w:spacing w:after="0"/>
              <w:rPr>
                <w:sz w:val="17"/>
                <w:szCs w:val="17"/>
                <w:color w:val="auto"/>
              </w:rPr>
            </w:pPr>
          </w:p>
        </w:tc>
      </w:tr>
      <w:tr>
        <w:trPr>
          <w:trHeight w:val="216"/>
        </w:trPr>
        <w:tc>
          <w:tcPr>
            <w:tcW w:w="4740" w:type="dxa"/>
            <w:vAlign w:val="bottom"/>
            <w:shd w:val="clear" w:color="auto" w:fill="232F84"/>
          </w:tcPr>
          <w:p>
            <w:pPr>
              <w:spacing w:after="0"/>
              <w:rPr>
                <w:sz w:val="18"/>
                <w:szCs w:val="18"/>
                <w:color w:val="auto"/>
              </w:rPr>
            </w:pPr>
          </w:p>
        </w:tc>
        <w:tc>
          <w:tcPr>
            <w:tcW w:w="460" w:type="dxa"/>
            <w:vAlign w:val="bottom"/>
            <w:shd w:val="clear" w:color="auto" w:fill="232F84"/>
          </w:tcPr>
          <w:p>
            <w:pPr>
              <w:spacing w:after="0"/>
              <w:rPr>
                <w:sz w:val="18"/>
                <w:szCs w:val="18"/>
                <w:color w:val="auto"/>
              </w:rPr>
            </w:pPr>
          </w:p>
        </w:tc>
        <w:tc>
          <w:tcPr>
            <w:tcW w:w="112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780" w:type="dxa"/>
            <w:vAlign w:val="bottom"/>
            <w:shd w:val="clear" w:color="auto" w:fill="232F84"/>
          </w:tcPr>
          <w:p>
            <w:pPr>
              <w:spacing w:after="0"/>
              <w:rPr>
                <w:sz w:val="18"/>
                <w:szCs w:val="18"/>
                <w:color w:val="auto"/>
              </w:rPr>
            </w:pPr>
          </w:p>
        </w:tc>
        <w:tc>
          <w:tcPr>
            <w:tcW w:w="940" w:type="dxa"/>
            <w:vAlign w:val="bottom"/>
            <w:shd w:val="clear" w:color="auto" w:fill="232F84"/>
          </w:tcPr>
          <w:p>
            <w:pPr>
              <w:jc w:val="right"/>
              <w:ind w:right="151"/>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232F84"/>
          </w:tcPr>
          <w:p>
            <w:pPr>
              <w:spacing w:after="0"/>
              <w:rPr>
                <w:sz w:val="18"/>
                <w:szCs w:val="18"/>
                <w:color w:val="auto"/>
              </w:rPr>
            </w:pPr>
          </w:p>
        </w:tc>
        <w:tc>
          <w:tcPr>
            <w:tcW w:w="114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760" w:type="dxa"/>
            <w:vAlign w:val="bottom"/>
            <w:shd w:val="clear" w:color="auto" w:fill="232F84"/>
          </w:tcPr>
          <w:p>
            <w:pPr>
              <w:spacing w:after="0"/>
              <w:rPr>
                <w:sz w:val="18"/>
                <w:szCs w:val="18"/>
                <w:color w:val="auto"/>
              </w:rPr>
            </w:pPr>
          </w:p>
        </w:tc>
        <w:tc>
          <w:tcPr>
            <w:tcW w:w="86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7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Numerator:</w:t>
            </w:r>
          </w:p>
        </w:tc>
        <w:tc>
          <w:tcPr>
            <w:tcW w:w="460" w:type="dxa"/>
            <w:vAlign w:val="bottom"/>
            <w:shd w:val="clear" w:color="auto" w:fill="43C0B9"/>
          </w:tcPr>
          <w:p>
            <w:pPr>
              <w:spacing w:after="0"/>
              <w:rPr>
                <w:sz w:val="17"/>
                <w:szCs w:val="17"/>
                <w:color w:val="auto"/>
              </w:rPr>
            </w:pPr>
          </w:p>
        </w:tc>
        <w:tc>
          <w:tcPr>
            <w:tcW w:w="1120" w:type="dxa"/>
            <w:vAlign w:val="bottom"/>
            <w:shd w:val="clear" w:color="auto" w:fill="43C0B9"/>
          </w:tcPr>
          <w:p>
            <w:pPr>
              <w:spacing w:after="0"/>
              <w:rPr>
                <w:sz w:val="17"/>
                <w:szCs w:val="17"/>
                <w:color w:val="auto"/>
              </w:rPr>
            </w:pPr>
          </w:p>
        </w:tc>
        <w:tc>
          <w:tcPr>
            <w:tcW w:w="78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440" w:type="dxa"/>
            <w:vAlign w:val="bottom"/>
            <w:shd w:val="clear" w:color="auto" w:fill="43C0B9"/>
          </w:tcPr>
          <w:p>
            <w:pPr>
              <w:spacing w:after="0"/>
              <w:rPr>
                <w:sz w:val="17"/>
                <w:szCs w:val="17"/>
                <w:color w:val="auto"/>
              </w:rPr>
            </w:pPr>
          </w:p>
        </w:tc>
        <w:tc>
          <w:tcPr>
            <w:tcW w:w="1140" w:type="dxa"/>
            <w:vAlign w:val="bottom"/>
            <w:shd w:val="clear" w:color="auto" w:fill="43C0B9"/>
          </w:tcPr>
          <w:p>
            <w:pPr>
              <w:spacing w:after="0"/>
              <w:rPr>
                <w:sz w:val="17"/>
                <w:szCs w:val="17"/>
                <w:color w:val="auto"/>
              </w:rPr>
            </w:pPr>
          </w:p>
        </w:tc>
        <w:tc>
          <w:tcPr>
            <w:tcW w:w="760" w:type="dxa"/>
            <w:vAlign w:val="bottom"/>
            <w:shd w:val="clear" w:color="auto" w:fill="43C0B9"/>
          </w:tcPr>
          <w:p>
            <w:pPr>
              <w:spacing w:after="0"/>
              <w:rPr>
                <w:sz w:val="17"/>
                <w:szCs w:val="17"/>
                <w:color w:val="auto"/>
              </w:rPr>
            </w:pPr>
          </w:p>
        </w:tc>
        <w:tc>
          <w:tcPr>
            <w:tcW w:w="860" w:type="dxa"/>
            <w:vAlign w:val="bottom"/>
            <w:shd w:val="clear" w:color="auto" w:fill="43C0B9"/>
          </w:tcPr>
          <w:p>
            <w:pPr>
              <w:spacing w:after="0"/>
              <w:rPr>
                <w:sz w:val="17"/>
                <w:szCs w:val="17"/>
                <w:color w:val="auto"/>
              </w:rPr>
            </w:pPr>
          </w:p>
        </w:tc>
      </w:tr>
      <w:tr>
        <w:trPr>
          <w:trHeight w:val="200"/>
        </w:trPr>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 available to shareholders (in millions)</w:t>
            </w: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18.4</w:t>
            </w:r>
          </w:p>
        </w:tc>
        <w:tc>
          <w:tcPr>
            <w:tcW w:w="7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23.4</w:t>
            </w:r>
          </w:p>
        </w:tc>
        <w:tc>
          <w:tcPr>
            <w:tcW w:w="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28.0</w:t>
            </w:r>
          </w:p>
        </w:tc>
        <w:tc>
          <w:tcPr>
            <w:tcW w:w="7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5"/>
        </w:trPr>
        <w:tc>
          <w:tcPr>
            <w:tcW w:w="47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Denominator:</w:t>
            </w:r>
          </w:p>
        </w:tc>
        <w:tc>
          <w:tcPr>
            <w:tcW w:w="460" w:type="dxa"/>
            <w:vAlign w:val="bottom"/>
            <w:shd w:val="clear" w:color="auto" w:fill="43C0B9"/>
          </w:tcPr>
          <w:p>
            <w:pPr>
              <w:spacing w:after="0"/>
              <w:rPr>
                <w:sz w:val="17"/>
                <w:szCs w:val="17"/>
                <w:color w:val="auto"/>
              </w:rPr>
            </w:pPr>
          </w:p>
        </w:tc>
        <w:tc>
          <w:tcPr>
            <w:tcW w:w="1120" w:type="dxa"/>
            <w:vAlign w:val="bottom"/>
            <w:shd w:val="clear" w:color="auto" w:fill="43C0B9"/>
          </w:tcPr>
          <w:p>
            <w:pPr>
              <w:spacing w:after="0"/>
              <w:rPr>
                <w:sz w:val="17"/>
                <w:szCs w:val="17"/>
                <w:color w:val="auto"/>
              </w:rPr>
            </w:pPr>
          </w:p>
        </w:tc>
        <w:tc>
          <w:tcPr>
            <w:tcW w:w="78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440" w:type="dxa"/>
            <w:vAlign w:val="bottom"/>
            <w:shd w:val="clear" w:color="auto" w:fill="43C0B9"/>
          </w:tcPr>
          <w:p>
            <w:pPr>
              <w:spacing w:after="0"/>
              <w:rPr>
                <w:sz w:val="17"/>
                <w:szCs w:val="17"/>
                <w:color w:val="auto"/>
              </w:rPr>
            </w:pPr>
          </w:p>
        </w:tc>
        <w:tc>
          <w:tcPr>
            <w:tcW w:w="1140" w:type="dxa"/>
            <w:vAlign w:val="bottom"/>
            <w:shd w:val="clear" w:color="auto" w:fill="43C0B9"/>
          </w:tcPr>
          <w:p>
            <w:pPr>
              <w:spacing w:after="0"/>
              <w:rPr>
                <w:sz w:val="17"/>
                <w:szCs w:val="17"/>
                <w:color w:val="auto"/>
              </w:rPr>
            </w:pPr>
          </w:p>
        </w:tc>
        <w:tc>
          <w:tcPr>
            <w:tcW w:w="760" w:type="dxa"/>
            <w:vAlign w:val="bottom"/>
            <w:shd w:val="clear" w:color="auto" w:fill="43C0B9"/>
          </w:tcPr>
          <w:p>
            <w:pPr>
              <w:spacing w:after="0"/>
              <w:rPr>
                <w:sz w:val="17"/>
                <w:szCs w:val="17"/>
                <w:color w:val="auto"/>
              </w:rPr>
            </w:pPr>
          </w:p>
        </w:tc>
        <w:tc>
          <w:tcPr>
            <w:tcW w:w="860" w:type="dxa"/>
            <w:vAlign w:val="bottom"/>
            <w:shd w:val="clear" w:color="auto" w:fill="43C0B9"/>
          </w:tcPr>
          <w:p>
            <w:pPr>
              <w:spacing w:after="0"/>
              <w:rPr>
                <w:sz w:val="17"/>
                <w:szCs w:val="17"/>
                <w:color w:val="auto"/>
              </w:rPr>
            </w:pPr>
          </w:p>
        </w:tc>
      </w:tr>
      <w:tr>
        <w:trPr>
          <w:trHeight w:val="185"/>
        </w:trPr>
        <w:tc>
          <w:tcPr>
            <w:tcW w:w="4740" w:type="dxa"/>
            <w:vAlign w:val="bottom"/>
          </w:tcPr>
          <w:p>
            <w:pPr>
              <w:ind w:left="320"/>
              <w:spacing w:after="0"/>
              <w:rPr>
                <w:sz w:val="20"/>
                <w:szCs w:val="20"/>
                <w:color w:val="auto"/>
              </w:rPr>
            </w:pPr>
            <w:r>
              <w:rPr>
                <w:rFonts w:ascii="Arial" w:cs="Arial" w:eastAsia="Arial" w:hAnsi="Arial"/>
                <w:sz w:val="14"/>
                <w:szCs w:val="14"/>
                <w:color w:val="auto"/>
              </w:rPr>
              <w:t>Weighted average shares of common stock outstanding, used in</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0"/>
        </w:trPr>
        <w:tc>
          <w:tcPr>
            <w:tcW w:w="4740" w:type="dxa"/>
            <w:vAlign w:val="bottom"/>
          </w:tcPr>
          <w:p>
            <w:pPr>
              <w:ind w:left="320"/>
              <w:spacing w:after="0"/>
              <w:rPr>
                <w:sz w:val="20"/>
                <w:szCs w:val="20"/>
                <w:color w:val="auto"/>
              </w:rPr>
            </w:pPr>
            <w:r>
              <w:rPr>
                <w:rFonts w:ascii="Arial" w:cs="Arial" w:eastAsia="Arial" w:hAnsi="Arial"/>
                <w:sz w:val="14"/>
                <w:szCs w:val="14"/>
                <w:color w:val="auto"/>
              </w:rPr>
              <w:t>computing basic earnings per share</w:t>
            </w:r>
          </w:p>
        </w:tc>
        <w:tc>
          <w:tcPr>
            <w:tcW w:w="460" w:type="dxa"/>
            <w:vAlign w:val="bottom"/>
          </w:tcPr>
          <w:p>
            <w:pPr>
              <w:spacing w:after="0"/>
              <w:rPr>
                <w:sz w:val="14"/>
                <w:szCs w:val="14"/>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70,607,000</w:t>
            </w:r>
          </w:p>
        </w:tc>
        <w:tc>
          <w:tcPr>
            <w:tcW w:w="780" w:type="dxa"/>
            <w:vAlign w:val="bottom"/>
          </w:tcPr>
          <w:p>
            <w:pPr>
              <w:spacing w:after="0"/>
              <w:rPr>
                <w:sz w:val="14"/>
                <w:szCs w:val="14"/>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63,097,901</w:t>
            </w:r>
          </w:p>
        </w:tc>
        <w:tc>
          <w:tcPr>
            <w:tcW w:w="440" w:type="dxa"/>
            <w:vAlign w:val="bottom"/>
          </w:tcPr>
          <w:p>
            <w:pPr>
              <w:spacing w:after="0"/>
              <w:rPr>
                <w:sz w:val="14"/>
                <w:szCs w:val="14"/>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70,572,874</w:t>
            </w:r>
          </w:p>
        </w:tc>
        <w:tc>
          <w:tcPr>
            <w:tcW w:w="7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63,252,020</w:t>
            </w:r>
          </w:p>
        </w:tc>
      </w:tr>
      <w:tr>
        <w:trPr>
          <w:trHeight w:val="212"/>
        </w:trPr>
        <w:tc>
          <w:tcPr>
            <w:tcW w:w="4740" w:type="dxa"/>
            <w:vAlign w:val="bottom"/>
            <w:shd w:val="clear" w:color="auto" w:fill="43C0B9"/>
          </w:tcPr>
          <w:p>
            <w:pPr>
              <w:ind w:left="320"/>
              <w:spacing w:after="0"/>
              <w:rPr>
                <w:sz w:val="20"/>
                <w:szCs w:val="20"/>
                <w:color w:val="auto"/>
              </w:rPr>
            </w:pPr>
            <w:r>
              <w:rPr>
                <w:rFonts w:ascii="Arial" w:cs="Arial" w:eastAsia="Arial" w:hAnsi="Arial"/>
                <w:sz w:val="14"/>
                <w:szCs w:val="14"/>
                <w:color w:val="auto"/>
              </w:rPr>
              <w:t>Effect of dilutive stock options</w:t>
            </w:r>
          </w:p>
        </w:tc>
        <w:tc>
          <w:tcPr>
            <w:tcW w:w="460" w:type="dxa"/>
            <w:vAlign w:val="bottom"/>
            <w:shd w:val="clear" w:color="auto" w:fill="43C0B9"/>
          </w:tcPr>
          <w:p>
            <w:pPr>
              <w:spacing w:after="0"/>
              <w:rPr>
                <w:sz w:val="18"/>
                <w:szCs w:val="18"/>
                <w:color w:val="auto"/>
              </w:rPr>
            </w:pPr>
          </w:p>
        </w:tc>
        <w:tc>
          <w:tcPr>
            <w:tcW w:w="112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630,036</w:t>
            </w:r>
          </w:p>
        </w:tc>
        <w:tc>
          <w:tcPr>
            <w:tcW w:w="780" w:type="dxa"/>
            <w:vAlign w:val="bottom"/>
            <w:shd w:val="clear" w:color="auto" w:fill="43C0B9"/>
          </w:tcPr>
          <w:p>
            <w:pPr>
              <w:spacing w:after="0"/>
              <w:rPr>
                <w:sz w:val="18"/>
                <w:szCs w:val="18"/>
                <w:color w:val="auto"/>
              </w:rPr>
            </w:pPr>
          </w:p>
        </w:tc>
        <w:tc>
          <w:tcPr>
            <w:tcW w:w="94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21,862</w:t>
            </w:r>
          </w:p>
        </w:tc>
        <w:tc>
          <w:tcPr>
            <w:tcW w:w="440" w:type="dxa"/>
            <w:vAlign w:val="bottom"/>
            <w:shd w:val="clear" w:color="auto" w:fill="43C0B9"/>
          </w:tcPr>
          <w:p>
            <w:pPr>
              <w:spacing w:after="0"/>
              <w:rPr>
                <w:sz w:val="18"/>
                <w:szCs w:val="18"/>
                <w:color w:val="auto"/>
              </w:rPr>
            </w:pPr>
          </w:p>
        </w:tc>
        <w:tc>
          <w:tcPr>
            <w:tcW w:w="11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444,564</w:t>
            </w:r>
          </w:p>
        </w:tc>
        <w:tc>
          <w:tcPr>
            <w:tcW w:w="760" w:type="dxa"/>
            <w:vAlign w:val="bottom"/>
            <w:shd w:val="clear" w:color="auto" w:fill="43C0B9"/>
          </w:tcPr>
          <w:p>
            <w:pPr>
              <w:spacing w:after="0"/>
              <w:rPr>
                <w:sz w:val="18"/>
                <w:szCs w:val="18"/>
                <w:color w:val="auto"/>
              </w:rPr>
            </w:pPr>
          </w:p>
        </w:tc>
        <w:tc>
          <w:tcPr>
            <w:tcW w:w="8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22,674</w:t>
            </w:r>
          </w:p>
        </w:tc>
      </w:tr>
      <w:tr>
        <w:trPr>
          <w:trHeight w:val="200"/>
        </w:trPr>
        <w:tc>
          <w:tcPr>
            <w:tcW w:w="47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Effect of dilutive RSUs</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7,400</w:t>
            </w:r>
          </w:p>
        </w:tc>
        <w:tc>
          <w:tcPr>
            <w:tcW w:w="7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n/a</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26,352</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r>
      <w:tr>
        <w:trPr>
          <w:trHeight w:val="184"/>
        </w:trPr>
        <w:tc>
          <w:tcPr>
            <w:tcW w:w="4740" w:type="dxa"/>
            <w:vAlign w:val="bottom"/>
            <w:shd w:val="clear" w:color="auto" w:fill="43C0B9"/>
          </w:tcPr>
          <w:p>
            <w:pPr>
              <w:ind w:left="120"/>
              <w:spacing w:after="0"/>
              <w:rPr>
                <w:sz w:val="20"/>
                <w:szCs w:val="20"/>
                <w:color w:val="auto"/>
              </w:rPr>
            </w:pPr>
            <w:r>
              <w:rPr>
                <w:rFonts w:ascii="Arial" w:cs="Arial" w:eastAsia="Arial" w:hAnsi="Arial"/>
                <w:sz w:val="14"/>
                <w:szCs w:val="14"/>
                <w:color w:val="auto"/>
                <w:w w:val="98"/>
              </w:rPr>
              <w:t>Weighted average shares of common stock outstanding, used in computing</w:t>
            </w:r>
          </w:p>
        </w:tc>
        <w:tc>
          <w:tcPr>
            <w:tcW w:w="460" w:type="dxa"/>
            <w:vAlign w:val="bottom"/>
            <w:shd w:val="clear" w:color="auto" w:fill="43C0B9"/>
          </w:tcPr>
          <w:p>
            <w:pPr>
              <w:spacing w:after="0"/>
              <w:rPr>
                <w:sz w:val="15"/>
                <w:szCs w:val="15"/>
                <w:color w:val="auto"/>
              </w:rPr>
            </w:pPr>
          </w:p>
        </w:tc>
        <w:tc>
          <w:tcPr>
            <w:tcW w:w="1120" w:type="dxa"/>
            <w:vAlign w:val="bottom"/>
            <w:shd w:val="clear" w:color="auto" w:fill="43C0B9"/>
          </w:tcPr>
          <w:p>
            <w:pPr>
              <w:spacing w:after="0"/>
              <w:rPr>
                <w:sz w:val="15"/>
                <w:szCs w:val="15"/>
                <w:color w:val="auto"/>
              </w:rPr>
            </w:pPr>
          </w:p>
        </w:tc>
        <w:tc>
          <w:tcPr>
            <w:tcW w:w="78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1140" w:type="dxa"/>
            <w:vAlign w:val="bottom"/>
            <w:shd w:val="clear" w:color="auto" w:fill="43C0B9"/>
          </w:tcPr>
          <w:p>
            <w:pPr>
              <w:spacing w:after="0"/>
              <w:rPr>
                <w:sz w:val="15"/>
                <w:szCs w:val="15"/>
                <w:color w:val="auto"/>
              </w:rPr>
            </w:pPr>
          </w:p>
        </w:tc>
        <w:tc>
          <w:tcPr>
            <w:tcW w:w="760" w:type="dxa"/>
            <w:vAlign w:val="bottom"/>
            <w:shd w:val="clear" w:color="auto" w:fill="43C0B9"/>
          </w:tcPr>
          <w:p>
            <w:pPr>
              <w:spacing w:after="0"/>
              <w:rPr>
                <w:sz w:val="15"/>
                <w:szCs w:val="15"/>
                <w:color w:val="auto"/>
              </w:rPr>
            </w:pPr>
          </w:p>
        </w:tc>
        <w:tc>
          <w:tcPr>
            <w:tcW w:w="860" w:type="dxa"/>
            <w:vAlign w:val="bottom"/>
            <w:shd w:val="clear" w:color="auto" w:fill="43C0B9"/>
          </w:tcPr>
          <w:p>
            <w:pPr>
              <w:spacing w:after="0"/>
              <w:rPr>
                <w:sz w:val="15"/>
                <w:szCs w:val="15"/>
                <w:color w:val="auto"/>
              </w:rPr>
            </w:pPr>
          </w:p>
        </w:tc>
      </w:tr>
      <w:tr>
        <w:trPr>
          <w:trHeight w:val="170"/>
        </w:trPr>
        <w:tc>
          <w:tcPr>
            <w:tcW w:w="4740" w:type="dxa"/>
            <w:vAlign w:val="bottom"/>
            <w:tcBorders>
              <w:bottom w:val="single" w:sz="8" w:color="auto"/>
            </w:tcBorders>
            <w:shd w:val="clear" w:color="auto" w:fill="43C0B9"/>
          </w:tcPr>
          <w:p>
            <w:pPr>
              <w:ind w:left="120"/>
              <w:spacing w:after="0"/>
              <w:rPr>
                <w:sz w:val="20"/>
                <w:szCs w:val="20"/>
                <w:color w:val="auto"/>
              </w:rPr>
            </w:pPr>
            <w:r>
              <w:rPr>
                <w:rFonts w:ascii="Arial" w:cs="Arial" w:eastAsia="Arial" w:hAnsi="Arial"/>
                <w:sz w:val="14"/>
                <w:szCs w:val="14"/>
                <w:color w:val="auto"/>
              </w:rPr>
              <w:t>diluted earnings per share</w:t>
            </w:r>
          </w:p>
        </w:tc>
        <w:tc>
          <w:tcPr>
            <w:tcW w:w="460" w:type="dxa"/>
            <w:vAlign w:val="bottom"/>
            <w:tcBorders>
              <w:bottom w:val="single" w:sz="8" w:color="auto"/>
            </w:tcBorders>
            <w:shd w:val="clear" w:color="auto" w:fill="43C0B9"/>
          </w:tcPr>
          <w:p>
            <w:pPr>
              <w:spacing w:after="0"/>
              <w:rPr>
                <w:sz w:val="14"/>
                <w:szCs w:val="14"/>
                <w:color w:val="auto"/>
              </w:rPr>
            </w:pPr>
          </w:p>
        </w:tc>
        <w:tc>
          <w:tcPr>
            <w:tcW w:w="112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71,244,436</w:t>
            </w:r>
          </w:p>
        </w:tc>
        <w:tc>
          <w:tcPr>
            <w:tcW w:w="780" w:type="dxa"/>
            <w:vAlign w:val="bottom"/>
            <w:tcBorders>
              <w:bottom w:val="single" w:sz="8" w:color="auto"/>
            </w:tcBorders>
            <w:shd w:val="clear" w:color="auto" w:fill="43C0B9"/>
          </w:tcPr>
          <w:p>
            <w:pPr>
              <w:spacing w:after="0"/>
              <w:rPr>
                <w:sz w:val="14"/>
                <w:szCs w:val="14"/>
                <w:color w:val="auto"/>
              </w:rPr>
            </w:pPr>
          </w:p>
        </w:tc>
        <w:tc>
          <w:tcPr>
            <w:tcW w:w="94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63,119,763</w:t>
            </w:r>
          </w:p>
        </w:tc>
        <w:tc>
          <w:tcPr>
            <w:tcW w:w="440" w:type="dxa"/>
            <w:vAlign w:val="bottom"/>
            <w:tcBorders>
              <w:bottom w:val="single" w:sz="8" w:color="auto"/>
            </w:tcBorders>
            <w:shd w:val="clear" w:color="auto" w:fill="43C0B9"/>
          </w:tcPr>
          <w:p>
            <w:pPr>
              <w:spacing w:after="0"/>
              <w:rPr>
                <w:sz w:val="14"/>
                <w:szCs w:val="14"/>
                <w:color w:val="auto"/>
              </w:rPr>
            </w:pPr>
          </w:p>
        </w:tc>
        <w:tc>
          <w:tcPr>
            <w:tcW w:w="114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71,043,790</w:t>
            </w:r>
          </w:p>
        </w:tc>
        <w:tc>
          <w:tcPr>
            <w:tcW w:w="760" w:type="dxa"/>
            <w:vAlign w:val="bottom"/>
            <w:tcBorders>
              <w:bottom w:val="single" w:sz="8" w:color="auto"/>
            </w:tcBorders>
            <w:shd w:val="clear" w:color="auto" w:fill="43C0B9"/>
          </w:tcPr>
          <w:p>
            <w:pPr>
              <w:spacing w:after="0"/>
              <w:rPr>
                <w:sz w:val="14"/>
                <w:szCs w:val="14"/>
                <w:color w:val="auto"/>
              </w:rPr>
            </w:pPr>
          </w:p>
        </w:tc>
        <w:tc>
          <w:tcPr>
            <w:tcW w:w="8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63,274,694</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4740" w:type="dxa"/>
            <w:vAlign w:val="bottom"/>
            <w:shd w:val="clear" w:color="auto" w:fill="43C0B9"/>
          </w:tcPr>
          <w:p>
            <w:pPr>
              <w:ind w:left="320"/>
              <w:spacing w:after="0"/>
              <w:rPr>
                <w:sz w:val="20"/>
                <w:szCs w:val="20"/>
                <w:color w:val="auto"/>
              </w:rPr>
            </w:pPr>
            <w:r>
              <w:rPr>
                <w:rFonts w:ascii="Arial" w:cs="Arial" w:eastAsia="Arial" w:hAnsi="Arial"/>
                <w:sz w:val="14"/>
                <w:szCs w:val="14"/>
                <w:color w:val="auto"/>
              </w:rPr>
              <w:t>Basic</w:t>
            </w:r>
          </w:p>
        </w:tc>
        <w:tc>
          <w:tcPr>
            <w:tcW w:w="460" w:type="dxa"/>
            <w:vAlign w:val="bottom"/>
            <w:shd w:val="clear" w:color="auto" w:fill="43C0B9"/>
          </w:tcPr>
          <w:p>
            <w:pPr>
              <w:jc w:val="right"/>
              <w:ind w:right="291"/>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0.26</w:t>
            </w:r>
          </w:p>
        </w:tc>
        <w:tc>
          <w:tcPr>
            <w:tcW w:w="780" w:type="dxa"/>
            <w:vAlign w:val="bottom"/>
            <w:shd w:val="clear" w:color="auto" w:fill="43C0B9"/>
          </w:tcPr>
          <w:p>
            <w:pPr>
              <w:jc w:val="right"/>
              <w:ind w:right="55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0.37</w:t>
            </w:r>
          </w:p>
        </w:tc>
        <w:tc>
          <w:tcPr>
            <w:tcW w:w="440" w:type="dxa"/>
            <w:vAlign w:val="bottom"/>
            <w:shd w:val="clear" w:color="auto" w:fill="43C0B9"/>
          </w:tcPr>
          <w:p>
            <w:pPr>
              <w:jc w:val="right"/>
              <w:ind w:right="29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0.40</w:t>
            </w:r>
          </w:p>
        </w:tc>
        <w:tc>
          <w:tcPr>
            <w:tcW w:w="760" w:type="dxa"/>
            <w:vAlign w:val="bottom"/>
            <w:shd w:val="clear" w:color="auto" w:fill="43C0B9"/>
          </w:tcPr>
          <w:p>
            <w:pPr>
              <w:jc w:val="right"/>
              <w:ind w:right="531"/>
              <w:spacing w:after="0"/>
              <w:rPr>
                <w:sz w:val="20"/>
                <w:szCs w:val="20"/>
                <w:color w:val="auto"/>
              </w:rPr>
            </w:pPr>
            <w:r>
              <w:rPr>
                <w:rFonts w:ascii="Arial" w:cs="Arial" w:eastAsia="Arial" w:hAnsi="Arial"/>
                <w:sz w:val="14"/>
                <w:szCs w:val="14"/>
                <w:color w:val="auto"/>
              </w:rPr>
              <w:t>$</w:t>
            </w:r>
          </w:p>
        </w:tc>
        <w:tc>
          <w:tcPr>
            <w:tcW w:w="8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0.16</w:t>
            </w:r>
          </w:p>
        </w:tc>
      </w:tr>
      <w:tr>
        <w:trPr>
          <w:trHeight w:val="200"/>
        </w:trPr>
        <w:tc>
          <w:tcPr>
            <w:tcW w:w="47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Diluted</w:t>
            </w: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0.26</w:t>
            </w:r>
          </w:p>
        </w:tc>
        <w:tc>
          <w:tcPr>
            <w:tcW w:w="7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0.37</w:t>
            </w:r>
          </w:p>
        </w:tc>
        <w:tc>
          <w:tcPr>
            <w:tcW w:w="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0.39</w:t>
            </w:r>
          </w:p>
        </w:tc>
        <w:tc>
          <w:tcPr>
            <w:tcW w:w="7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r>
    </w:tbl>
    <w:p>
      <w:pPr>
        <w:spacing w:after="0" w:line="298" w:lineRule="exact"/>
        <w:rPr>
          <w:sz w:val="20"/>
          <w:szCs w:val="20"/>
          <w:color w:val="auto"/>
        </w:rPr>
      </w:pPr>
    </w:p>
    <w:p>
      <w:pPr>
        <w:ind w:right="300" w:firstLine="619"/>
        <w:spacing w:after="0" w:line="269" w:lineRule="auto"/>
        <w:rPr>
          <w:sz w:val="20"/>
          <w:szCs w:val="20"/>
          <w:color w:val="auto"/>
        </w:rPr>
      </w:pPr>
      <w:r>
        <w:rPr>
          <w:rFonts w:ascii="Arial" w:cs="Arial" w:eastAsia="Arial" w:hAnsi="Arial"/>
          <w:sz w:val="15"/>
          <w:szCs w:val="15"/>
          <w:color w:val="auto"/>
        </w:rPr>
        <w:t>Equity awards representing shares of common stock outstanding that were excluded in the computation of diluted EPS because their effect would have been anti-dilutive as a result of applying the treasury stock method,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shd w:val="clear" w:color="auto" w:fill="232F84"/>
          </w:tcPr>
          <w:p>
            <w:pPr>
              <w:spacing w:after="0"/>
              <w:rPr>
                <w:sz w:val="14"/>
                <w:szCs w:val="14"/>
                <w:color w:val="auto"/>
              </w:rPr>
            </w:pPr>
          </w:p>
        </w:tc>
        <w:tc>
          <w:tcPr>
            <w:tcW w:w="24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Three Months Ended</w:t>
            </w:r>
          </w:p>
        </w:tc>
        <w:tc>
          <w:tcPr>
            <w:tcW w:w="900" w:type="dxa"/>
            <w:vAlign w:val="bottom"/>
            <w:shd w:val="clear" w:color="auto" w:fill="232F84"/>
          </w:tcPr>
          <w:p>
            <w:pPr>
              <w:spacing w:after="0"/>
              <w:rPr>
                <w:sz w:val="14"/>
                <w:szCs w:val="14"/>
                <w:color w:val="auto"/>
              </w:rPr>
            </w:pPr>
          </w:p>
        </w:tc>
        <w:tc>
          <w:tcPr>
            <w:tcW w:w="238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Nine Months Ended</w:t>
            </w:r>
          </w:p>
        </w:tc>
        <w:tc>
          <w:tcPr>
            <w:tcW w:w="820" w:type="dxa"/>
            <w:vAlign w:val="bottom"/>
            <w:shd w:val="clear" w:color="auto" w:fill="232F84"/>
          </w:tcPr>
          <w:p>
            <w:pPr>
              <w:spacing w:after="0"/>
              <w:rPr>
                <w:sz w:val="14"/>
                <w:szCs w:val="14"/>
                <w:color w:val="auto"/>
              </w:rPr>
            </w:pPr>
          </w:p>
        </w:tc>
      </w:tr>
      <w:tr>
        <w:trPr>
          <w:trHeight w:val="195"/>
        </w:trPr>
        <w:tc>
          <w:tcPr>
            <w:tcW w:w="4740" w:type="dxa"/>
            <w:vAlign w:val="bottom"/>
            <w:shd w:val="clear" w:color="auto" w:fill="232F84"/>
          </w:tcPr>
          <w:p>
            <w:pPr>
              <w:spacing w:after="0"/>
              <w:rPr>
                <w:sz w:val="17"/>
                <w:szCs w:val="17"/>
                <w:color w:val="auto"/>
              </w:rPr>
            </w:pPr>
          </w:p>
        </w:tc>
        <w:tc>
          <w:tcPr>
            <w:tcW w:w="2400" w:type="dxa"/>
            <w:vAlign w:val="bottom"/>
            <w:shd w:val="clear" w:color="auto" w:fill="232F84"/>
          </w:tcPr>
          <w:p>
            <w:pPr>
              <w:jc w:val="right"/>
              <w:ind w:right="471"/>
              <w:spacing w:after="0"/>
              <w:rPr>
                <w:sz w:val="20"/>
                <w:szCs w:val="20"/>
                <w:color w:val="auto"/>
              </w:rPr>
            </w:pPr>
            <w:r>
              <w:rPr>
                <w:rFonts w:ascii="Arial" w:cs="Arial" w:eastAsia="Arial" w:hAnsi="Arial"/>
                <w:sz w:val="14"/>
                <w:szCs w:val="14"/>
                <w:b w:val="1"/>
                <w:bCs w:val="1"/>
                <w:color w:val="FFFFFF"/>
              </w:rPr>
              <w:t>July 31,</w:t>
            </w:r>
          </w:p>
        </w:tc>
        <w:tc>
          <w:tcPr>
            <w:tcW w:w="900" w:type="dxa"/>
            <w:vAlign w:val="bottom"/>
            <w:shd w:val="clear" w:color="auto" w:fill="232F84"/>
          </w:tcPr>
          <w:p>
            <w:pPr>
              <w:spacing w:after="0"/>
              <w:rPr>
                <w:sz w:val="17"/>
                <w:szCs w:val="17"/>
                <w:color w:val="auto"/>
              </w:rPr>
            </w:pPr>
          </w:p>
        </w:tc>
        <w:tc>
          <w:tcPr>
            <w:tcW w:w="2380" w:type="dxa"/>
            <w:vAlign w:val="bottom"/>
            <w:shd w:val="clear" w:color="auto" w:fill="232F84"/>
          </w:tcPr>
          <w:p>
            <w:pPr>
              <w:jc w:val="right"/>
              <w:ind w:right="451"/>
              <w:spacing w:after="0"/>
              <w:rPr>
                <w:sz w:val="20"/>
                <w:szCs w:val="20"/>
                <w:color w:val="auto"/>
              </w:rPr>
            </w:pPr>
            <w:r>
              <w:rPr>
                <w:rFonts w:ascii="Arial" w:cs="Arial" w:eastAsia="Arial" w:hAnsi="Arial"/>
                <w:sz w:val="14"/>
                <w:szCs w:val="14"/>
                <w:b w:val="1"/>
                <w:bCs w:val="1"/>
                <w:color w:val="FFFFFF"/>
              </w:rPr>
              <w:t>July 31,</w:t>
            </w:r>
          </w:p>
        </w:tc>
        <w:tc>
          <w:tcPr>
            <w:tcW w:w="820" w:type="dxa"/>
            <w:vAlign w:val="bottom"/>
            <w:shd w:val="clear" w:color="auto" w:fill="232F84"/>
          </w:tcPr>
          <w:p>
            <w:pPr>
              <w:spacing w:after="0"/>
              <w:rPr>
                <w:sz w:val="17"/>
                <w:szCs w:val="17"/>
                <w:color w:val="auto"/>
              </w:rPr>
            </w:pPr>
          </w:p>
        </w:tc>
      </w:tr>
      <w:tr>
        <w:trPr>
          <w:trHeight w:val="216"/>
        </w:trPr>
        <w:tc>
          <w:tcPr>
            <w:tcW w:w="4740" w:type="dxa"/>
            <w:vAlign w:val="bottom"/>
            <w:shd w:val="clear" w:color="auto" w:fill="232F84"/>
          </w:tcPr>
          <w:p>
            <w:pPr>
              <w:spacing w:after="0"/>
              <w:rPr>
                <w:sz w:val="18"/>
                <w:szCs w:val="18"/>
                <w:color w:val="auto"/>
              </w:rPr>
            </w:pPr>
          </w:p>
        </w:tc>
        <w:tc>
          <w:tcPr>
            <w:tcW w:w="2400" w:type="dxa"/>
            <w:vAlign w:val="bottom"/>
            <w:shd w:val="clear" w:color="auto" w:fill="232F84"/>
          </w:tcPr>
          <w:p>
            <w:pPr>
              <w:jc w:val="right"/>
              <w:ind w:right="891"/>
              <w:spacing w:after="0"/>
              <w:rPr>
                <w:sz w:val="20"/>
                <w:szCs w:val="20"/>
                <w:color w:val="auto"/>
              </w:rPr>
            </w:pPr>
            <w:r>
              <w:rPr>
                <w:rFonts w:ascii="Arial" w:cs="Arial" w:eastAsia="Arial" w:hAnsi="Arial"/>
                <w:sz w:val="14"/>
                <w:szCs w:val="14"/>
                <w:b w:val="1"/>
                <w:bCs w:val="1"/>
                <w:color w:val="FFFFFF"/>
              </w:rPr>
              <w:t>2021</w:t>
            </w:r>
          </w:p>
        </w:tc>
        <w:tc>
          <w:tcPr>
            <w:tcW w:w="900" w:type="dxa"/>
            <w:vAlign w:val="bottom"/>
            <w:shd w:val="clear" w:color="auto" w:fill="232F84"/>
          </w:tcPr>
          <w:p>
            <w:pPr>
              <w:jc w:val="right"/>
              <w:ind w:right="151"/>
              <w:spacing w:after="0"/>
              <w:rPr>
                <w:sz w:val="20"/>
                <w:szCs w:val="20"/>
                <w:color w:val="auto"/>
              </w:rPr>
            </w:pPr>
            <w:r>
              <w:rPr>
                <w:rFonts w:ascii="Arial" w:cs="Arial" w:eastAsia="Arial" w:hAnsi="Arial"/>
                <w:sz w:val="14"/>
                <w:szCs w:val="14"/>
                <w:b w:val="1"/>
                <w:bCs w:val="1"/>
                <w:color w:val="FFFFFF"/>
              </w:rPr>
              <w:t>2020</w:t>
            </w:r>
          </w:p>
        </w:tc>
        <w:tc>
          <w:tcPr>
            <w:tcW w:w="2380" w:type="dxa"/>
            <w:vAlign w:val="bottom"/>
            <w:shd w:val="clear" w:color="auto" w:fill="232F84"/>
          </w:tcPr>
          <w:p>
            <w:pPr>
              <w:jc w:val="right"/>
              <w:ind w:right="871"/>
              <w:spacing w:after="0"/>
              <w:rPr>
                <w:sz w:val="20"/>
                <w:szCs w:val="20"/>
                <w:color w:val="auto"/>
              </w:rPr>
            </w:pPr>
            <w:r>
              <w:rPr>
                <w:rFonts w:ascii="Arial" w:cs="Arial" w:eastAsia="Arial" w:hAnsi="Arial"/>
                <w:sz w:val="14"/>
                <w:szCs w:val="14"/>
                <w:b w:val="1"/>
                <w:bCs w:val="1"/>
                <w:color w:val="FFFFFF"/>
              </w:rPr>
              <w:t>2021</w:t>
            </w:r>
          </w:p>
        </w:tc>
        <w:tc>
          <w:tcPr>
            <w:tcW w:w="82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740" w:type="dxa"/>
            <w:vAlign w:val="bottom"/>
            <w:shd w:val="clear" w:color="auto" w:fill="43C0B9"/>
          </w:tcPr>
          <w:p>
            <w:pPr>
              <w:ind w:left="20"/>
              <w:spacing w:after="0"/>
              <w:rPr>
                <w:sz w:val="20"/>
                <w:szCs w:val="20"/>
                <w:color w:val="auto"/>
              </w:rPr>
            </w:pPr>
            <w:r>
              <w:rPr>
                <w:rFonts w:ascii="Arial" w:cs="Arial" w:eastAsia="Arial" w:hAnsi="Arial"/>
                <w:sz w:val="14"/>
                <w:szCs w:val="14"/>
                <w:color w:val="auto"/>
              </w:rPr>
              <w:t>Anti-dilutive stock options</w:t>
            </w:r>
          </w:p>
        </w:tc>
        <w:tc>
          <w:tcPr>
            <w:tcW w:w="2400" w:type="dxa"/>
            <w:vAlign w:val="bottom"/>
            <w:shd w:val="clear" w:color="auto" w:fill="43C0B9"/>
          </w:tcPr>
          <w:p>
            <w:pPr>
              <w:jc w:val="right"/>
              <w:ind w:right="831"/>
              <w:spacing w:after="0"/>
              <w:rPr>
                <w:sz w:val="20"/>
                <w:szCs w:val="20"/>
                <w:color w:val="auto"/>
              </w:rPr>
            </w:pPr>
            <w:r>
              <w:rPr>
                <w:rFonts w:ascii="Arial" w:cs="Arial" w:eastAsia="Arial" w:hAnsi="Arial"/>
                <w:sz w:val="14"/>
                <w:szCs w:val="14"/>
                <w:color w:val="auto"/>
              </w:rPr>
              <w:t>—</w:t>
            </w:r>
          </w:p>
        </w:tc>
        <w:tc>
          <w:tcPr>
            <w:tcW w:w="90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1,700,000</w:t>
            </w:r>
          </w:p>
        </w:tc>
        <w:tc>
          <w:tcPr>
            <w:tcW w:w="2380" w:type="dxa"/>
            <w:vAlign w:val="bottom"/>
            <w:shd w:val="clear" w:color="auto" w:fill="43C0B9"/>
          </w:tcPr>
          <w:p>
            <w:pPr>
              <w:jc w:val="right"/>
              <w:ind w:right="811"/>
              <w:spacing w:after="0"/>
              <w:rPr>
                <w:sz w:val="20"/>
                <w:szCs w:val="20"/>
                <w:color w:val="auto"/>
              </w:rPr>
            </w:pPr>
            <w:r>
              <w:rPr>
                <w:rFonts w:ascii="Arial" w:cs="Arial" w:eastAsia="Arial" w:hAnsi="Arial"/>
                <w:sz w:val="14"/>
                <w:szCs w:val="14"/>
                <w:color w:val="auto"/>
              </w:rPr>
              <w:t>141,392</w:t>
            </w:r>
          </w:p>
        </w:tc>
        <w:tc>
          <w:tcPr>
            <w:tcW w:w="8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1,700,000</w:t>
            </w:r>
          </w:p>
        </w:tc>
      </w:tr>
      <w:tr>
        <w:trPr>
          <w:trHeight w:val="20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Anti-dilutive RSUs</w:t>
            </w:r>
          </w:p>
        </w:tc>
        <w:tc>
          <w:tcPr>
            <w:tcW w:w="240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rPr>
              <w:t>5,736</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n/a</w:t>
            </w:r>
          </w:p>
        </w:tc>
        <w:tc>
          <w:tcPr>
            <w:tcW w:w="238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3,068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346" w:lineRule="exact"/>
        <w:rPr>
          <w:sz w:val="20"/>
          <w:szCs w:val="20"/>
          <w:color w:val="auto"/>
        </w:rPr>
      </w:pPr>
    </w:p>
    <w:p>
      <w:pPr>
        <w:ind w:left="420" w:hanging="417"/>
        <w:spacing w:after="0"/>
        <w:tabs>
          <w:tab w:leader="none" w:pos="420" w:val="left"/>
        </w:tabs>
        <w:numPr>
          <w:ilvl w:val="0"/>
          <w:numId w:val="9"/>
        </w:numPr>
        <w:rPr>
          <w:rFonts w:ascii="Arial" w:cs="Arial" w:eastAsia="Arial" w:hAnsi="Arial"/>
          <w:sz w:val="19"/>
          <w:szCs w:val="19"/>
          <w:b w:val="1"/>
          <w:bCs w:val="1"/>
          <w:color w:val="232F84"/>
        </w:rPr>
      </w:pPr>
      <w:r>
        <w:rPr>
          <w:rFonts w:ascii="Arial" w:cs="Arial" w:eastAsia="Arial" w:hAnsi="Arial"/>
          <w:sz w:val="19"/>
          <w:szCs w:val="19"/>
          <w:b w:val="1"/>
          <w:bCs w:val="1"/>
          <w:color w:val="232F84"/>
        </w:rPr>
        <w:t>Related Party Transactions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Transactions with related parties included in the condensed consolidated financial statements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Borders>
              <w:bottom w:val="single" w:sz="8" w:color="232F84"/>
            </w:tcBorders>
            <w:shd w:val="clear" w:color="auto" w:fill="232F84"/>
          </w:tcPr>
          <w:p>
            <w:pPr>
              <w:spacing w:after="0"/>
              <w:rPr>
                <w:sz w:val="16"/>
                <w:szCs w:val="16"/>
                <w:color w:val="auto"/>
              </w:rPr>
            </w:pPr>
          </w:p>
        </w:tc>
        <w:tc>
          <w:tcPr>
            <w:tcW w:w="300" w:type="dxa"/>
            <w:vAlign w:val="bottom"/>
            <w:tcBorders>
              <w:bottom w:val="single" w:sz="8" w:color="232F84"/>
            </w:tcBorders>
            <w:shd w:val="clear" w:color="auto" w:fill="232F84"/>
          </w:tcPr>
          <w:p>
            <w:pPr>
              <w:spacing w:after="0"/>
              <w:rPr>
                <w:sz w:val="16"/>
                <w:szCs w:val="16"/>
                <w:color w:val="auto"/>
              </w:rPr>
            </w:pPr>
          </w:p>
        </w:tc>
        <w:tc>
          <w:tcPr>
            <w:tcW w:w="600" w:type="dxa"/>
            <w:vAlign w:val="bottom"/>
            <w:tcBorders>
              <w:bottom w:val="single" w:sz="8" w:color="232F84"/>
            </w:tcBorders>
            <w:shd w:val="clear" w:color="auto" w:fill="232F84"/>
          </w:tcPr>
          <w:p>
            <w:pPr>
              <w:spacing w:after="0"/>
              <w:rPr>
                <w:sz w:val="16"/>
                <w:szCs w:val="16"/>
                <w:color w:val="auto"/>
              </w:rPr>
            </w:pPr>
          </w:p>
        </w:tc>
        <w:tc>
          <w:tcPr>
            <w:tcW w:w="120" w:type="dxa"/>
            <w:vAlign w:val="bottom"/>
            <w:tcBorders>
              <w:bottom w:val="single" w:sz="8" w:color="43C0B9"/>
            </w:tcBorders>
            <w:shd w:val="clear" w:color="auto" w:fill="232F84"/>
          </w:tcPr>
          <w:p>
            <w:pPr>
              <w:spacing w:after="0"/>
              <w:rPr>
                <w:sz w:val="16"/>
                <w:szCs w:val="16"/>
                <w:color w:val="auto"/>
              </w:rPr>
            </w:pPr>
          </w:p>
        </w:tc>
        <w:tc>
          <w:tcPr>
            <w:tcW w:w="260" w:type="dxa"/>
            <w:vAlign w:val="bottom"/>
            <w:tcBorders>
              <w:bottom w:val="single" w:sz="8" w:color="43C0B9"/>
            </w:tcBorders>
            <w:shd w:val="clear" w:color="auto" w:fill="232F84"/>
          </w:tcPr>
          <w:p>
            <w:pPr>
              <w:spacing w:after="0"/>
              <w:rPr>
                <w:sz w:val="16"/>
                <w:szCs w:val="16"/>
                <w:color w:val="auto"/>
              </w:rPr>
            </w:pPr>
          </w:p>
        </w:tc>
        <w:tc>
          <w:tcPr>
            <w:tcW w:w="1000" w:type="dxa"/>
            <w:vAlign w:val="bottom"/>
            <w:tcBorders>
              <w:bottom w:val="single" w:sz="8" w:color="43C0B9"/>
            </w:tcBorders>
            <w:shd w:val="clear" w:color="auto" w:fill="232F84"/>
          </w:tcPr>
          <w:p>
            <w:pPr>
              <w:spacing w:after="0"/>
              <w:rPr>
                <w:sz w:val="16"/>
                <w:szCs w:val="16"/>
                <w:color w:val="auto"/>
              </w:rPr>
            </w:pPr>
          </w:p>
        </w:tc>
        <w:tc>
          <w:tcPr>
            <w:tcW w:w="200" w:type="dxa"/>
            <w:vAlign w:val="bottom"/>
            <w:tcBorders>
              <w:bottom w:val="single" w:sz="8" w:color="43C0B9"/>
            </w:tcBorders>
            <w:shd w:val="clear" w:color="auto" w:fill="232F84"/>
          </w:tcPr>
          <w:p>
            <w:pPr>
              <w:spacing w:after="0"/>
              <w:rPr>
                <w:sz w:val="16"/>
                <w:szCs w:val="16"/>
                <w:color w:val="auto"/>
              </w:rPr>
            </w:pPr>
          </w:p>
        </w:tc>
        <w:tc>
          <w:tcPr>
            <w:tcW w:w="960" w:type="dxa"/>
            <w:vAlign w:val="bottom"/>
            <w:tcBorders>
              <w:bottom w:val="single" w:sz="8" w:color="43C0B9"/>
            </w:tcBorders>
            <w:shd w:val="clear" w:color="auto" w:fill="232F84"/>
          </w:tcPr>
          <w:p>
            <w:pPr>
              <w:spacing w:after="0"/>
              <w:rPr>
                <w:sz w:val="16"/>
                <w:szCs w:val="16"/>
                <w:color w:val="auto"/>
              </w:rPr>
            </w:pPr>
          </w:p>
        </w:tc>
        <w:tc>
          <w:tcPr>
            <w:tcW w:w="380" w:type="dxa"/>
            <w:vAlign w:val="bottom"/>
            <w:tcBorders>
              <w:bottom w:val="single" w:sz="8" w:color="43C0B9"/>
            </w:tcBorders>
            <w:shd w:val="clear" w:color="auto" w:fill="232F84"/>
          </w:tcPr>
          <w:p>
            <w:pPr>
              <w:spacing w:after="0"/>
              <w:rPr>
                <w:sz w:val="16"/>
                <w:szCs w:val="16"/>
                <w:color w:val="auto"/>
              </w:rPr>
            </w:pPr>
          </w:p>
        </w:tc>
        <w:tc>
          <w:tcPr>
            <w:tcW w:w="2980" w:type="dxa"/>
            <w:vAlign w:val="bottom"/>
            <w:tcBorders>
              <w:bottom w:val="single" w:sz="8" w:color="43C0B9"/>
            </w:tcBorders>
            <w:gridSpan w:val="4"/>
            <w:shd w:val="clear" w:color="auto" w:fill="232F84"/>
          </w:tcPr>
          <w:p>
            <w:pPr>
              <w:jc w:val="right"/>
              <w:ind w:right="380"/>
              <w:spacing w:after="0"/>
              <w:rPr>
                <w:sz w:val="20"/>
                <w:szCs w:val="20"/>
                <w:color w:val="auto"/>
              </w:rPr>
            </w:pPr>
            <w:r>
              <w:rPr>
                <w:rFonts w:ascii="Arial" w:cs="Arial" w:eastAsia="Arial" w:hAnsi="Arial"/>
                <w:sz w:val="12"/>
                <w:szCs w:val="12"/>
                <w:b w:val="1"/>
                <w:bCs w:val="1"/>
                <w:color w:val="FFFFFF"/>
              </w:rPr>
              <w:t>Condensed Consolidated Balance Sheets</w:t>
            </w:r>
          </w:p>
        </w:tc>
        <w:tc>
          <w:tcPr>
            <w:tcW w:w="260" w:type="dxa"/>
            <w:vAlign w:val="bottom"/>
            <w:tcBorders>
              <w:bottom w:val="single" w:sz="8" w:color="43C0B9"/>
            </w:tcBorders>
            <w:shd w:val="clear" w:color="auto" w:fill="232F84"/>
          </w:tcPr>
          <w:p>
            <w:pPr>
              <w:spacing w:after="0"/>
              <w:rPr>
                <w:sz w:val="16"/>
                <w:szCs w:val="16"/>
                <w:color w:val="auto"/>
              </w:rPr>
            </w:pPr>
          </w:p>
        </w:tc>
        <w:tc>
          <w:tcPr>
            <w:tcW w:w="1000" w:type="dxa"/>
            <w:vAlign w:val="bottom"/>
            <w:tcBorders>
              <w:bottom w:val="single" w:sz="8" w:color="43C0B9"/>
            </w:tcBorders>
            <w:shd w:val="clear" w:color="auto" w:fill="232F84"/>
          </w:tcPr>
          <w:p>
            <w:pPr>
              <w:spacing w:after="0"/>
              <w:rPr>
                <w:sz w:val="16"/>
                <w:szCs w:val="16"/>
                <w:color w:val="auto"/>
              </w:rPr>
            </w:pPr>
          </w:p>
        </w:tc>
        <w:tc>
          <w:tcPr>
            <w:tcW w:w="180" w:type="dxa"/>
            <w:vAlign w:val="bottom"/>
            <w:tcBorders>
              <w:bottom w:val="single" w:sz="8" w:color="43C0B9"/>
            </w:tcBorders>
            <w:shd w:val="clear" w:color="auto" w:fill="232F84"/>
          </w:tcPr>
          <w:p>
            <w:pPr>
              <w:spacing w:after="0"/>
              <w:rPr>
                <w:sz w:val="16"/>
                <w:szCs w:val="16"/>
                <w:color w:val="auto"/>
              </w:rPr>
            </w:pPr>
          </w:p>
        </w:tc>
        <w:tc>
          <w:tcPr>
            <w:tcW w:w="280" w:type="dxa"/>
            <w:vAlign w:val="bottom"/>
            <w:tcBorders>
              <w:bottom w:val="single" w:sz="8" w:color="43C0B9"/>
            </w:tcBorders>
            <w:shd w:val="clear" w:color="auto" w:fill="232F84"/>
          </w:tcPr>
          <w:p>
            <w:pPr>
              <w:spacing w:after="0"/>
              <w:rPr>
                <w:sz w:val="16"/>
                <w:szCs w:val="16"/>
                <w:color w:val="auto"/>
              </w:rPr>
            </w:pPr>
          </w:p>
        </w:tc>
        <w:tc>
          <w:tcPr>
            <w:tcW w:w="900" w:type="dxa"/>
            <w:vAlign w:val="bottom"/>
            <w:tcBorders>
              <w:bottom w:val="single" w:sz="8" w:color="43C0B9"/>
            </w:tcBorders>
            <w:shd w:val="clear" w:color="auto" w:fill="232F84"/>
          </w:tcPr>
          <w:p>
            <w:pPr>
              <w:spacing w:after="0"/>
              <w:rPr>
                <w:sz w:val="16"/>
                <w:szCs w:val="16"/>
                <w:color w:val="auto"/>
              </w:rPr>
            </w:pPr>
          </w:p>
        </w:tc>
        <w:tc>
          <w:tcPr>
            <w:tcW w:w="20" w:type="dxa"/>
            <w:vAlign w:val="bottom"/>
            <w:tcBorders>
              <w:bottom w:val="single" w:sz="8" w:color="43C0B9"/>
            </w:tcBorders>
            <w:shd w:val="clear" w:color="auto" w:fill="232F84"/>
          </w:tcPr>
          <w:p>
            <w:pPr>
              <w:spacing w:after="0"/>
              <w:rPr>
                <w:sz w:val="16"/>
                <w:szCs w:val="16"/>
                <w:color w:val="auto"/>
              </w:rPr>
            </w:pPr>
          </w:p>
        </w:tc>
      </w:tr>
      <w:tr>
        <w:trPr>
          <w:trHeight w:val="165"/>
        </w:trPr>
        <w:tc>
          <w:tcPr>
            <w:tcW w:w="1800" w:type="dxa"/>
            <w:vAlign w:val="bottom"/>
            <w:shd w:val="clear" w:color="auto" w:fill="232F84"/>
          </w:tcPr>
          <w:p>
            <w:pPr>
              <w:spacing w:after="0"/>
              <w:rPr>
                <w:sz w:val="14"/>
                <w:szCs w:val="14"/>
                <w:color w:val="auto"/>
              </w:rPr>
            </w:pPr>
          </w:p>
        </w:tc>
        <w:tc>
          <w:tcPr>
            <w:tcW w:w="300" w:type="dxa"/>
            <w:vAlign w:val="bottom"/>
            <w:shd w:val="clear" w:color="auto" w:fill="232F84"/>
          </w:tcPr>
          <w:p>
            <w:pPr>
              <w:spacing w:after="0"/>
              <w:rPr>
                <w:sz w:val="14"/>
                <w:szCs w:val="14"/>
                <w:color w:val="auto"/>
              </w:rPr>
            </w:pPr>
          </w:p>
        </w:tc>
        <w:tc>
          <w:tcPr>
            <w:tcW w:w="600" w:type="dxa"/>
            <w:vAlign w:val="bottom"/>
            <w:shd w:val="clear" w:color="auto" w:fill="232F84"/>
          </w:tcPr>
          <w:p>
            <w:pPr>
              <w:spacing w:after="0"/>
              <w:rPr>
                <w:sz w:val="14"/>
                <w:szCs w:val="14"/>
                <w:color w:val="auto"/>
              </w:rPr>
            </w:pPr>
          </w:p>
        </w:tc>
        <w:tc>
          <w:tcPr>
            <w:tcW w:w="120" w:type="dxa"/>
            <w:vAlign w:val="bottom"/>
            <w:shd w:val="clear" w:color="auto" w:fill="232F84"/>
          </w:tcPr>
          <w:p>
            <w:pPr>
              <w:spacing w:after="0"/>
              <w:rPr>
                <w:sz w:val="14"/>
                <w:szCs w:val="14"/>
                <w:color w:val="auto"/>
              </w:rPr>
            </w:pPr>
          </w:p>
        </w:tc>
        <w:tc>
          <w:tcPr>
            <w:tcW w:w="260" w:type="dxa"/>
            <w:vAlign w:val="bottom"/>
            <w:shd w:val="clear" w:color="auto" w:fill="232F84"/>
          </w:tcPr>
          <w:p>
            <w:pPr>
              <w:spacing w:after="0"/>
              <w:rPr>
                <w:sz w:val="14"/>
                <w:szCs w:val="14"/>
                <w:color w:val="auto"/>
              </w:rPr>
            </w:pPr>
          </w:p>
        </w:tc>
        <w:tc>
          <w:tcPr>
            <w:tcW w:w="1000" w:type="dxa"/>
            <w:vAlign w:val="bottom"/>
            <w:shd w:val="clear" w:color="auto" w:fill="232F84"/>
          </w:tcPr>
          <w:p>
            <w:pPr>
              <w:spacing w:after="0"/>
              <w:rPr>
                <w:sz w:val="14"/>
                <w:szCs w:val="14"/>
                <w:color w:val="auto"/>
              </w:rPr>
            </w:pPr>
          </w:p>
        </w:tc>
        <w:tc>
          <w:tcPr>
            <w:tcW w:w="200" w:type="dxa"/>
            <w:vAlign w:val="bottom"/>
            <w:shd w:val="clear" w:color="auto" w:fill="232F84"/>
          </w:tcPr>
          <w:p>
            <w:pPr>
              <w:spacing w:after="0"/>
              <w:rPr>
                <w:sz w:val="14"/>
                <w:szCs w:val="14"/>
                <w:color w:val="auto"/>
              </w:rPr>
            </w:pPr>
          </w:p>
        </w:tc>
        <w:tc>
          <w:tcPr>
            <w:tcW w:w="960" w:type="dxa"/>
            <w:vAlign w:val="bottom"/>
            <w:shd w:val="clear" w:color="auto" w:fill="232F84"/>
          </w:tcPr>
          <w:p>
            <w:pPr>
              <w:jc w:val="right"/>
              <w:ind w:right="20"/>
              <w:spacing w:after="0"/>
              <w:rPr>
                <w:sz w:val="20"/>
                <w:szCs w:val="20"/>
                <w:color w:val="auto"/>
              </w:rPr>
            </w:pPr>
            <w:r>
              <w:rPr>
                <w:rFonts w:ascii="Arial" w:cs="Arial" w:eastAsia="Arial" w:hAnsi="Arial"/>
                <w:sz w:val="12"/>
                <w:szCs w:val="12"/>
                <w:b w:val="1"/>
                <w:bCs w:val="1"/>
                <w:color w:val="FFFFFF"/>
              </w:rPr>
              <w:t>July 31, 2021</w:t>
            </w:r>
          </w:p>
        </w:tc>
        <w:tc>
          <w:tcPr>
            <w:tcW w:w="380" w:type="dxa"/>
            <w:vAlign w:val="bottom"/>
            <w:shd w:val="clear" w:color="auto" w:fill="232F84"/>
          </w:tcPr>
          <w:p>
            <w:pPr>
              <w:spacing w:after="0"/>
              <w:rPr>
                <w:sz w:val="14"/>
                <w:szCs w:val="14"/>
                <w:color w:val="auto"/>
              </w:rPr>
            </w:pPr>
          </w:p>
        </w:tc>
        <w:tc>
          <w:tcPr>
            <w:tcW w:w="800" w:type="dxa"/>
            <w:vAlign w:val="bottom"/>
            <w:shd w:val="clear" w:color="auto" w:fill="232F84"/>
          </w:tcPr>
          <w:p>
            <w:pPr>
              <w:spacing w:after="0"/>
              <w:rPr>
                <w:sz w:val="14"/>
                <w:szCs w:val="14"/>
                <w:color w:val="auto"/>
              </w:rPr>
            </w:pPr>
          </w:p>
        </w:tc>
        <w:tc>
          <w:tcPr>
            <w:tcW w:w="660" w:type="dxa"/>
            <w:vAlign w:val="bottom"/>
            <w:shd w:val="clear" w:color="auto" w:fill="232F84"/>
          </w:tcPr>
          <w:p>
            <w:pPr>
              <w:spacing w:after="0"/>
              <w:rPr>
                <w:sz w:val="14"/>
                <w:szCs w:val="14"/>
                <w:color w:val="auto"/>
              </w:rPr>
            </w:pPr>
          </w:p>
        </w:tc>
        <w:tc>
          <w:tcPr>
            <w:tcW w:w="620" w:type="dxa"/>
            <w:vAlign w:val="bottom"/>
            <w:shd w:val="clear" w:color="auto" w:fill="232F84"/>
          </w:tcPr>
          <w:p>
            <w:pPr>
              <w:spacing w:after="0"/>
              <w:rPr>
                <w:sz w:val="14"/>
                <w:szCs w:val="14"/>
                <w:color w:val="auto"/>
              </w:rPr>
            </w:pPr>
          </w:p>
        </w:tc>
        <w:tc>
          <w:tcPr>
            <w:tcW w:w="900" w:type="dxa"/>
            <w:vAlign w:val="bottom"/>
            <w:shd w:val="clear" w:color="auto" w:fill="232F84"/>
          </w:tcPr>
          <w:p>
            <w:pPr>
              <w:spacing w:after="0"/>
              <w:rPr>
                <w:sz w:val="14"/>
                <w:szCs w:val="14"/>
                <w:color w:val="auto"/>
              </w:rPr>
            </w:pPr>
          </w:p>
        </w:tc>
        <w:tc>
          <w:tcPr>
            <w:tcW w:w="1260" w:type="dxa"/>
            <w:vAlign w:val="bottom"/>
            <w:gridSpan w:val="2"/>
            <w:shd w:val="clear" w:color="auto" w:fill="232F84"/>
          </w:tcPr>
          <w:p>
            <w:pPr>
              <w:jc w:val="right"/>
              <w:ind w:right="160"/>
              <w:spacing w:after="0"/>
              <w:rPr>
                <w:sz w:val="20"/>
                <w:szCs w:val="20"/>
                <w:color w:val="auto"/>
              </w:rPr>
            </w:pPr>
            <w:r>
              <w:rPr>
                <w:rFonts w:ascii="Arial" w:cs="Arial" w:eastAsia="Arial" w:hAnsi="Arial"/>
                <w:sz w:val="12"/>
                <w:szCs w:val="12"/>
                <w:b w:val="1"/>
                <w:bCs w:val="1"/>
                <w:color w:val="FFFFFF"/>
              </w:rPr>
              <w:t>October 31, 2020</w:t>
            </w:r>
          </w:p>
        </w:tc>
        <w:tc>
          <w:tcPr>
            <w:tcW w:w="180" w:type="dxa"/>
            <w:vAlign w:val="bottom"/>
            <w:shd w:val="clear" w:color="auto" w:fill="232F84"/>
          </w:tcPr>
          <w:p>
            <w:pPr>
              <w:spacing w:after="0"/>
              <w:rPr>
                <w:sz w:val="14"/>
                <w:szCs w:val="14"/>
                <w:color w:val="auto"/>
              </w:rPr>
            </w:pPr>
          </w:p>
        </w:tc>
        <w:tc>
          <w:tcPr>
            <w:tcW w:w="280" w:type="dxa"/>
            <w:vAlign w:val="bottom"/>
            <w:shd w:val="clear" w:color="auto" w:fill="232F84"/>
          </w:tcPr>
          <w:p>
            <w:pPr>
              <w:spacing w:after="0"/>
              <w:rPr>
                <w:sz w:val="14"/>
                <w:szCs w:val="14"/>
                <w:color w:val="auto"/>
              </w:rPr>
            </w:pPr>
          </w:p>
        </w:tc>
        <w:tc>
          <w:tcPr>
            <w:tcW w:w="900" w:type="dxa"/>
            <w:vAlign w:val="bottom"/>
            <w:shd w:val="clear" w:color="auto" w:fill="232F84"/>
          </w:tcPr>
          <w:p>
            <w:pPr>
              <w:spacing w:after="0"/>
              <w:rPr>
                <w:sz w:val="14"/>
                <w:szCs w:val="14"/>
                <w:color w:val="auto"/>
              </w:rPr>
            </w:pPr>
          </w:p>
        </w:tc>
        <w:tc>
          <w:tcPr>
            <w:tcW w:w="20" w:type="dxa"/>
            <w:vAlign w:val="bottom"/>
            <w:shd w:val="clear" w:color="auto" w:fill="232F84"/>
          </w:tcPr>
          <w:p>
            <w:pPr>
              <w:spacing w:after="0"/>
              <w:rPr>
                <w:sz w:val="14"/>
                <w:szCs w:val="14"/>
                <w:color w:val="auto"/>
              </w:rPr>
            </w:pPr>
          </w:p>
        </w:tc>
      </w:tr>
      <w:tr>
        <w:trPr>
          <w:trHeight w:val="35"/>
        </w:trPr>
        <w:tc>
          <w:tcPr>
            <w:tcW w:w="1800" w:type="dxa"/>
            <w:vAlign w:val="bottom"/>
            <w:shd w:val="clear" w:color="auto" w:fill="232F84"/>
          </w:tcPr>
          <w:p>
            <w:pPr>
              <w:spacing w:after="0"/>
              <w:rPr>
                <w:sz w:val="3"/>
                <w:szCs w:val="3"/>
                <w:color w:val="auto"/>
              </w:rPr>
            </w:pPr>
          </w:p>
        </w:tc>
        <w:tc>
          <w:tcPr>
            <w:tcW w:w="300" w:type="dxa"/>
            <w:vAlign w:val="bottom"/>
            <w:shd w:val="clear" w:color="auto" w:fill="232F84"/>
          </w:tcPr>
          <w:p>
            <w:pPr>
              <w:spacing w:after="0"/>
              <w:rPr>
                <w:sz w:val="3"/>
                <w:szCs w:val="3"/>
                <w:color w:val="auto"/>
              </w:rPr>
            </w:pPr>
          </w:p>
        </w:tc>
        <w:tc>
          <w:tcPr>
            <w:tcW w:w="600" w:type="dxa"/>
            <w:vAlign w:val="bottom"/>
            <w:shd w:val="clear" w:color="auto" w:fill="232F84"/>
          </w:tcPr>
          <w:p>
            <w:pPr>
              <w:spacing w:after="0"/>
              <w:rPr>
                <w:sz w:val="3"/>
                <w:szCs w:val="3"/>
                <w:color w:val="auto"/>
              </w:rPr>
            </w:pPr>
          </w:p>
        </w:tc>
        <w:tc>
          <w:tcPr>
            <w:tcW w:w="12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200" w:type="dxa"/>
            <w:vAlign w:val="bottom"/>
            <w:shd w:val="clear" w:color="auto" w:fill="232F84"/>
          </w:tcPr>
          <w:p>
            <w:pPr>
              <w:spacing w:after="0"/>
              <w:rPr>
                <w:sz w:val="3"/>
                <w:szCs w:val="3"/>
                <w:color w:val="auto"/>
              </w:rPr>
            </w:pPr>
          </w:p>
        </w:tc>
        <w:tc>
          <w:tcPr>
            <w:tcW w:w="1340" w:type="dxa"/>
            <w:vAlign w:val="bottom"/>
            <w:gridSpan w:val="2"/>
            <w:shd w:val="clear" w:color="auto" w:fill="232F84"/>
          </w:tcPr>
          <w:p>
            <w:pPr>
              <w:spacing w:after="0"/>
              <w:rPr>
                <w:sz w:val="3"/>
                <w:szCs w:val="3"/>
                <w:color w:val="auto"/>
              </w:rPr>
            </w:pPr>
          </w:p>
        </w:tc>
        <w:tc>
          <w:tcPr>
            <w:tcW w:w="800" w:type="dxa"/>
            <w:vAlign w:val="bottom"/>
            <w:shd w:val="clear" w:color="auto" w:fill="232F84"/>
          </w:tcPr>
          <w:p>
            <w:pPr>
              <w:spacing w:after="0"/>
              <w:rPr>
                <w:sz w:val="3"/>
                <w:szCs w:val="3"/>
                <w:color w:val="auto"/>
              </w:rPr>
            </w:pPr>
          </w:p>
        </w:tc>
        <w:tc>
          <w:tcPr>
            <w:tcW w:w="660" w:type="dxa"/>
            <w:vAlign w:val="bottom"/>
            <w:shd w:val="clear" w:color="auto" w:fill="232F84"/>
          </w:tcPr>
          <w:p>
            <w:pPr>
              <w:spacing w:after="0"/>
              <w:rPr>
                <w:sz w:val="3"/>
                <w:szCs w:val="3"/>
                <w:color w:val="auto"/>
              </w:rPr>
            </w:pPr>
          </w:p>
        </w:tc>
        <w:tc>
          <w:tcPr>
            <w:tcW w:w="620" w:type="dxa"/>
            <w:vAlign w:val="bottom"/>
            <w:shd w:val="clear" w:color="auto" w:fill="232F84"/>
          </w:tcPr>
          <w:p>
            <w:pPr>
              <w:spacing w:after="0"/>
              <w:rPr>
                <w:sz w:val="3"/>
                <w:szCs w:val="3"/>
                <w:color w:val="auto"/>
              </w:rPr>
            </w:pPr>
          </w:p>
        </w:tc>
        <w:tc>
          <w:tcPr>
            <w:tcW w:w="90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180" w:type="dxa"/>
            <w:vAlign w:val="bottom"/>
            <w:shd w:val="clear" w:color="auto" w:fill="232F84"/>
          </w:tcPr>
          <w:p>
            <w:pPr>
              <w:spacing w:after="0"/>
              <w:rPr>
                <w:sz w:val="3"/>
                <w:szCs w:val="3"/>
                <w:color w:val="auto"/>
              </w:rPr>
            </w:pPr>
          </w:p>
        </w:tc>
        <w:tc>
          <w:tcPr>
            <w:tcW w:w="1180" w:type="dxa"/>
            <w:vAlign w:val="bottom"/>
            <w:gridSpan w:val="2"/>
            <w:shd w:val="clear" w:color="auto" w:fill="232F84"/>
          </w:tcPr>
          <w:p>
            <w:pPr>
              <w:spacing w:after="0"/>
              <w:rPr>
                <w:sz w:val="3"/>
                <w:szCs w:val="3"/>
                <w:color w:val="auto"/>
              </w:rPr>
            </w:pPr>
          </w:p>
        </w:tc>
        <w:tc>
          <w:tcPr>
            <w:tcW w:w="20" w:type="dxa"/>
            <w:vAlign w:val="bottom"/>
            <w:shd w:val="clear" w:color="auto" w:fill="232F84"/>
          </w:tcPr>
          <w:p>
            <w:pPr>
              <w:spacing w:after="0"/>
              <w:rPr>
                <w:sz w:val="3"/>
                <w:szCs w:val="3"/>
                <w:color w:val="auto"/>
              </w:rPr>
            </w:pPr>
          </w:p>
        </w:tc>
      </w:tr>
      <w:tr>
        <w:trPr>
          <w:trHeight w:val="154"/>
        </w:trPr>
        <w:tc>
          <w:tcPr>
            <w:tcW w:w="1800" w:type="dxa"/>
            <w:vAlign w:val="bottom"/>
            <w:shd w:val="clear" w:color="auto" w:fill="232F84"/>
          </w:tcPr>
          <w:p>
            <w:pPr>
              <w:spacing w:after="0"/>
              <w:rPr>
                <w:sz w:val="13"/>
                <w:szCs w:val="13"/>
                <w:color w:val="auto"/>
              </w:rPr>
            </w:pPr>
          </w:p>
        </w:tc>
        <w:tc>
          <w:tcPr>
            <w:tcW w:w="300" w:type="dxa"/>
            <w:vAlign w:val="bottom"/>
            <w:shd w:val="clear" w:color="auto" w:fill="232F84"/>
          </w:tcPr>
          <w:p>
            <w:pPr>
              <w:spacing w:after="0"/>
              <w:rPr>
                <w:sz w:val="13"/>
                <w:szCs w:val="13"/>
                <w:color w:val="auto"/>
              </w:rPr>
            </w:pPr>
          </w:p>
        </w:tc>
        <w:tc>
          <w:tcPr>
            <w:tcW w:w="600" w:type="dxa"/>
            <w:vAlign w:val="bottom"/>
            <w:shd w:val="clear" w:color="auto" w:fill="232F84"/>
          </w:tcPr>
          <w:p>
            <w:pPr>
              <w:spacing w:after="0"/>
              <w:rPr>
                <w:sz w:val="13"/>
                <w:szCs w:val="13"/>
                <w:color w:val="auto"/>
              </w:rPr>
            </w:pPr>
          </w:p>
        </w:tc>
        <w:tc>
          <w:tcPr>
            <w:tcW w:w="120" w:type="dxa"/>
            <w:vAlign w:val="bottom"/>
            <w:shd w:val="clear" w:color="auto" w:fill="232F84"/>
          </w:tcPr>
          <w:p>
            <w:pPr>
              <w:spacing w:after="0"/>
              <w:rPr>
                <w:sz w:val="13"/>
                <w:szCs w:val="13"/>
                <w:color w:val="auto"/>
              </w:rPr>
            </w:pPr>
          </w:p>
        </w:tc>
        <w:tc>
          <w:tcPr>
            <w:tcW w:w="260" w:type="dxa"/>
            <w:vAlign w:val="bottom"/>
            <w:shd w:val="clear" w:color="auto" w:fill="232F84"/>
          </w:tcPr>
          <w:p>
            <w:pPr>
              <w:spacing w:after="0"/>
              <w:rPr>
                <w:sz w:val="13"/>
                <w:szCs w:val="13"/>
                <w:color w:val="auto"/>
              </w:rPr>
            </w:pPr>
          </w:p>
        </w:tc>
        <w:tc>
          <w:tcPr>
            <w:tcW w:w="1000" w:type="dxa"/>
            <w:vAlign w:val="bottom"/>
            <w:shd w:val="clear" w:color="auto" w:fill="232F84"/>
          </w:tcPr>
          <w:p>
            <w:pPr>
              <w:spacing w:after="0"/>
              <w:rPr>
                <w:sz w:val="13"/>
                <w:szCs w:val="13"/>
                <w:color w:val="auto"/>
              </w:rPr>
            </w:pPr>
          </w:p>
        </w:tc>
        <w:tc>
          <w:tcPr>
            <w:tcW w:w="200" w:type="dxa"/>
            <w:vAlign w:val="bottom"/>
            <w:shd w:val="clear" w:color="auto" w:fill="232F84"/>
          </w:tcPr>
          <w:p>
            <w:pPr>
              <w:spacing w:after="0"/>
              <w:rPr>
                <w:sz w:val="13"/>
                <w:szCs w:val="13"/>
                <w:color w:val="auto"/>
              </w:rPr>
            </w:pPr>
          </w:p>
        </w:tc>
        <w:tc>
          <w:tcPr>
            <w:tcW w:w="1340" w:type="dxa"/>
            <w:vAlign w:val="bottom"/>
            <w:gridSpan w:val="2"/>
            <w:shd w:val="clear" w:color="auto" w:fill="232F84"/>
          </w:tcPr>
          <w:p>
            <w:pPr>
              <w:jc w:val="right"/>
              <w:ind w:right="140"/>
              <w:spacing w:after="0"/>
              <w:rPr>
                <w:sz w:val="20"/>
                <w:szCs w:val="20"/>
                <w:color w:val="auto"/>
              </w:rPr>
            </w:pPr>
            <w:r>
              <w:rPr>
                <w:rFonts w:ascii="Arial" w:cs="Arial" w:eastAsia="Arial" w:hAnsi="Arial"/>
                <w:sz w:val="12"/>
                <w:szCs w:val="12"/>
                <w:b w:val="1"/>
                <w:bCs w:val="1"/>
                <w:color w:val="FFFFFF"/>
              </w:rPr>
              <w:t>Loans to equity</w:t>
            </w:r>
          </w:p>
        </w:tc>
        <w:tc>
          <w:tcPr>
            <w:tcW w:w="1460" w:type="dxa"/>
            <w:vAlign w:val="bottom"/>
            <w:gridSpan w:val="2"/>
            <w:shd w:val="clear" w:color="auto" w:fill="232F84"/>
          </w:tcPr>
          <w:p>
            <w:pPr>
              <w:jc w:val="right"/>
              <w:ind w:right="180"/>
              <w:spacing w:after="0"/>
              <w:rPr>
                <w:sz w:val="20"/>
                <w:szCs w:val="20"/>
                <w:color w:val="auto"/>
              </w:rPr>
            </w:pPr>
            <w:r>
              <w:rPr>
                <w:rFonts w:ascii="Arial" w:cs="Arial" w:eastAsia="Arial" w:hAnsi="Arial"/>
                <w:sz w:val="12"/>
                <w:szCs w:val="12"/>
                <w:b w:val="1"/>
                <w:bCs w:val="1"/>
                <w:color w:val="FFFFFF"/>
              </w:rPr>
              <w:t>Accounts payable &amp;</w:t>
            </w:r>
          </w:p>
        </w:tc>
        <w:tc>
          <w:tcPr>
            <w:tcW w:w="620" w:type="dxa"/>
            <w:vAlign w:val="bottom"/>
            <w:shd w:val="clear" w:color="auto" w:fill="232F84"/>
          </w:tcPr>
          <w:p>
            <w:pPr>
              <w:spacing w:after="0"/>
              <w:rPr>
                <w:sz w:val="13"/>
                <w:szCs w:val="13"/>
                <w:color w:val="auto"/>
              </w:rPr>
            </w:pPr>
          </w:p>
        </w:tc>
        <w:tc>
          <w:tcPr>
            <w:tcW w:w="900" w:type="dxa"/>
            <w:vAlign w:val="bottom"/>
            <w:shd w:val="clear" w:color="auto" w:fill="232F84"/>
          </w:tcPr>
          <w:p>
            <w:pPr>
              <w:spacing w:after="0"/>
              <w:rPr>
                <w:sz w:val="13"/>
                <w:szCs w:val="13"/>
                <w:color w:val="auto"/>
              </w:rPr>
            </w:pPr>
          </w:p>
        </w:tc>
        <w:tc>
          <w:tcPr>
            <w:tcW w:w="260" w:type="dxa"/>
            <w:vAlign w:val="bottom"/>
            <w:shd w:val="clear" w:color="auto" w:fill="232F84"/>
          </w:tcPr>
          <w:p>
            <w:pPr>
              <w:spacing w:after="0"/>
              <w:rPr>
                <w:sz w:val="13"/>
                <w:szCs w:val="13"/>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rPr>
              <w:t>Loans to equity</w:t>
            </w:r>
          </w:p>
        </w:tc>
        <w:tc>
          <w:tcPr>
            <w:tcW w:w="180" w:type="dxa"/>
            <w:vAlign w:val="bottom"/>
            <w:shd w:val="clear" w:color="auto" w:fill="232F84"/>
          </w:tcPr>
          <w:p>
            <w:pPr>
              <w:spacing w:after="0"/>
              <w:rPr>
                <w:sz w:val="13"/>
                <w:szCs w:val="13"/>
                <w:color w:val="auto"/>
              </w:rPr>
            </w:pPr>
          </w:p>
        </w:tc>
        <w:tc>
          <w:tcPr>
            <w:tcW w:w="1200" w:type="dxa"/>
            <w:vAlign w:val="bottom"/>
            <w:gridSpan w:val="3"/>
            <w:shd w:val="clear" w:color="auto" w:fill="232F84"/>
          </w:tcPr>
          <w:p>
            <w:pPr>
              <w:jc w:val="right"/>
              <w:ind w:right="20"/>
              <w:spacing w:after="0"/>
              <w:rPr>
                <w:sz w:val="20"/>
                <w:szCs w:val="20"/>
                <w:color w:val="auto"/>
              </w:rPr>
            </w:pPr>
            <w:r>
              <w:rPr>
                <w:rFonts w:ascii="Arial" w:cs="Arial" w:eastAsia="Arial" w:hAnsi="Arial"/>
                <w:sz w:val="12"/>
                <w:szCs w:val="12"/>
                <w:b w:val="1"/>
                <w:bCs w:val="1"/>
                <w:color w:val="FFFFFF"/>
              </w:rPr>
              <w:t>Accounts payable &amp;</w:t>
            </w:r>
          </w:p>
        </w:tc>
      </w:tr>
      <w:tr>
        <w:trPr>
          <w:trHeight w:val="167"/>
        </w:trPr>
        <w:tc>
          <w:tcPr>
            <w:tcW w:w="180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2"/>
                <w:szCs w:val="12"/>
                <w:b w:val="1"/>
                <w:bCs w:val="1"/>
                <w:color w:val="FFFFFF"/>
              </w:rPr>
              <w:t>(In millions)</w:t>
            </w:r>
          </w:p>
        </w:tc>
        <w:tc>
          <w:tcPr>
            <w:tcW w:w="300" w:type="dxa"/>
            <w:vAlign w:val="bottom"/>
            <w:tcBorders>
              <w:bottom w:val="single" w:sz="8" w:color="232F84"/>
            </w:tcBorders>
            <w:shd w:val="clear" w:color="auto" w:fill="232F84"/>
          </w:tcPr>
          <w:p>
            <w:pPr>
              <w:spacing w:after="0"/>
              <w:rPr>
                <w:sz w:val="14"/>
                <w:szCs w:val="14"/>
                <w:color w:val="auto"/>
              </w:rPr>
            </w:pPr>
          </w:p>
        </w:tc>
        <w:tc>
          <w:tcPr>
            <w:tcW w:w="600" w:type="dxa"/>
            <w:vAlign w:val="bottom"/>
            <w:tcBorders>
              <w:bottom w:val="single" w:sz="8" w:color="232F84"/>
            </w:tcBorders>
            <w:shd w:val="clear" w:color="auto" w:fill="232F84"/>
          </w:tcPr>
          <w:p>
            <w:pPr>
              <w:spacing w:after="0"/>
              <w:rPr>
                <w:sz w:val="14"/>
                <w:szCs w:val="14"/>
                <w:color w:val="auto"/>
              </w:rPr>
            </w:pPr>
          </w:p>
        </w:tc>
        <w:tc>
          <w:tcPr>
            <w:tcW w:w="120" w:type="dxa"/>
            <w:vAlign w:val="bottom"/>
            <w:tcBorders>
              <w:bottom w:val="single" w:sz="8" w:color="232F84"/>
            </w:tcBorders>
            <w:shd w:val="clear" w:color="auto" w:fill="232F84"/>
          </w:tcPr>
          <w:p>
            <w:pPr>
              <w:spacing w:after="0"/>
              <w:rPr>
                <w:sz w:val="14"/>
                <w:szCs w:val="14"/>
                <w:color w:val="auto"/>
              </w:rPr>
            </w:pPr>
          </w:p>
        </w:tc>
        <w:tc>
          <w:tcPr>
            <w:tcW w:w="1260" w:type="dxa"/>
            <w:vAlign w:val="bottom"/>
            <w:tcBorders>
              <w:bottom w:val="single" w:sz="8" w:color="232F84"/>
            </w:tcBorders>
            <w:gridSpan w:val="2"/>
            <w:shd w:val="clear" w:color="auto" w:fill="232F84"/>
          </w:tcPr>
          <w:p>
            <w:pPr>
              <w:jc w:val="right"/>
              <w:ind w:right="20"/>
              <w:spacing w:after="0"/>
              <w:rPr>
                <w:sz w:val="20"/>
                <w:szCs w:val="20"/>
                <w:color w:val="auto"/>
              </w:rPr>
            </w:pPr>
            <w:r>
              <w:rPr>
                <w:rFonts w:ascii="Arial" w:cs="Arial" w:eastAsia="Arial" w:hAnsi="Arial"/>
                <w:sz w:val="12"/>
                <w:szCs w:val="12"/>
                <w:b w:val="1"/>
                <w:bCs w:val="1"/>
                <w:color w:val="FFFFFF"/>
                <w:w w:val="99"/>
              </w:rPr>
              <w:t>Accounts receivable</w:t>
            </w:r>
          </w:p>
        </w:tc>
        <w:tc>
          <w:tcPr>
            <w:tcW w:w="200" w:type="dxa"/>
            <w:vAlign w:val="bottom"/>
            <w:tcBorders>
              <w:bottom w:val="single" w:sz="8" w:color="232F84"/>
            </w:tcBorders>
            <w:shd w:val="clear" w:color="auto" w:fill="232F84"/>
          </w:tcPr>
          <w:p>
            <w:pPr>
              <w:spacing w:after="0"/>
              <w:rPr>
                <w:sz w:val="14"/>
                <w:szCs w:val="14"/>
                <w:color w:val="auto"/>
              </w:rPr>
            </w:pPr>
          </w:p>
        </w:tc>
        <w:tc>
          <w:tcPr>
            <w:tcW w:w="1340" w:type="dxa"/>
            <w:vAlign w:val="bottom"/>
            <w:tcBorders>
              <w:bottom w:val="single" w:sz="8" w:color="232F84"/>
            </w:tcBorders>
            <w:gridSpan w:val="2"/>
            <w:shd w:val="clear" w:color="auto" w:fill="232F84"/>
          </w:tcPr>
          <w:p>
            <w:pPr>
              <w:jc w:val="right"/>
              <w:ind w:right="140"/>
              <w:spacing w:after="0"/>
              <w:rPr>
                <w:sz w:val="20"/>
                <w:szCs w:val="20"/>
                <w:color w:val="auto"/>
              </w:rPr>
            </w:pPr>
            <w:r>
              <w:rPr>
                <w:rFonts w:ascii="Arial" w:cs="Arial" w:eastAsia="Arial" w:hAnsi="Arial"/>
                <w:sz w:val="12"/>
                <w:szCs w:val="12"/>
                <w:b w:val="1"/>
                <w:bCs w:val="1"/>
                <w:color w:val="FFFFFF"/>
              </w:rPr>
              <w:t>method investees</w:t>
            </w:r>
          </w:p>
        </w:tc>
        <w:tc>
          <w:tcPr>
            <w:tcW w:w="1460" w:type="dxa"/>
            <w:vAlign w:val="bottom"/>
            <w:tcBorders>
              <w:bottom w:val="single" w:sz="8" w:color="232F84"/>
            </w:tcBorders>
            <w:gridSpan w:val="2"/>
            <w:shd w:val="clear" w:color="auto" w:fill="232F84"/>
          </w:tcPr>
          <w:p>
            <w:pPr>
              <w:jc w:val="right"/>
              <w:ind w:right="180"/>
              <w:spacing w:after="0"/>
              <w:rPr>
                <w:sz w:val="20"/>
                <w:szCs w:val="20"/>
                <w:color w:val="auto"/>
              </w:rPr>
            </w:pPr>
            <w:r>
              <w:rPr>
                <w:rFonts w:ascii="Arial" w:cs="Arial" w:eastAsia="Arial" w:hAnsi="Arial"/>
                <w:sz w:val="12"/>
                <w:szCs w:val="12"/>
                <w:b w:val="1"/>
                <w:bCs w:val="1"/>
                <w:color w:val="FFFFFF"/>
              </w:rPr>
              <w:t>accrued expenses</w:t>
            </w:r>
          </w:p>
        </w:tc>
        <w:tc>
          <w:tcPr>
            <w:tcW w:w="1520" w:type="dxa"/>
            <w:vAlign w:val="bottom"/>
            <w:tcBorders>
              <w:bottom w:val="single" w:sz="8" w:color="232F84"/>
            </w:tcBorders>
            <w:gridSpan w:val="2"/>
            <w:shd w:val="clear" w:color="auto" w:fill="232F84"/>
          </w:tcPr>
          <w:p>
            <w:pPr>
              <w:jc w:val="right"/>
              <w:ind w:right="140"/>
              <w:spacing w:after="0"/>
              <w:rPr>
                <w:sz w:val="20"/>
                <w:szCs w:val="20"/>
                <w:color w:val="auto"/>
              </w:rPr>
            </w:pPr>
            <w:r>
              <w:rPr>
                <w:rFonts w:ascii="Arial" w:cs="Arial" w:eastAsia="Arial" w:hAnsi="Arial"/>
                <w:sz w:val="12"/>
                <w:szCs w:val="12"/>
                <w:b w:val="1"/>
                <w:bCs w:val="1"/>
                <w:color w:val="FFFFFF"/>
              </w:rPr>
              <w:t>Accounts receivable</w:t>
            </w:r>
          </w:p>
        </w:tc>
        <w:tc>
          <w:tcPr>
            <w:tcW w:w="1260" w:type="dxa"/>
            <w:vAlign w:val="bottom"/>
            <w:tcBorders>
              <w:bottom w:val="single" w:sz="8" w:color="232F84"/>
            </w:tcBorders>
            <w:gridSpan w:val="2"/>
            <w:shd w:val="clear" w:color="auto" w:fill="232F84"/>
          </w:tcPr>
          <w:p>
            <w:pPr>
              <w:jc w:val="right"/>
              <w:spacing w:after="0"/>
              <w:rPr>
                <w:sz w:val="20"/>
                <w:szCs w:val="20"/>
                <w:color w:val="auto"/>
              </w:rPr>
            </w:pPr>
            <w:r>
              <w:rPr>
                <w:rFonts w:ascii="Arial" w:cs="Arial" w:eastAsia="Arial" w:hAnsi="Arial"/>
                <w:sz w:val="12"/>
                <w:szCs w:val="12"/>
                <w:b w:val="1"/>
                <w:bCs w:val="1"/>
                <w:color w:val="FFFFFF"/>
              </w:rPr>
              <w:t>method investees</w:t>
            </w:r>
          </w:p>
        </w:tc>
        <w:tc>
          <w:tcPr>
            <w:tcW w:w="180" w:type="dxa"/>
            <w:vAlign w:val="bottom"/>
            <w:tcBorders>
              <w:bottom w:val="single" w:sz="8" w:color="232F84"/>
            </w:tcBorders>
            <w:shd w:val="clear" w:color="auto" w:fill="232F84"/>
          </w:tcPr>
          <w:p>
            <w:pPr>
              <w:spacing w:after="0"/>
              <w:rPr>
                <w:sz w:val="14"/>
                <w:szCs w:val="14"/>
                <w:color w:val="auto"/>
              </w:rPr>
            </w:pPr>
          </w:p>
        </w:tc>
        <w:tc>
          <w:tcPr>
            <w:tcW w:w="1200" w:type="dxa"/>
            <w:vAlign w:val="bottom"/>
            <w:tcBorders>
              <w:bottom w:val="single" w:sz="8" w:color="232F84"/>
            </w:tcBorders>
            <w:gridSpan w:val="3"/>
            <w:shd w:val="clear" w:color="auto" w:fill="232F84"/>
          </w:tcPr>
          <w:p>
            <w:pPr>
              <w:jc w:val="right"/>
              <w:ind w:right="20"/>
              <w:spacing w:after="0"/>
              <w:rPr>
                <w:sz w:val="20"/>
                <w:szCs w:val="20"/>
                <w:color w:val="auto"/>
              </w:rPr>
            </w:pPr>
            <w:r>
              <w:rPr>
                <w:rFonts w:ascii="Arial" w:cs="Arial" w:eastAsia="Arial" w:hAnsi="Arial"/>
                <w:sz w:val="12"/>
                <w:szCs w:val="12"/>
                <w:b w:val="1"/>
                <w:bCs w:val="1"/>
                <w:color w:val="FFFFFF"/>
              </w:rPr>
              <w:t>accrued expenses</w:t>
            </w:r>
          </w:p>
        </w:tc>
      </w:tr>
      <w:tr>
        <w:trPr>
          <w:trHeight w:val="173"/>
        </w:trPr>
        <w:tc>
          <w:tcPr>
            <w:tcW w:w="180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300" w:type="dxa"/>
            <w:vAlign w:val="bottom"/>
            <w:tcBorders>
              <w:bottom w:val="single" w:sz="8" w:color="43C0B9"/>
            </w:tcBorders>
            <w:shd w:val="clear" w:color="auto" w:fill="43C0B9"/>
          </w:tcPr>
          <w:p>
            <w:pPr>
              <w:spacing w:after="0"/>
              <w:rPr>
                <w:sz w:val="15"/>
                <w:szCs w:val="15"/>
                <w:color w:val="auto"/>
              </w:rPr>
            </w:pPr>
          </w:p>
        </w:tc>
        <w:tc>
          <w:tcPr>
            <w:tcW w:w="600" w:type="dxa"/>
            <w:vAlign w:val="bottom"/>
            <w:tcBorders>
              <w:bottom w:val="single" w:sz="8" w:color="43C0B9"/>
            </w:tcBorders>
            <w:shd w:val="clear" w:color="auto" w:fill="43C0B9"/>
          </w:tcPr>
          <w:p>
            <w:pPr>
              <w:spacing w:after="0"/>
              <w:rPr>
                <w:sz w:val="15"/>
                <w:szCs w:val="15"/>
                <w:color w:val="auto"/>
              </w:rPr>
            </w:pPr>
          </w:p>
        </w:tc>
        <w:tc>
          <w:tcPr>
            <w:tcW w:w="12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960" w:type="dxa"/>
            <w:vAlign w:val="bottom"/>
            <w:tcBorders>
              <w:bottom w:val="single" w:sz="8" w:color="43C0B9"/>
            </w:tcBorders>
            <w:shd w:val="clear" w:color="auto" w:fill="43C0B9"/>
          </w:tcPr>
          <w:p>
            <w:pPr>
              <w:spacing w:after="0"/>
              <w:rPr>
                <w:sz w:val="15"/>
                <w:szCs w:val="15"/>
                <w:color w:val="auto"/>
              </w:rPr>
            </w:pPr>
          </w:p>
        </w:tc>
        <w:tc>
          <w:tcPr>
            <w:tcW w:w="380" w:type="dxa"/>
            <w:vAlign w:val="bottom"/>
            <w:tcBorders>
              <w:bottom w:val="single" w:sz="8" w:color="43C0B9"/>
            </w:tcBorders>
            <w:shd w:val="clear" w:color="auto" w:fill="43C0B9"/>
          </w:tcPr>
          <w:p>
            <w:pPr>
              <w:spacing w:after="0"/>
              <w:rPr>
                <w:sz w:val="15"/>
                <w:szCs w:val="15"/>
                <w:color w:val="auto"/>
              </w:rPr>
            </w:pPr>
          </w:p>
        </w:tc>
        <w:tc>
          <w:tcPr>
            <w:tcW w:w="80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20" w:type="dxa"/>
            <w:vAlign w:val="bottom"/>
            <w:tcBorders>
              <w:bottom w:val="single" w:sz="8" w:color="43C0B9"/>
            </w:tcBorders>
            <w:shd w:val="clear" w:color="auto" w:fill="43C0B9"/>
          </w:tcPr>
          <w:p>
            <w:pPr>
              <w:spacing w:after="0"/>
              <w:rPr>
                <w:sz w:val="15"/>
                <w:szCs w:val="15"/>
                <w:color w:val="auto"/>
              </w:rPr>
            </w:pPr>
          </w:p>
        </w:tc>
        <w:tc>
          <w:tcPr>
            <w:tcW w:w="90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180" w:type="dxa"/>
            <w:vAlign w:val="bottom"/>
            <w:tcBorders>
              <w:bottom w:val="single" w:sz="8" w:color="43C0B9"/>
            </w:tcBorders>
            <w:shd w:val="clear" w:color="auto" w:fill="43C0B9"/>
          </w:tcPr>
          <w:p>
            <w:pPr>
              <w:spacing w:after="0"/>
              <w:rPr>
                <w:sz w:val="15"/>
                <w:szCs w:val="15"/>
                <w:color w:val="auto"/>
              </w:rPr>
            </w:pPr>
          </w:p>
        </w:tc>
        <w:tc>
          <w:tcPr>
            <w:tcW w:w="280" w:type="dxa"/>
            <w:vAlign w:val="bottom"/>
            <w:tcBorders>
              <w:bottom w:val="single" w:sz="8" w:color="43C0B9"/>
            </w:tcBorders>
            <w:shd w:val="clear" w:color="auto" w:fill="43C0B9"/>
          </w:tcPr>
          <w:p>
            <w:pPr>
              <w:spacing w:after="0"/>
              <w:rPr>
                <w:sz w:val="15"/>
                <w:szCs w:val="15"/>
                <w:color w:val="auto"/>
              </w:rPr>
            </w:pPr>
          </w:p>
        </w:tc>
        <w:tc>
          <w:tcPr>
            <w:tcW w:w="900" w:type="dxa"/>
            <w:vAlign w:val="bottom"/>
            <w:tcBorders>
              <w:bottom w:val="single" w:sz="8" w:color="43C0B9"/>
            </w:tcBorders>
            <w:shd w:val="clear" w:color="auto" w:fill="43C0B9"/>
          </w:tcPr>
          <w:p>
            <w:pPr>
              <w:spacing w:after="0"/>
              <w:rPr>
                <w:sz w:val="15"/>
                <w:szCs w:val="15"/>
                <w:color w:val="auto"/>
              </w:rPr>
            </w:pPr>
          </w:p>
        </w:tc>
        <w:tc>
          <w:tcPr>
            <w:tcW w:w="20" w:type="dxa"/>
            <w:vAlign w:val="bottom"/>
            <w:tcBorders>
              <w:bottom w:val="single" w:sz="8" w:color="43C0B9"/>
            </w:tcBorders>
            <w:shd w:val="clear" w:color="auto" w:fill="43C0B9"/>
          </w:tcPr>
          <w:p>
            <w:pPr>
              <w:spacing w:after="0"/>
              <w:rPr>
                <w:sz w:val="15"/>
                <w:szCs w:val="15"/>
                <w:color w:val="auto"/>
              </w:rPr>
            </w:pPr>
          </w:p>
        </w:tc>
      </w:tr>
      <w:tr>
        <w:trPr>
          <w:trHeight w:val="165"/>
        </w:trPr>
        <w:tc>
          <w:tcPr>
            <w:tcW w:w="180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3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0.9</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   $</w:t>
            </w:r>
          </w:p>
        </w:tc>
        <w:tc>
          <w:tcPr>
            <w:tcW w:w="800" w:type="dxa"/>
            <w:vAlign w:val="bottom"/>
          </w:tcPr>
          <w:p>
            <w:pPr>
              <w:spacing w:after="0"/>
              <w:rPr>
                <w:sz w:val="14"/>
                <w:szCs w:val="14"/>
                <w:color w:val="auto"/>
              </w:rPr>
            </w:pP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   $</w:t>
            </w:r>
          </w:p>
        </w:tc>
        <w:tc>
          <w:tcPr>
            <w:tcW w:w="26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1800" w:type="dxa"/>
            <w:vAlign w:val="bottom"/>
            <w:tcBorders>
              <w:bottom w:val="single" w:sz="8" w:color="43C0B9"/>
            </w:tcBorders>
            <w:shd w:val="clear" w:color="auto" w:fill="43C0B9"/>
          </w:tcPr>
          <w:p>
            <w:pPr>
              <w:ind w:left="120"/>
              <w:spacing w:after="0"/>
              <w:rPr>
                <w:sz w:val="20"/>
                <w:szCs w:val="20"/>
                <w:color w:val="auto"/>
              </w:rPr>
            </w:pPr>
            <w:r>
              <w:rPr>
                <w:rFonts w:ascii="Arial" w:cs="Arial" w:eastAsia="Arial" w:hAnsi="Arial"/>
                <w:sz w:val="12"/>
                <w:szCs w:val="12"/>
                <w:color w:val="auto"/>
              </w:rPr>
              <w:t>Mr. Avocado</w:t>
            </w:r>
          </w:p>
        </w:tc>
        <w:tc>
          <w:tcPr>
            <w:tcW w:w="300" w:type="dxa"/>
            <w:vAlign w:val="bottom"/>
            <w:tcBorders>
              <w:bottom w:val="single" w:sz="8" w:color="43C0B9"/>
            </w:tcBorders>
            <w:shd w:val="clear" w:color="auto" w:fill="43C0B9"/>
          </w:tcPr>
          <w:p>
            <w:pPr>
              <w:spacing w:after="0"/>
              <w:rPr>
                <w:sz w:val="15"/>
                <w:szCs w:val="15"/>
                <w:color w:val="auto"/>
              </w:rPr>
            </w:pPr>
          </w:p>
        </w:tc>
        <w:tc>
          <w:tcPr>
            <w:tcW w:w="600" w:type="dxa"/>
            <w:vAlign w:val="bottom"/>
            <w:tcBorders>
              <w:bottom w:val="single" w:sz="8" w:color="43C0B9"/>
            </w:tcBorders>
            <w:shd w:val="clear" w:color="auto" w:fill="43C0B9"/>
          </w:tcPr>
          <w:p>
            <w:pPr>
              <w:spacing w:after="0"/>
              <w:rPr>
                <w:sz w:val="15"/>
                <w:szCs w:val="15"/>
                <w:color w:val="auto"/>
              </w:rPr>
            </w:pPr>
          </w:p>
        </w:tc>
        <w:tc>
          <w:tcPr>
            <w:tcW w:w="12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jc w:val="right"/>
              <w:ind w:right="60"/>
              <w:spacing w:after="0"/>
              <w:rPr>
                <w:sz w:val="20"/>
                <w:szCs w:val="20"/>
                <w:color w:val="auto"/>
              </w:rPr>
            </w:pPr>
            <w:r>
              <w:rPr>
                <w:rFonts w:ascii="Arial" w:cs="Arial" w:eastAsia="Arial" w:hAnsi="Arial"/>
                <w:sz w:val="12"/>
                <w:szCs w:val="12"/>
                <w:color w:val="auto"/>
              </w:rPr>
              <w:t>1.7</w:t>
            </w:r>
          </w:p>
        </w:tc>
        <w:tc>
          <w:tcPr>
            <w:tcW w:w="200" w:type="dxa"/>
            <w:vAlign w:val="bottom"/>
            <w:tcBorders>
              <w:bottom w:val="single" w:sz="8" w:color="43C0B9"/>
            </w:tcBorders>
            <w:shd w:val="clear" w:color="auto" w:fill="43C0B9"/>
          </w:tcPr>
          <w:p>
            <w:pPr>
              <w:spacing w:after="0"/>
              <w:rPr>
                <w:sz w:val="15"/>
                <w:szCs w:val="15"/>
                <w:color w:val="auto"/>
              </w:rPr>
            </w:pPr>
          </w:p>
        </w:tc>
        <w:tc>
          <w:tcPr>
            <w:tcW w:w="960" w:type="dxa"/>
            <w:vAlign w:val="bottom"/>
            <w:tcBorders>
              <w:bottom w:val="single" w:sz="8" w:color="43C0B9"/>
            </w:tcBorders>
            <w:shd w:val="clear" w:color="auto" w:fill="43C0B9"/>
          </w:tcPr>
          <w:p>
            <w:pPr>
              <w:spacing w:after="0"/>
              <w:rPr>
                <w:sz w:val="15"/>
                <w:szCs w:val="15"/>
                <w:color w:val="auto"/>
              </w:rPr>
            </w:pPr>
          </w:p>
        </w:tc>
        <w:tc>
          <w:tcPr>
            <w:tcW w:w="380" w:type="dxa"/>
            <w:vAlign w:val="bottom"/>
            <w:tcBorders>
              <w:bottom w:val="single" w:sz="8" w:color="43C0B9"/>
            </w:tcBorders>
            <w:shd w:val="clear" w:color="auto" w:fill="43C0B9"/>
          </w:tcPr>
          <w:p>
            <w:pPr>
              <w:jc w:val="right"/>
              <w:ind w:right="18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20" w:type="dxa"/>
            <w:vAlign w:val="bottom"/>
            <w:tcBorders>
              <w:bottom w:val="single" w:sz="8" w:color="43C0B9"/>
            </w:tcBorders>
            <w:shd w:val="clear" w:color="auto" w:fill="43C0B9"/>
          </w:tcPr>
          <w:p>
            <w:pPr>
              <w:spacing w:after="0"/>
              <w:rPr>
                <w:sz w:val="15"/>
                <w:szCs w:val="15"/>
                <w:color w:val="auto"/>
              </w:rPr>
            </w:pPr>
          </w:p>
        </w:tc>
        <w:tc>
          <w:tcPr>
            <w:tcW w:w="900" w:type="dxa"/>
            <w:vAlign w:val="bottom"/>
            <w:tcBorders>
              <w:bottom w:val="single" w:sz="8" w:color="43C0B9"/>
            </w:tcBorders>
            <w:shd w:val="clear" w:color="auto" w:fill="43C0B9"/>
          </w:tcPr>
          <w:p>
            <w:pPr>
              <w:jc w:val="right"/>
              <w:ind w:right="200"/>
              <w:spacing w:after="0"/>
              <w:rPr>
                <w:sz w:val="20"/>
                <w:szCs w:val="20"/>
                <w:color w:val="auto"/>
              </w:rPr>
            </w:pPr>
            <w:r>
              <w:rPr>
                <w:rFonts w:ascii="Arial" w:cs="Arial" w:eastAsia="Arial" w:hAnsi="Arial"/>
                <w:sz w:val="12"/>
                <w:szCs w:val="12"/>
                <w:color w:val="auto"/>
              </w:rPr>
              <w:t>0.6</w:t>
            </w:r>
          </w:p>
        </w:tc>
        <w:tc>
          <w:tcPr>
            <w:tcW w:w="26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43C0B9"/>
            </w:tcBorders>
            <w:shd w:val="clear" w:color="auto" w:fill="43C0B9"/>
          </w:tcPr>
          <w:p>
            <w:pPr>
              <w:spacing w:after="0"/>
              <w:rPr>
                <w:sz w:val="15"/>
                <w:szCs w:val="15"/>
                <w:color w:val="auto"/>
              </w:rPr>
            </w:pPr>
          </w:p>
        </w:tc>
        <w:tc>
          <w:tcPr>
            <w:tcW w:w="280" w:type="dxa"/>
            <w:vAlign w:val="bottom"/>
            <w:tcBorders>
              <w:bottom w:val="single" w:sz="8" w:color="43C0B9"/>
            </w:tcBorders>
            <w:shd w:val="clear" w:color="auto" w:fill="43C0B9"/>
          </w:tcPr>
          <w:p>
            <w:pPr>
              <w:spacing w:after="0"/>
              <w:rPr>
                <w:sz w:val="15"/>
                <w:szCs w:val="15"/>
                <w:color w:val="auto"/>
              </w:rPr>
            </w:pPr>
          </w:p>
        </w:tc>
        <w:tc>
          <w:tcPr>
            <w:tcW w:w="920" w:type="dxa"/>
            <w:vAlign w:val="bottom"/>
            <w:tcBorders>
              <w:bottom w:val="single" w:sz="8" w:color="43C0B9"/>
            </w:tcBorders>
            <w:gridSpan w:val="2"/>
            <w:shd w:val="clear" w:color="auto" w:fill="43C0B9"/>
          </w:tcPr>
          <w:p>
            <w:pPr>
              <w:jc w:val="right"/>
              <w:ind w:right="60"/>
              <w:spacing w:after="0"/>
              <w:rPr>
                <w:sz w:val="20"/>
                <w:szCs w:val="20"/>
                <w:color w:val="auto"/>
              </w:rPr>
            </w:pPr>
            <w:r>
              <w:rPr>
                <w:rFonts w:ascii="Arial" w:cs="Arial" w:eastAsia="Arial" w:hAnsi="Arial"/>
                <w:sz w:val="12"/>
                <w:szCs w:val="12"/>
                <w:color w:val="auto"/>
              </w:rPr>
              <w:t>—</w:t>
            </w:r>
          </w:p>
        </w:tc>
      </w:tr>
      <w:tr>
        <w:trPr>
          <w:trHeight w:val="193"/>
        </w:trPr>
        <w:tc>
          <w:tcPr>
            <w:tcW w:w="1800" w:type="dxa"/>
            <w:vAlign w:val="bottom"/>
          </w:tcPr>
          <w:p>
            <w:pPr>
              <w:ind w:left="120"/>
              <w:spacing w:after="0"/>
              <w:rPr>
                <w:sz w:val="20"/>
                <w:szCs w:val="20"/>
                <w:color w:val="auto"/>
              </w:rPr>
            </w:pPr>
            <w:r>
              <w:rPr>
                <w:rFonts w:ascii="Arial" w:cs="Arial" w:eastAsia="Arial" w:hAnsi="Arial"/>
                <w:sz w:val="12"/>
                <w:szCs w:val="12"/>
                <w:color w:val="auto"/>
              </w:rPr>
              <w:t>Moruga</w:t>
            </w:r>
            <w:r>
              <w:rPr>
                <w:rFonts w:ascii="Arial" w:cs="Arial" w:eastAsia="Arial" w:hAnsi="Arial"/>
                <w:sz w:val="15"/>
                <w:szCs w:val="15"/>
                <w:color w:val="auto"/>
                <w:vertAlign w:val="superscript"/>
              </w:rPr>
              <w:t>(1)</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2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3.0</w:t>
            </w:r>
          </w:p>
        </w:tc>
        <w:tc>
          <w:tcPr>
            <w:tcW w:w="800" w:type="dxa"/>
            <w:vAlign w:val="bottom"/>
          </w:tcPr>
          <w:p>
            <w:pPr>
              <w:spacing w:after="0"/>
              <w:rPr>
                <w:sz w:val="16"/>
                <w:szCs w:val="16"/>
                <w:color w:val="auto"/>
              </w:rPr>
            </w:pPr>
          </w:p>
        </w:tc>
        <w:tc>
          <w:tcPr>
            <w:tcW w:w="6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93"/>
        </w:trPr>
        <w:tc>
          <w:tcPr>
            <w:tcW w:w="1800" w:type="dxa"/>
            <w:vAlign w:val="bottom"/>
            <w:shd w:val="clear" w:color="auto" w:fill="43C0B9"/>
          </w:tcPr>
          <w:p>
            <w:pPr>
              <w:ind w:left="120"/>
              <w:spacing w:after="0"/>
              <w:rPr>
                <w:sz w:val="20"/>
                <w:szCs w:val="20"/>
                <w:color w:val="auto"/>
              </w:rPr>
            </w:pPr>
            <w:r>
              <w:rPr>
                <w:rFonts w:ascii="Arial" w:cs="Arial" w:eastAsia="Arial" w:hAnsi="Arial"/>
                <w:sz w:val="12"/>
                <w:szCs w:val="12"/>
                <w:color w:val="auto"/>
              </w:rPr>
              <w:t>Copaltas</w:t>
            </w:r>
            <w:r>
              <w:rPr>
                <w:rFonts w:ascii="Arial" w:cs="Arial" w:eastAsia="Arial" w:hAnsi="Arial"/>
                <w:sz w:val="15"/>
                <w:szCs w:val="15"/>
                <w:color w:val="auto"/>
                <w:vertAlign w:val="superscript"/>
              </w:rPr>
              <w:t>(4)</w:t>
            </w:r>
          </w:p>
        </w:tc>
        <w:tc>
          <w:tcPr>
            <w:tcW w:w="300" w:type="dxa"/>
            <w:vAlign w:val="bottom"/>
            <w:shd w:val="clear" w:color="auto" w:fill="43C0B9"/>
          </w:tcPr>
          <w:p>
            <w:pPr>
              <w:spacing w:after="0"/>
              <w:rPr>
                <w:sz w:val="16"/>
                <w:szCs w:val="16"/>
                <w:color w:val="auto"/>
              </w:rPr>
            </w:pPr>
          </w:p>
        </w:tc>
        <w:tc>
          <w:tcPr>
            <w:tcW w:w="600" w:type="dxa"/>
            <w:vAlign w:val="bottom"/>
            <w:shd w:val="clear" w:color="auto" w:fill="43C0B9"/>
          </w:tcPr>
          <w:p>
            <w:pPr>
              <w:spacing w:after="0"/>
              <w:rPr>
                <w:sz w:val="16"/>
                <w:szCs w:val="16"/>
                <w:color w:val="auto"/>
              </w:rPr>
            </w:pPr>
          </w:p>
        </w:tc>
        <w:tc>
          <w:tcPr>
            <w:tcW w:w="120" w:type="dxa"/>
            <w:vAlign w:val="bottom"/>
            <w:shd w:val="clear" w:color="auto" w:fill="43C0B9"/>
          </w:tcPr>
          <w:p>
            <w:pPr>
              <w:spacing w:after="0"/>
              <w:rPr>
                <w:sz w:val="16"/>
                <w:szCs w:val="16"/>
                <w:color w:val="auto"/>
              </w:rPr>
            </w:pP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shd w:val="clear" w:color="auto" w:fill="43C0B9"/>
          </w:tcPr>
          <w:p>
            <w:pPr>
              <w:spacing w:after="0"/>
              <w:rPr>
                <w:sz w:val="16"/>
                <w:szCs w:val="16"/>
                <w:color w:val="auto"/>
              </w:rPr>
            </w:pPr>
          </w:p>
        </w:tc>
        <w:tc>
          <w:tcPr>
            <w:tcW w:w="1340" w:type="dxa"/>
            <w:vAlign w:val="bottom"/>
            <w:gridSpan w:val="2"/>
            <w:shd w:val="clear" w:color="auto" w:fill="43C0B9"/>
          </w:tcPr>
          <w:p>
            <w:pPr>
              <w:jc w:val="right"/>
              <w:ind w:right="180"/>
              <w:spacing w:after="0"/>
              <w:rPr>
                <w:sz w:val="20"/>
                <w:szCs w:val="20"/>
                <w:color w:val="auto"/>
              </w:rPr>
            </w:pPr>
            <w:r>
              <w:rPr>
                <w:rFonts w:ascii="Arial" w:cs="Arial" w:eastAsia="Arial" w:hAnsi="Arial"/>
                <w:sz w:val="12"/>
                <w:szCs w:val="12"/>
                <w:color w:val="auto"/>
              </w:rPr>
              <w:t>2.0</w:t>
            </w:r>
          </w:p>
        </w:tc>
        <w:tc>
          <w:tcPr>
            <w:tcW w:w="800" w:type="dxa"/>
            <w:vAlign w:val="bottom"/>
            <w:shd w:val="clear" w:color="auto" w:fill="43C0B9"/>
          </w:tcPr>
          <w:p>
            <w:pPr>
              <w:spacing w:after="0"/>
              <w:rPr>
                <w:sz w:val="16"/>
                <w:szCs w:val="16"/>
                <w:color w:val="auto"/>
              </w:rPr>
            </w:pPr>
          </w:p>
        </w:tc>
        <w:tc>
          <w:tcPr>
            <w:tcW w:w="660" w:type="dxa"/>
            <w:vAlign w:val="bottom"/>
            <w:shd w:val="clear" w:color="auto" w:fill="43C0B9"/>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43C0B9"/>
          </w:tcPr>
          <w:p>
            <w:pPr>
              <w:spacing w:after="0"/>
              <w:rPr>
                <w:sz w:val="16"/>
                <w:szCs w:val="16"/>
                <w:color w:val="auto"/>
              </w:rPr>
            </w:pPr>
          </w:p>
        </w:tc>
        <w:tc>
          <w:tcPr>
            <w:tcW w:w="900" w:type="dxa"/>
            <w:vAlign w:val="bottom"/>
            <w:shd w:val="clear" w:color="auto" w:fill="43C0B9"/>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43C0B9"/>
          </w:tcPr>
          <w:p>
            <w:pPr>
              <w:spacing w:after="0"/>
              <w:rPr>
                <w:sz w:val="16"/>
                <w:szCs w:val="16"/>
                <w:color w:val="auto"/>
              </w:rPr>
            </w:pPr>
          </w:p>
        </w:tc>
        <w:tc>
          <w:tcPr>
            <w:tcW w:w="280" w:type="dxa"/>
            <w:vAlign w:val="bottom"/>
            <w:shd w:val="clear" w:color="auto" w:fill="43C0B9"/>
          </w:tcPr>
          <w:p>
            <w:pPr>
              <w:spacing w:after="0"/>
              <w:rPr>
                <w:sz w:val="16"/>
                <w:szCs w:val="16"/>
                <w:color w:val="auto"/>
              </w:rPr>
            </w:pPr>
          </w:p>
        </w:tc>
        <w:tc>
          <w:tcPr>
            <w:tcW w:w="920" w:type="dxa"/>
            <w:vAlign w:val="bottom"/>
            <w:gridSpan w:val="2"/>
            <w:shd w:val="clear" w:color="auto" w:fill="43C0B9"/>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800" w:type="dxa"/>
            <w:vAlign w:val="bottom"/>
            <w:shd w:val="clear" w:color="auto" w:fill="43C0B9"/>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(2)</w:t>
            </w:r>
          </w:p>
        </w:tc>
        <w:tc>
          <w:tcPr>
            <w:tcW w:w="300" w:type="dxa"/>
            <w:vAlign w:val="bottom"/>
            <w:shd w:val="clear" w:color="auto" w:fill="43C0B9"/>
          </w:tcPr>
          <w:p>
            <w:pPr>
              <w:spacing w:after="0"/>
              <w:rPr>
                <w:sz w:val="16"/>
                <w:szCs w:val="16"/>
                <w:color w:val="auto"/>
              </w:rPr>
            </w:pPr>
          </w:p>
        </w:tc>
        <w:tc>
          <w:tcPr>
            <w:tcW w:w="600" w:type="dxa"/>
            <w:vAlign w:val="bottom"/>
            <w:shd w:val="clear" w:color="auto" w:fill="43C0B9"/>
          </w:tcPr>
          <w:p>
            <w:pPr>
              <w:spacing w:after="0"/>
              <w:rPr>
                <w:sz w:val="16"/>
                <w:szCs w:val="16"/>
                <w:color w:val="auto"/>
              </w:rPr>
            </w:pPr>
          </w:p>
        </w:tc>
        <w:tc>
          <w:tcPr>
            <w:tcW w:w="120" w:type="dxa"/>
            <w:vAlign w:val="bottom"/>
            <w:shd w:val="clear" w:color="auto" w:fill="43C0B9"/>
          </w:tcPr>
          <w:p>
            <w:pPr>
              <w:spacing w:after="0"/>
              <w:rPr>
                <w:sz w:val="16"/>
                <w:szCs w:val="16"/>
                <w:color w:val="auto"/>
              </w:rPr>
            </w:pP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60"/>
              <w:spacing w:after="0"/>
              <w:rPr>
                <w:sz w:val="20"/>
                <w:szCs w:val="20"/>
                <w:color w:val="auto"/>
              </w:rPr>
            </w:pPr>
            <w:r>
              <w:rPr>
                <w:rFonts w:ascii="Arial" w:cs="Arial" w:eastAsia="Arial" w:hAnsi="Arial"/>
                <w:sz w:val="12"/>
                <w:szCs w:val="12"/>
                <w:color w:val="auto"/>
              </w:rPr>
              <w:t>0.4</w:t>
            </w:r>
          </w:p>
        </w:tc>
        <w:tc>
          <w:tcPr>
            <w:tcW w:w="200" w:type="dxa"/>
            <w:vAlign w:val="bottom"/>
            <w:shd w:val="clear" w:color="auto" w:fill="43C0B9"/>
          </w:tcPr>
          <w:p>
            <w:pPr>
              <w:spacing w:after="0"/>
              <w:rPr>
                <w:sz w:val="16"/>
                <w:szCs w:val="16"/>
                <w:color w:val="auto"/>
              </w:rPr>
            </w:pPr>
          </w:p>
        </w:tc>
        <w:tc>
          <w:tcPr>
            <w:tcW w:w="960" w:type="dxa"/>
            <w:vAlign w:val="bottom"/>
            <w:shd w:val="clear" w:color="auto" w:fill="43C0B9"/>
          </w:tcPr>
          <w:p>
            <w:pPr>
              <w:spacing w:after="0"/>
              <w:rPr>
                <w:sz w:val="16"/>
                <w:szCs w:val="16"/>
                <w:color w:val="auto"/>
              </w:rPr>
            </w:pPr>
          </w:p>
        </w:tc>
        <w:tc>
          <w:tcPr>
            <w:tcW w:w="380" w:type="dxa"/>
            <w:vAlign w:val="bottom"/>
            <w:shd w:val="clear" w:color="auto" w:fill="43C0B9"/>
          </w:tcPr>
          <w:p>
            <w:pPr>
              <w:jc w:val="right"/>
              <w:ind w:right="180"/>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43C0B9"/>
          </w:tcPr>
          <w:p>
            <w:pPr>
              <w:spacing w:after="0"/>
              <w:rPr>
                <w:sz w:val="16"/>
                <w:szCs w:val="16"/>
                <w:color w:val="auto"/>
              </w:rPr>
            </w:pPr>
          </w:p>
        </w:tc>
        <w:tc>
          <w:tcPr>
            <w:tcW w:w="660" w:type="dxa"/>
            <w:vAlign w:val="bottom"/>
            <w:shd w:val="clear" w:color="auto" w:fill="43C0B9"/>
          </w:tcPr>
          <w:p>
            <w:pPr>
              <w:jc w:val="right"/>
              <w:ind w:right="220"/>
              <w:spacing w:after="0"/>
              <w:rPr>
                <w:sz w:val="20"/>
                <w:szCs w:val="20"/>
                <w:color w:val="auto"/>
              </w:rPr>
            </w:pPr>
            <w:r>
              <w:rPr>
                <w:rFonts w:ascii="Arial" w:cs="Arial" w:eastAsia="Arial" w:hAnsi="Arial"/>
                <w:sz w:val="12"/>
                <w:szCs w:val="12"/>
                <w:color w:val="auto"/>
              </w:rPr>
              <w:t>0.6</w:t>
            </w:r>
          </w:p>
        </w:tc>
        <w:tc>
          <w:tcPr>
            <w:tcW w:w="620" w:type="dxa"/>
            <w:vAlign w:val="bottom"/>
            <w:shd w:val="clear" w:color="auto" w:fill="43C0B9"/>
          </w:tcPr>
          <w:p>
            <w:pPr>
              <w:spacing w:after="0"/>
              <w:rPr>
                <w:sz w:val="16"/>
                <w:szCs w:val="16"/>
                <w:color w:val="auto"/>
              </w:rPr>
            </w:pPr>
          </w:p>
        </w:tc>
        <w:tc>
          <w:tcPr>
            <w:tcW w:w="900" w:type="dxa"/>
            <w:vAlign w:val="bottom"/>
            <w:shd w:val="clear" w:color="auto" w:fill="43C0B9"/>
          </w:tcPr>
          <w:p>
            <w:pPr>
              <w:jc w:val="right"/>
              <w:ind w:right="200"/>
              <w:spacing w:after="0"/>
              <w:rPr>
                <w:sz w:val="20"/>
                <w:szCs w:val="20"/>
                <w:color w:val="auto"/>
              </w:rPr>
            </w:pPr>
            <w:r>
              <w:rPr>
                <w:rFonts w:ascii="Arial" w:cs="Arial" w:eastAsia="Arial" w:hAnsi="Arial"/>
                <w:sz w:val="12"/>
                <w:szCs w:val="12"/>
                <w:color w:val="auto"/>
              </w:rPr>
              <w:t>0.3</w:t>
            </w: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43C0B9"/>
          </w:tcPr>
          <w:p>
            <w:pPr>
              <w:spacing w:after="0"/>
              <w:rPr>
                <w:sz w:val="16"/>
                <w:szCs w:val="16"/>
                <w:color w:val="auto"/>
              </w:rPr>
            </w:pPr>
          </w:p>
        </w:tc>
        <w:tc>
          <w:tcPr>
            <w:tcW w:w="280" w:type="dxa"/>
            <w:vAlign w:val="bottom"/>
            <w:shd w:val="clear" w:color="auto" w:fill="43C0B9"/>
          </w:tcPr>
          <w:p>
            <w:pPr>
              <w:spacing w:after="0"/>
              <w:rPr>
                <w:sz w:val="16"/>
                <w:szCs w:val="16"/>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0.2</w:t>
            </w:r>
          </w:p>
        </w:tc>
        <w:tc>
          <w:tcPr>
            <w:tcW w:w="20" w:type="dxa"/>
            <w:vAlign w:val="bottom"/>
            <w:shd w:val="clear" w:color="auto" w:fill="43C0B9"/>
          </w:tcPr>
          <w:p>
            <w:pPr>
              <w:spacing w:after="0"/>
              <w:rPr>
                <w:sz w:val="16"/>
                <w:szCs w:val="16"/>
                <w:color w:val="auto"/>
              </w:rPr>
            </w:pPr>
          </w:p>
        </w:tc>
      </w:tr>
      <w:tr>
        <w:trPr>
          <w:trHeight w:val="193"/>
        </w:trPr>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0.1</w:t>
            </w: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96"/>
        </w:trPr>
        <w:tc>
          <w:tcPr>
            <w:tcW w:w="1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40" w:type="dxa"/>
            <w:vAlign w:val="bottom"/>
            <w:gridSpan w:val="3"/>
          </w:tcPr>
          <w:p>
            <w:pPr>
              <w:spacing w:after="0"/>
              <w:rPr>
                <w:sz w:val="8"/>
                <w:szCs w:val="8"/>
                <w:color w:val="auto"/>
              </w:rPr>
            </w:pPr>
          </w:p>
        </w:tc>
        <w:tc>
          <w:tcPr>
            <w:tcW w:w="218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5"/>
        </w:trPr>
        <w:tc>
          <w:tcPr>
            <w:tcW w:w="1800" w:type="dxa"/>
            <w:vAlign w:val="bottom"/>
            <w:shd w:val="clear" w:color="auto" w:fill="232F84"/>
          </w:tcPr>
          <w:p>
            <w:pPr>
              <w:spacing w:after="0"/>
              <w:rPr>
                <w:sz w:val="14"/>
                <w:szCs w:val="14"/>
                <w:color w:val="auto"/>
              </w:rPr>
            </w:pPr>
          </w:p>
        </w:tc>
        <w:tc>
          <w:tcPr>
            <w:tcW w:w="300" w:type="dxa"/>
            <w:vAlign w:val="bottom"/>
            <w:shd w:val="clear" w:color="auto" w:fill="232F84"/>
          </w:tcPr>
          <w:p>
            <w:pPr>
              <w:spacing w:after="0"/>
              <w:rPr>
                <w:sz w:val="14"/>
                <w:szCs w:val="14"/>
                <w:color w:val="auto"/>
              </w:rPr>
            </w:pPr>
          </w:p>
        </w:tc>
        <w:tc>
          <w:tcPr>
            <w:tcW w:w="600" w:type="dxa"/>
            <w:vAlign w:val="bottom"/>
            <w:shd w:val="clear" w:color="auto" w:fill="232F84"/>
          </w:tcPr>
          <w:p>
            <w:pPr>
              <w:spacing w:after="0"/>
              <w:rPr>
                <w:sz w:val="14"/>
                <w:szCs w:val="14"/>
                <w:color w:val="auto"/>
              </w:rPr>
            </w:pPr>
          </w:p>
        </w:tc>
        <w:tc>
          <w:tcPr>
            <w:tcW w:w="120" w:type="dxa"/>
            <w:vAlign w:val="bottom"/>
            <w:shd w:val="clear" w:color="auto" w:fill="232F84"/>
          </w:tcPr>
          <w:p>
            <w:pPr>
              <w:spacing w:after="0"/>
              <w:rPr>
                <w:sz w:val="14"/>
                <w:szCs w:val="14"/>
                <w:color w:val="auto"/>
              </w:rPr>
            </w:pPr>
          </w:p>
        </w:tc>
        <w:tc>
          <w:tcPr>
            <w:tcW w:w="260" w:type="dxa"/>
            <w:vAlign w:val="bottom"/>
            <w:shd w:val="clear" w:color="auto" w:fill="232F84"/>
          </w:tcPr>
          <w:p>
            <w:pPr>
              <w:spacing w:after="0"/>
              <w:rPr>
                <w:sz w:val="14"/>
                <w:szCs w:val="14"/>
                <w:color w:val="auto"/>
              </w:rPr>
            </w:pPr>
          </w:p>
        </w:tc>
        <w:tc>
          <w:tcPr>
            <w:tcW w:w="1000" w:type="dxa"/>
            <w:vAlign w:val="bottom"/>
            <w:shd w:val="clear" w:color="auto" w:fill="232F84"/>
          </w:tcPr>
          <w:p>
            <w:pPr>
              <w:spacing w:after="0"/>
              <w:rPr>
                <w:sz w:val="14"/>
                <w:szCs w:val="14"/>
                <w:color w:val="auto"/>
              </w:rPr>
            </w:pPr>
          </w:p>
        </w:tc>
        <w:tc>
          <w:tcPr>
            <w:tcW w:w="200" w:type="dxa"/>
            <w:vAlign w:val="bottom"/>
            <w:shd w:val="clear" w:color="auto" w:fill="232F84"/>
          </w:tcPr>
          <w:p>
            <w:pPr>
              <w:spacing w:after="0"/>
              <w:rPr>
                <w:sz w:val="14"/>
                <w:szCs w:val="14"/>
                <w:color w:val="auto"/>
              </w:rPr>
            </w:pPr>
          </w:p>
        </w:tc>
        <w:tc>
          <w:tcPr>
            <w:tcW w:w="4320" w:type="dxa"/>
            <w:vAlign w:val="bottom"/>
            <w:gridSpan w:val="6"/>
            <w:shd w:val="clear" w:color="auto" w:fill="232F84"/>
          </w:tcPr>
          <w:p>
            <w:pPr>
              <w:jc w:val="right"/>
              <w:ind w:right="200"/>
              <w:spacing w:after="0"/>
              <w:rPr>
                <w:sz w:val="20"/>
                <w:szCs w:val="20"/>
                <w:color w:val="auto"/>
              </w:rPr>
            </w:pPr>
            <w:r>
              <w:rPr>
                <w:rFonts w:ascii="Arial" w:cs="Arial" w:eastAsia="Arial" w:hAnsi="Arial"/>
                <w:sz w:val="12"/>
                <w:szCs w:val="12"/>
                <w:b w:val="1"/>
                <w:bCs w:val="1"/>
                <w:color w:val="FFFFFF"/>
              </w:rPr>
              <w:t>Condensed Consolidated Statements of Comprehensive Income</w:t>
            </w:r>
          </w:p>
        </w:tc>
        <w:tc>
          <w:tcPr>
            <w:tcW w:w="260" w:type="dxa"/>
            <w:vAlign w:val="bottom"/>
            <w:shd w:val="clear" w:color="auto" w:fill="232F84"/>
          </w:tcPr>
          <w:p>
            <w:pPr>
              <w:spacing w:after="0"/>
              <w:rPr>
                <w:sz w:val="14"/>
                <w:szCs w:val="14"/>
                <w:color w:val="auto"/>
              </w:rPr>
            </w:pPr>
          </w:p>
        </w:tc>
        <w:tc>
          <w:tcPr>
            <w:tcW w:w="1000" w:type="dxa"/>
            <w:vAlign w:val="bottom"/>
            <w:shd w:val="clear" w:color="auto" w:fill="232F84"/>
          </w:tcPr>
          <w:p>
            <w:pPr>
              <w:spacing w:after="0"/>
              <w:rPr>
                <w:sz w:val="14"/>
                <w:szCs w:val="14"/>
                <w:color w:val="auto"/>
              </w:rPr>
            </w:pPr>
          </w:p>
        </w:tc>
        <w:tc>
          <w:tcPr>
            <w:tcW w:w="180" w:type="dxa"/>
            <w:vAlign w:val="bottom"/>
            <w:shd w:val="clear" w:color="auto" w:fill="232F84"/>
          </w:tcPr>
          <w:p>
            <w:pPr>
              <w:spacing w:after="0"/>
              <w:rPr>
                <w:sz w:val="14"/>
                <w:szCs w:val="14"/>
                <w:color w:val="auto"/>
              </w:rPr>
            </w:pPr>
          </w:p>
        </w:tc>
        <w:tc>
          <w:tcPr>
            <w:tcW w:w="280" w:type="dxa"/>
            <w:vAlign w:val="bottom"/>
            <w:shd w:val="clear" w:color="auto" w:fill="232F84"/>
          </w:tcPr>
          <w:p>
            <w:pPr>
              <w:spacing w:after="0"/>
              <w:rPr>
                <w:sz w:val="14"/>
                <w:szCs w:val="14"/>
                <w:color w:val="auto"/>
              </w:rPr>
            </w:pPr>
          </w:p>
        </w:tc>
        <w:tc>
          <w:tcPr>
            <w:tcW w:w="900" w:type="dxa"/>
            <w:vAlign w:val="bottom"/>
            <w:shd w:val="clear" w:color="auto" w:fill="232F84"/>
          </w:tcPr>
          <w:p>
            <w:pPr>
              <w:spacing w:after="0"/>
              <w:rPr>
                <w:sz w:val="14"/>
                <w:szCs w:val="14"/>
                <w:color w:val="auto"/>
              </w:rPr>
            </w:pPr>
          </w:p>
        </w:tc>
        <w:tc>
          <w:tcPr>
            <w:tcW w:w="20" w:type="dxa"/>
            <w:vAlign w:val="bottom"/>
          </w:tcPr>
          <w:p>
            <w:pPr>
              <w:spacing w:after="0"/>
              <w:rPr>
                <w:sz w:val="14"/>
                <w:szCs w:val="14"/>
                <w:color w:val="auto"/>
              </w:rPr>
            </w:pPr>
          </w:p>
        </w:tc>
      </w:tr>
      <w:tr>
        <w:trPr>
          <w:trHeight w:val="35"/>
        </w:trPr>
        <w:tc>
          <w:tcPr>
            <w:tcW w:w="1800" w:type="dxa"/>
            <w:vAlign w:val="bottom"/>
            <w:shd w:val="clear" w:color="auto" w:fill="232F84"/>
          </w:tcPr>
          <w:p>
            <w:pPr>
              <w:spacing w:after="0"/>
              <w:rPr>
                <w:sz w:val="3"/>
                <w:szCs w:val="3"/>
                <w:color w:val="auto"/>
              </w:rPr>
            </w:pPr>
          </w:p>
        </w:tc>
        <w:tc>
          <w:tcPr>
            <w:tcW w:w="300" w:type="dxa"/>
            <w:vAlign w:val="bottom"/>
            <w:shd w:val="clear" w:color="auto" w:fill="232F84"/>
          </w:tcPr>
          <w:p>
            <w:pPr>
              <w:spacing w:after="0"/>
              <w:rPr>
                <w:sz w:val="3"/>
                <w:szCs w:val="3"/>
                <w:color w:val="auto"/>
              </w:rPr>
            </w:pPr>
          </w:p>
        </w:tc>
        <w:tc>
          <w:tcPr>
            <w:tcW w:w="600" w:type="dxa"/>
            <w:vAlign w:val="bottom"/>
            <w:shd w:val="clear" w:color="auto" w:fill="232F84"/>
          </w:tcPr>
          <w:p>
            <w:pPr>
              <w:spacing w:after="0"/>
              <w:rPr>
                <w:sz w:val="3"/>
                <w:szCs w:val="3"/>
                <w:color w:val="auto"/>
              </w:rPr>
            </w:pPr>
          </w:p>
        </w:tc>
        <w:tc>
          <w:tcPr>
            <w:tcW w:w="12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200" w:type="dxa"/>
            <w:vAlign w:val="bottom"/>
            <w:shd w:val="clear" w:color="auto" w:fill="232F84"/>
          </w:tcPr>
          <w:p>
            <w:pPr>
              <w:spacing w:after="0"/>
              <w:rPr>
                <w:sz w:val="3"/>
                <w:szCs w:val="3"/>
                <w:color w:val="auto"/>
              </w:rPr>
            </w:pPr>
          </w:p>
        </w:tc>
        <w:tc>
          <w:tcPr>
            <w:tcW w:w="960" w:type="dxa"/>
            <w:vAlign w:val="bottom"/>
            <w:shd w:val="clear" w:color="auto" w:fill="232F84"/>
          </w:tcPr>
          <w:p>
            <w:pPr>
              <w:spacing w:after="0"/>
              <w:rPr>
                <w:sz w:val="3"/>
                <w:szCs w:val="3"/>
                <w:color w:val="auto"/>
              </w:rPr>
            </w:pPr>
          </w:p>
        </w:tc>
        <w:tc>
          <w:tcPr>
            <w:tcW w:w="380" w:type="dxa"/>
            <w:vAlign w:val="bottom"/>
            <w:shd w:val="clear" w:color="auto" w:fill="232F84"/>
          </w:tcPr>
          <w:p>
            <w:pPr>
              <w:spacing w:after="0"/>
              <w:rPr>
                <w:sz w:val="3"/>
                <w:szCs w:val="3"/>
                <w:color w:val="auto"/>
              </w:rPr>
            </w:pPr>
          </w:p>
        </w:tc>
        <w:tc>
          <w:tcPr>
            <w:tcW w:w="800" w:type="dxa"/>
            <w:vAlign w:val="bottom"/>
            <w:shd w:val="clear" w:color="auto" w:fill="232F84"/>
          </w:tcPr>
          <w:p>
            <w:pPr>
              <w:spacing w:after="0"/>
              <w:rPr>
                <w:sz w:val="3"/>
                <w:szCs w:val="3"/>
                <w:color w:val="auto"/>
              </w:rPr>
            </w:pPr>
          </w:p>
        </w:tc>
        <w:tc>
          <w:tcPr>
            <w:tcW w:w="660" w:type="dxa"/>
            <w:vAlign w:val="bottom"/>
            <w:shd w:val="clear" w:color="auto" w:fill="232F84"/>
          </w:tcPr>
          <w:p>
            <w:pPr>
              <w:spacing w:after="0"/>
              <w:rPr>
                <w:sz w:val="3"/>
                <w:szCs w:val="3"/>
                <w:color w:val="auto"/>
              </w:rPr>
            </w:pPr>
          </w:p>
        </w:tc>
        <w:tc>
          <w:tcPr>
            <w:tcW w:w="620" w:type="dxa"/>
            <w:vAlign w:val="bottom"/>
            <w:shd w:val="clear" w:color="auto" w:fill="232F84"/>
          </w:tcPr>
          <w:p>
            <w:pPr>
              <w:spacing w:after="0"/>
              <w:rPr>
                <w:sz w:val="3"/>
                <w:szCs w:val="3"/>
                <w:color w:val="auto"/>
              </w:rPr>
            </w:pPr>
          </w:p>
        </w:tc>
        <w:tc>
          <w:tcPr>
            <w:tcW w:w="90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1180" w:type="dxa"/>
            <w:vAlign w:val="bottom"/>
            <w:gridSpan w:val="2"/>
            <w:shd w:val="clear" w:color="auto" w:fill="232F84"/>
          </w:tcPr>
          <w:p>
            <w:pPr>
              <w:spacing w:after="0"/>
              <w:rPr>
                <w:sz w:val="3"/>
                <w:szCs w:val="3"/>
                <w:color w:val="auto"/>
              </w:rPr>
            </w:pPr>
          </w:p>
        </w:tc>
        <w:tc>
          <w:tcPr>
            <w:tcW w:w="280" w:type="dxa"/>
            <w:vAlign w:val="bottom"/>
            <w:shd w:val="clear" w:color="auto" w:fill="232F84"/>
          </w:tcPr>
          <w:p>
            <w:pPr>
              <w:spacing w:after="0"/>
              <w:rPr>
                <w:sz w:val="3"/>
                <w:szCs w:val="3"/>
                <w:color w:val="auto"/>
              </w:rPr>
            </w:pPr>
          </w:p>
        </w:tc>
        <w:tc>
          <w:tcPr>
            <w:tcW w:w="900" w:type="dxa"/>
            <w:vAlign w:val="bottom"/>
            <w:shd w:val="clear" w:color="auto" w:fill="232F84"/>
          </w:tcPr>
          <w:p>
            <w:pPr>
              <w:spacing w:after="0"/>
              <w:rPr>
                <w:sz w:val="3"/>
                <w:szCs w:val="3"/>
                <w:color w:val="auto"/>
              </w:rPr>
            </w:pPr>
          </w:p>
        </w:tc>
        <w:tc>
          <w:tcPr>
            <w:tcW w:w="20" w:type="dxa"/>
            <w:vAlign w:val="bottom"/>
          </w:tcPr>
          <w:p>
            <w:pPr>
              <w:spacing w:after="0"/>
              <w:rPr>
                <w:sz w:val="3"/>
                <w:szCs w:val="3"/>
                <w:color w:val="auto"/>
              </w:rPr>
            </w:pPr>
          </w:p>
        </w:tc>
      </w:tr>
      <w:tr>
        <w:trPr>
          <w:trHeight w:val="154"/>
        </w:trPr>
        <w:tc>
          <w:tcPr>
            <w:tcW w:w="1800" w:type="dxa"/>
            <w:vAlign w:val="bottom"/>
            <w:shd w:val="clear" w:color="auto" w:fill="232F84"/>
          </w:tcPr>
          <w:p>
            <w:pPr>
              <w:spacing w:after="0"/>
              <w:rPr>
                <w:sz w:val="13"/>
                <w:szCs w:val="13"/>
                <w:color w:val="auto"/>
              </w:rPr>
            </w:pPr>
          </w:p>
        </w:tc>
        <w:tc>
          <w:tcPr>
            <w:tcW w:w="300" w:type="dxa"/>
            <w:vAlign w:val="bottom"/>
            <w:shd w:val="clear" w:color="auto" w:fill="232F84"/>
          </w:tcPr>
          <w:p>
            <w:pPr>
              <w:spacing w:after="0"/>
              <w:rPr>
                <w:sz w:val="13"/>
                <w:szCs w:val="13"/>
                <w:color w:val="auto"/>
              </w:rPr>
            </w:pPr>
          </w:p>
        </w:tc>
        <w:tc>
          <w:tcPr>
            <w:tcW w:w="600" w:type="dxa"/>
            <w:vAlign w:val="bottom"/>
            <w:shd w:val="clear" w:color="auto" w:fill="232F84"/>
          </w:tcPr>
          <w:p>
            <w:pPr>
              <w:spacing w:after="0"/>
              <w:rPr>
                <w:sz w:val="13"/>
                <w:szCs w:val="13"/>
                <w:color w:val="auto"/>
              </w:rPr>
            </w:pPr>
          </w:p>
        </w:tc>
        <w:tc>
          <w:tcPr>
            <w:tcW w:w="120" w:type="dxa"/>
            <w:vAlign w:val="bottom"/>
            <w:shd w:val="clear" w:color="auto" w:fill="232F84"/>
          </w:tcPr>
          <w:p>
            <w:pPr>
              <w:spacing w:after="0"/>
              <w:rPr>
                <w:sz w:val="13"/>
                <w:szCs w:val="13"/>
                <w:color w:val="auto"/>
              </w:rPr>
            </w:pPr>
          </w:p>
        </w:tc>
        <w:tc>
          <w:tcPr>
            <w:tcW w:w="260" w:type="dxa"/>
            <w:vAlign w:val="bottom"/>
            <w:shd w:val="clear" w:color="auto" w:fill="232F84"/>
          </w:tcPr>
          <w:p>
            <w:pPr>
              <w:spacing w:after="0"/>
              <w:rPr>
                <w:sz w:val="13"/>
                <w:szCs w:val="13"/>
                <w:color w:val="auto"/>
              </w:rPr>
            </w:pPr>
          </w:p>
        </w:tc>
        <w:tc>
          <w:tcPr>
            <w:tcW w:w="1000" w:type="dxa"/>
            <w:vAlign w:val="bottom"/>
            <w:shd w:val="clear" w:color="auto" w:fill="232F84"/>
          </w:tcPr>
          <w:p>
            <w:pPr>
              <w:spacing w:after="0"/>
              <w:rPr>
                <w:sz w:val="13"/>
                <w:szCs w:val="13"/>
                <w:color w:val="auto"/>
              </w:rPr>
            </w:pPr>
          </w:p>
        </w:tc>
        <w:tc>
          <w:tcPr>
            <w:tcW w:w="200" w:type="dxa"/>
            <w:vAlign w:val="bottom"/>
            <w:shd w:val="clear" w:color="auto" w:fill="232F84"/>
          </w:tcPr>
          <w:p>
            <w:pPr>
              <w:spacing w:after="0"/>
              <w:rPr>
                <w:sz w:val="13"/>
                <w:szCs w:val="13"/>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rPr>
              <w:t>Selling, general</w:t>
            </w:r>
          </w:p>
        </w:tc>
        <w:tc>
          <w:tcPr>
            <w:tcW w:w="380" w:type="dxa"/>
            <w:vAlign w:val="bottom"/>
            <w:shd w:val="clear" w:color="auto" w:fill="232F84"/>
          </w:tcPr>
          <w:p>
            <w:pPr>
              <w:spacing w:after="0"/>
              <w:rPr>
                <w:sz w:val="13"/>
                <w:szCs w:val="13"/>
                <w:color w:val="auto"/>
              </w:rPr>
            </w:pPr>
          </w:p>
        </w:tc>
        <w:tc>
          <w:tcPr>
            <w:tcW w:w="800" w:type="dxa"/>
            <w:vAlign w:val="bottom"/>
            <w:shd w:val="clear" w:color="auto" w:fill="232F84"/>
          </w:tcPr>
          <w:p>
            <w:pPr>
              <w:spacing w:after="0"/>
              <w:rPr>
                <w:sz w:val="13"/>
                <w:szCs w:val="13"/>
                <w:color w:val="auto"/>
              </w:rPr>
            </w:pPr>
          </w:p>
        </w:tc>
        <w:tc>
          <w:tcPr>
            <w:tcW w:w="660" w:type="dxa"/>
            <w:vAlign w:val="bottom"/>
            <w:shd w:val="clear" w:color="auto" w:fill="232F84"/>
          </w:tcPr>
          <w:p>
            <w:pPr>
              <w:spacing w:after="0"/>
              <w:rPr>
                <w:sz w:val="13"/>
                <w:szCs w:val="13"/>
                <w:color w:val="auto"/>
              </w:rPr>
            </w:pPr>
          </w:p>
        </w:tc>
        <w:tc>
          <w:tcPr>
            <w:tcW w:w="620" w:type="dxa"/>
            <w:vAlign w:val="bottom"/>
            <w:shd w:val="clear" w:color="auto" w:fill="232F84"/>
          </w:tcPr>
          <w:p>
            <w:pPr>
              <w:spacing w:after="0"/>
              <w:rPr>
                <w:sz w:val="13"/>
                <w:szCs w:val="13"/>
                <w:color w:val="auto"/>
              </w:rPr>
            </w:pPr>
          </w:p>
        </w:tc>
        <w:tc>
          <w:tcPr>
            <w:tcW w:w="900" w:type="dxa"/>
            <w:vAlign w:val="bottom"/>
            <w:shd w:val="clear" w:color="auto" w:fill="232F84"/>
          </w:tcPr>
          <w:p>
            <w:pPr>
              <w:spacing w:after="0"/>
              <w:rPr>
                <w:sz w:val="13"/>
                <w:szCs w:val="13"/>
                <w:color w:val="auto"/>
              </w:rPr>
            </w:pPr>
          </w:p>
        </w:tc>
        <w:tc>
          <w:tcPr>
            <w:tcW w:w="260" w:type="dxa"/>
            <w:vAlign w:val="bottom"/>
            <w:shd w:val="clear" w:color="auto" w:fill="232F84"/>
          </w:tcPr>
          <w:p>
            <w:pPr>
              <w:spacing w:after="0"/>
              <w:rPr>
                <w:sz w:val="13"/>
                <w:szCs w:val="13"/>
                <w:color w:val="auto"/>
              </w:rPr>
            </w:pP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2"/>
                <w:szCs w:val="12"/>
                <w:b w:val="1"/>
                <w:bCs w:val="1"/>
                <w:color w:val="FFFFFF"/>
              </w:rPr>
              <w:t>Selling, general</w:t>
            </w:r>
          </w:p>
        </w:tc>
        <w:tc>
          <w:tcPr>
            <w:tcW w:w="280" w:type="dxa"/>
            <w:vAlign w:val="bottom"/>
            <w:shd w:val="clear" w:color="auto" w:fill="232F84"/>
          </w:tcPr>
          <w:p>
            <w:pPr>
              <w:spacing w:after="0"/>
              <w:rPr>
                <w:sz w:val="13"/>
                <w:szCs w:val="13"/>
                <w:color w:val="auto"/>
              </w:rPr>
            </w:pPr>
          </w:p>
        </w:tc>
        <w:tc>
          <w:tcPr>
            <w:tcW w:w="900" w:type="dxa"/>
            <w:vAlign w:val="bottom"/>
            <w:shd w:val="clear" w:color="auto" w:fill="232F84"/>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800" w:type="dxa"/>
            <w:vAlign w:val="bottom"/>
            <w:shd w:val="clear" w:color="auto" w:fill="232F84"/>
          </w:tcPr>
          <w:p>
            <w:pPr>
              <w:spacing w:after="0"/>
              <w:rPr>
                <w:sz w:val="12"/>
                <w:szCs w:val="12"/>
                <w:color w:val="auto"/>
              </w:rPr>
            </w:pPr>
          </w:p>
        </w:tc>
        <w:tc>
          <w:tcPr>
            <w:tcW w:w="300" w:type="dxa"/>
            <w:vAlign w:val="bottom"/>
            <w:shd w:val="clear" w:color="auto" w:fill="232F84"/>
          </w:tcPr>
          <w:p>
            <w:pPr>
              <w:spacing w:after="0"/>
              <w:rPr>
                <w:sz w:val="12"/>
                <w:szCs w:val="12"/>
                <w:color w:val="auto"/>
              </w:rPr>
            </w:pPr>
          </w:p>
        </w:tc>
        <w:tc>
          <w:tcPr>
            <w:tcW w:w="600" w:type="dxa"/>
            <w:vAlign w:val="bottom"/>
            <w:shd w:val="clear" w:color="auto" w:fill="232F84"/>
          </w:tcPr>
          <w:p>
            <w:pPr>
              <w:spacing w:after="0"/>
              <w:rPr>
                <w:sz w:val="12"/>
                <w:szCs w:val="12"/>
                <w:color w:val="auto"/>
              </w:rPr>
            </w:pPr>
          </w:p>
        </w:tc>
        <w:tc>
          <w:tcPr>
            <w:tcW w:w="120" w:type="dxa"/>
            <w:vAlign w:val="bottom"/>
            <w:shd w:val="clear" w:color="auto" w:fill="232F84"/>
          </w:tcPr>
          <w:p>
            <w:pPr>
              <w:spacing w:after="0"/>
              <w:rPr>
                <w:sz w:val="12"/>
                <w:szCs w:val="12"/>
                <w:color w:val="auto"/>
              </w:rPr>
            </w:pPr>
          </w:p>
        </w:tc>
        <w:tc>
          <w:tcPr>
            <w:tcW w:w="260" w:type="dxa"/>
            <w:vAlign w:val="bottom"/>
            <w:shd w:val="clear" w:color="auto" w:fill="232F84"/>
          </w:tcPr>
          <w:p>
            <w:pPr>
              <w:spacing w:after="0"/>
              <w:rPr>
                <w:sz w:val="12"/>
                <w:szCs w:val="12"/>
                <w:color w:val="auto"/>
              </w:rPr>
            </w:pPr>
          </w:p>
        </w:tc>
        <w:tc>
          <w:tcPr>
            <w:tcW w:w="1000" w:type="dxa"/>
            <w:vAlign w:val="bottom"/>
            <w:shd w:val="clear" w:color="auto" w:fill="232F84"/>
          </w:tcPr>
          <w:p>
            <w:pPr>
              <w:spacing w:after="0"/>
              <w:rPr>
                <w:sz w:val="12"/>
                <w:szCs w:val="12"/>
                <w:color w:val="auto"/>
              </w:rPr>
            </w:pPr>
          </w:p>
        </w:tc>
        <w:tc>
          <w:tcPr>
            <w:tcW w:w="1160" w:type="dxa"/>
            <w:vAlign w:val="bottom"/>
            <w:gridSpan w:val="2"/>
            <w:shd w:val="clear" w:color="auto" w:fill="232F84"/>
          </w:tcPr>
          <w:p>
            <w:pPr>
              <w:jc w:val="right"/>
              <w:spacing w:after="0"/>
              <w:rPr>
                <w:sz w:val="20"/>
                <w:szCs w:val="20"/>
                <w:color w:val="auto"/>
              </w:rPr>
            </w:pPr>
            <w:r>
              <w:rPr>
                <w:rFonts w:ascii="Arial" w:cs="Arial" w:eastAsia="Arial" w:hAnsi="Arial"/>
                <w:sz w:val="12"/>
                <w:szCs w:val="12"/>
                <w:b w:val="1"/>
                <w:bCs w:val="1"/>
                <w:color w:val="FFFFFF"/>
              </w:rPr>
              <w:t>and administrative</w:t>
            </w:r>
          </w:p>
        </w:tc>
        <w:tc>
          <w:tcPr>
            <w:tcW w:w="380" w:type="dxa"/>
            <w:vAlign w:val="bottom"/>
            <w:shd w:val="clear" w:color="auto" w:fill="232F84"/>
          </w:tcPr>
          <w:p>
            <w:pPr>
              <w:spacing w:after="0"/>
              <w:rPr>
                <w:sz w:val="12"/>
                <w:szCs w:val="12"/>
                <w:color w:val="auto"/>
              </w:rPr>
            </w:pPr>
          </w:p>
        </w:tc>
        <w:tc>
          <w:tcPr>
            <w:tcW w:w="800" w:type="dxa"/>
            <w:vAlign w:val="bottom"/>
            <w:shd w:val="clear" w:color="auto" w:fill="232F84"/>
          </w:tcPr>
          <w:p>
            <w:pPr>
              <w:spacing w:after="0"/>
              <w:rPr>
                <w:sz w:val="12"/>
                <w:szCs w:val="12"/>
                <w:color w:val="auto"/>
              </w:rPr>
            </w:pPr>
          </w:p>
        </w:tc>
        <w:tc>
          <w:tcPr>
            <w:tcW w:w="660" w:type="dxa"/>
            <w:vAlign w:val="bottom"/>
            <w:shd w:val="clear" w:color="auto" w:fill="232F84"/>
          </w:tcPr>
          <w:p>
            <w:pPr>
              <w:spacing w:after="0"/>
              <w:rPr>
                <w:sz w:val="12"/>
                <w:szCs w:val="12"/>
                <w:color w:val="auto"/>
              </w:rPr>
            </w:pPr>
          </w:p>
        </w:tc>
        <w:tc>
          <w:tcPr>
            <w:tcW w:w="620" w:type="dxa"/>
            <w:vAlign w:val="bottom"/>
            <w:shd w:val="clear" w:color="auto" w:fill="232F84"/>
          </w:tcPr>
          <w:p>
            <w:pPr>
              <w:spacing w:after="0"/>
              <w:rPr>
                <w:sz w:val="12"/>
                <w:szCs w:val="12"/>
                <w:color w:val="auto"/>
              </w:rPr>
            </w:pPr>
          </w:p>
        </w:tc>
        <w:tc>
          <w:tcPr>
            <w:tcW w:w="900" w:type="dxa"/>
            <w:vAlign w:val="bottom"/>
            <w:shd w:val="clear" w:color="auto" w:fill="232F84"/>
          </w:tcPr>
          <w:p>
            <w:pPr>
              <w:spacing w:after="0"/>
              <w:rPr>
                <w:sz w:val="12"/>
                <w:szCs w:val="12"/>
                <w:color w:val="auto"/>
              </w:rPr>
            </w:pPr>
          </w:p>
        </w:tc>
        <w:tc>
          <w:tcPr>
            <w:tcW w:w="260" w:type="dxa"/>
            <w:vAlign w:val="bottom"/>
            <w:shd w:val="clear" w:color="auto" w:fill="232F84"/>
          </w:tcPr>
          <w:p>
            <w:pPr>
              <w:spacing w:after="0"/>
              <w:rPr>
                <w:sz w:val="12"/>
                <w:szCs w:val="12"/>
                <w:color w:val="auto"/>
              </w:rPr>
            </w:pP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2"/>
                <w:szCs w:val="12"/>
                <w:b w:val="1"/>
                <w:bCs w:val="1"/>
                <w:color w:val="FFFFFF"/>
              </w:rPr>
              <w:t>and administrative</w:t>
            </w:r>
          </w:p>
        </w:tc>
        <w:tc>
          <w:tcPr>
            <w:tcW w:w="280" w:type="dxa"/>
            <w:vAlign w:val="bottom"/>
            <w:shd w:val="clear" w:color="auto" w:fill="232F84"/>
          </w:tcPr>
          <w:p>
            <w:pPr>
              <w:spacing w:after="0"/>
              <w:rPr>
                <w:sz w:val="12"/>
                <w:szCs w:val="12"/>
                <w:color w:val="auto"/>
              </w:rPr>
            </w:pPr>
          </w:p>
        </w:tc>
        <w:tc>
          <w:tcPr>
            <w:tcW w:w="900" w:type="dxa"/>
            <w:vAlign w:val="bottom"/>
            <w:shd w:val="clear" w:color="auto" w:fill="232F84"/>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800" w:type="dxa"/>
            <w:vAlign w:val="bottom"/>
            <w:shd w:val="clear" w:color="auto" w:fill="232F84"/>
          </w:tcPr>
          <w:p>
            <w:pPr>
              <w:spacing w:after="0"/>
              <w:rPr>
                <w:sz w:val="13"/>
                <w:szCs w:val="13"/>
                <w:color w:val="auto"/>
              </w:rPr>
            </w:pPr>
          </w:p>
        </w:tc>
        <w:tc>
          <w:tcPr>
            <w:tcW w:w="300" w:type="dxa"/>
            <w:vAlign w:val="bottom"/>
            <w:shd w:val="clear" w:color="auto" w:fill="232F84"/>
          </w:tcPr>
          <w:p>
            <w:pPr>
              <w:spacing w:after="0"/>
              <w:rPr>
                <w:sz w:val="13"/>
                <w:szCs w:val="13"/>
                <w:color w:val="auto"/>
              </w:rPr>
            </w:pPr>
          </w:p>
        </w:tc>
        <w:tc>
          <w:tcPr>
            <w:tcW w:w="980" w:type="dxa"/>
            <w:vAlign w:val="bottom"/>
            <w:gridSpan w:val="3"/>
            <w:shd w:val="clear" w:color="auto" w:fill="232F84"/>
          </w:tcPr>
          <w:p>
            <w:pPr>
              <w:jc w:val="right"/>
              <w:ind w:right="180"/>
              <w:spacing w:after="0"/>
              <w:rPr>
                <w:sz w:val="20"/>
                <w:szCs w:val="20"/>
                <w:color w:val="auto"/>
              </w:rPr>
            </w:pPr>
            <w:r>
              <w:rPr>
                <w:rFonts w:ascii="Arial" w:cs="Arial" w:eastAsia="Arial" w:hAnsi="Arial"/>
                <w:sz w:val="12"/>
                <w:szCs w:val="12"/>
                <w:b w:val="1"/>
                <w:bCs w:val="1"/>
                <w:color w:val="FFFFFF"/>
              </w:rPr>
              <w:t>Net sales</w:t>
            </w:r>
          </w:p>
        </w:tc>
        <w:tc>
          <w:tcPr>
            <w:tcW w:w="100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rPr>
              <w:t>Cost of sales</w:t>
            </w:r>
          </w:p>
        </w:tc>
        <w:tc>
          <w:tcPr>
            <w:tcW w:w="200" w:type="dxa"/>
            <w:vAlign w:val="bottom"/>
            <w:shd w:val="clear" w:color="auto" w:fill="232F84"/>
          </w:tcPr>
          <w:p>
            <w:pPr>
              <w:spacing w:after="0"/>
              <w:rPr>
                <w:sz w:val="13"/>
                <w:szCs w:val="13"/>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rPr>
              <w:t>expenses</w:t>
            </w:r>
          </w:p>
        </w:tc>
        <w:tc>
          <w:tcPr>
            <w:tcW w:w="380" w:type="dxa"/>
            <w:vAlign w:val="bottom"/>
            <w:shd w:val="clear" w:color="auto" w:fill="232F84"/>
          </w:tcPr>
          <w:p>
            <w:pPr>
              <w:spacing w:after="0"/>
              <w:rPr>
                <w:sz w:val="13"/>
                <w:szCs w:val="13"/>
                <w:color w:val="auto"/>
              </w:rPr>
            </w:pPr>
          </w:p>
        </w:tc>
        <w:tc>
          <w:tcPr>
            <w:tcW w:w="80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w w:val="98"/>
              </w:rPr>
              <w:t>Other income</w:t>
            </w:r>
          </w:p>
        </w:tc>
        <w:tc>
          <w:tcPr>
            <w:tcW w:w="660" w:type="dxa"/>
            <w:vAlign w:val="bottom"/>
            <w:shd w:val="clear" w:color="auto" w:fill="232F84"/>
          </w:tcPr>
          <w:p>
            <w:pPr>
              <w:spacing w:after="0"/>
              <w:rPr>
                <w:sz w:val="13"/>
                <w:szCs w:val="13"/>
                <w:color w:val="auto"/>
              </w:rPr>
            </w:pPr>
          </w:p>
        </w:tc>
        <w:tc>
          <w:tcPr>
            <w:tcW w:w="62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rPr>
              <w:t>Net sales</w:t>
            </w:r>
          </w:p>
        </w:tc>
        <w:tc>
          <w:tcPr>
            <w:tcW w:w="1160" w:type="dxa"/>
            <w:vAlign w:val="bottom"/>
            <w:gridSpan w:val="2"/>
            <w:shd w:val="clear" w:color="auto" w:fill="232F84"/>
          </w:tcPr>
          <w:p>
            <w:pPr>
              <w:jc w:val="right"/>
              <w:spacing w:after="0"/>
              <w:rPr>
                <w:sz w:val="20"/>
                <w:szCs w:val="20"/>
                <w:color w:val="auto"/>
              </w:rPr>
            </w:pPr>
            <w:r>
              <w:rPr>
                <w:rFonts w:ascii="Arial" w:cs="Arial" w:eastAsia="Arial" w:hAnsi="Arial"/>
                <w:sz w:val="12"/>
                <w:szCs w:val="12"/>
                <w:b w:val="1"/>
                <w:bCs w:val="1"/>
                <w:color w:val="FFFFFF"/>
              </w:rPr>
              <w:t>Cost of sales</w:t>
            </w: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2"/>
                <w:szCs w:val="12"/>
                <w:b w:val="1"/>
                <w:bCs w:val="1"/>
                <w:color w:val="FFFFFF"/>
              </w:rPr>
              <w:t>expenses</w:t>
            </w:r>
          </w:p>
        </w:tc>
        <w:tc>
          <w:tcPr>
            <w:tcW w:w="280" w:type="dxa"/>
            <w:vAlign w:val="bottom"/>
            <w:shd w:val="clear" w:color="auto" w:fill="232F84"/>
          </w:tcPr>
          <w:p>
            <w:pPr>
              <w:spacing w:after="0"/>
              <w:rPr>
                <w:sz w:val="13"/>
                <w:szCs w:val="13"/>
                <w:color w:val="auto"/>
              </w:rPr>
            </w:pPr>
          </w:p>
        </w:tc>
        <w:tc>
          <w:tcPr>
            <w:tcW w:w="900" w:type="dxa"/>
            <w:vAlign w:val="bottom"/>
            <w:shd w:val="clear" w:color="auto" w:fill="232F84"/>
          </w:tcPr>
          <w:p>
            <w:pPr>
              <w:jc w:val="right"/>
              <w:spacing w:after="0"/>
              <w:rPr>
                <w:sz w:val="20"/>
                <w:szCs w:val="20"/>
                <w:color w:val="auto"/>
              </w:rPr>
            </w:pPr>
            <w:r>
              <w:rPr>
                <w:rFonts w:ascii="Arial" w:cs="Arial" w:eastAsia="Arial" w:hAnsi="Arial"/>
                <w:sz w:val="12"/>
                <w:szCs w:val="12"/>
                <w:b w:val="1"/>
                <w:bCs w:val="1"/>
                <w:color w:val="FFFFFF"/>
              </w:rPr>
              <w:t>Other income</w:t>
            </w:r>
          </w:p>
        </w:tc>
        <w:tc>
          <w:tcPr>
            <w:tcW w:w="20" w:type="dxa"/>
            <w:vAlign w:val="bottom"/>
          </w:tcPr>
          <w:p>
            <w:pPr>
              <w:spacing w:after="0"/>
              <w:rPr>
                <w:sz w:val="13"/>
                <w:szCs w:val="13"/>
                <w:color w:val="auto"/>
              </w:rPr>
            </w:pPr>
          </w:p>
        </w:tc>
      </w:tr>
      <w:tr>
        <w:trPr>
          <w:trHeight w:val="35"/>
        </w:trPr>
        <w:tc>
          <w:tcPr>
            <w:tcW w:w="1800" w:type="dxa"/>
            <w:vAlign w:val="bottom"/>
            <w:shd w:val="clear" w:color="auto" w:fill="232F84"/>
          </w:tcPr>
          <w:p>
            <w:pPr>
              <w:spacing w:after="0"/>
              <w:rPr>
                <w:sz w:val="3"/>
                <w:szCs w:val="3"/>
                <w:color w:val="auto"/>
              </w:rPr>
            </w:pPr>
          </w:p>
        </w:tc>
        <w:tc>
          <w:tcPr>
            <w:tcW w:w="300" w:type="dxa"/>
            <w:vAlign w:val="bottom"/>
            <w:shd w:val="clear" w:color="auto" w:fill="232F84"/>
          </w:tcPr>
          <w:p>
            <w:pPr>
              <w:spacing w:after="0"/>
              <w:rPr>
                <w:sz w:val="3"/>
                <w:szCs w:val="3"/>
                <w:color w:val="auto"/>
              </w:rPr>
            </w:pPr>
          </w:p>
        </w:tc>
        <w:tc>
          <w:tcPr>
            <w:tcW w:w="600" w:type="dxa"/>
            <w:vAlign w:val="bottom"/>
            <w:shd w:val="clear" w:color="auto" w:fill="232F84"/>
          </w:tcPr>
          <w:p>
            <w:pPr>
              <w:spacing w:after="0"/>
              <w:rPr>
                <w:sz w:val="3"/>
                <w:szCs w:val="3"/>
                <w:color w:val="auto"/>
              </w:rPr>
            </w:pPr>
          </w:p>
        </w:tc>
        <w:tc>
          <w:tcPr>
            <w:tcW w:w="12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2160" w:type="dxa"/>
            <w:vAlign w:val="bottom"/>
            <w:gridSpan w:val="3"/>
            <w:shd w:val="clear" w:color="auto" w:fill="232F84"/>
          </w:tcPr>
          <w:p>
            <w:pPr>
              <w:spacing w:after="0"/>
              <w:rPr>
                <w:sz w:val="3"/>
                <w:szCs w:val="3"/>
                <w:color w:val="auto"/>
              </w:rPr>
            </w:pPr>
          </w:p>
        </w:tc>
        <w:tc>
          <w:tcPr>
            <w:tcW w:w="380" w:type="dxa"/>
            <w:vAlign w:val="bottom"/>
            <w:shd w:val="clear" w:color="auto" w:fill="232F84"/>
          </w:tcPr>
          <w:p>
            <w:pPr>
              <w:spacing w:after="0"/>
              <w:rPr>
                <w:sz w:val="3"/>
                <w:szCs w:val="3"/>
                <w:color w:val="auto"/>
              </w:rPr>
            </w:pPr>
          </w:p>
        </w:tc>
        <w:tc>
          <w:tcPr>
            <w:tcW w:w="800" w:type="dxa"/>
            <w:vAlign w:val="bottom"/>
            <w:shd w:val="clear" w:color="auto" w:fill="232F84"/>
          </w:tcPr>
          <w:p>
            <w:pPr>
              <w:spacing w:after="0"/>
              <w:rPr>
                <w:sz w:val="3"/>
                <w:szCs w:val="3"/>
                <w:color w:val="auto"/>
              </w:rPr>
            </w:pPr>
          </w:p>
        </w:tc>
        <w:tc>
          <w:tcPr>
            <w:tcW w:w="660" w:type="dxa"/>
            <w:vAlign w:val="bottom"/>
            <w:shd w:val="clear" w:color="auto" w:fill="232F84"/>
          </w:tcPr>
          <w:p>
            <w:pPr>
              <w:spacing w:after="0"/>
              <w:rPr>
                <w:sz w:val="3"/>
                <w:szCs w:val="3"/>
                <w:color w:val="auto"/>
              </w:rPr>
            </w:pPr>
          </w:p>
        </w:tc>
        <w:tc>
          <w:tcPr>
            <w:tcW w:w="620" w:type="dxa"/>
            <w:vAlign w:val="bottom"/>
            <w:shd w:val="clear" w:color="auto" w:fill="232F84"/>
          </w:tcPr>
          <w:p>
            <w:pPr>
              <w:spacing w:after="0"/>
              <w:rPr>
                <w:sz w:val="3"/>
                <w:szCs w:val="3"/>
                <w:color w:val="auto"/>
              </w:rPr>
            </w:pPr>
          </w:p>
        </w:tc>
        <w:tc>
          <w:tcPr>
            <w:tcW w:w="2160" w:type="dxa"/>
            <w:vAlign w:val="bottom"/>
            <w:gridSpan w:val="3"/>
            <w:shd w:val="clear" w:color="auto" w:fill="232F84"/>
          </w:tcPr>
          <w:p>
            <w:pPr>
              <w:spacing w:after="0"/>
              <w:rPr>
                <w:sz w:val="3"/>
                <w:szCs w:val="3"/>
                <w:color w:val="auto"/>
              </w:rPr>
            </w:pPr>
          </w:p>
        </w:tc>
        <w:tc>
          <w:tcPr>
            <w:tcW w:w="180" w:type="dxa"/>
            <w:vAlign w:val="bottom"/>
            <w:shd w:val="clear" w:color="auto" w:fill="232F84"/>
          </w:tcPr>
          <w:p>
            <w:pPr>
              <w:spacing w:after="0"/>
              <w:rPr>
                <w:sz w:val="3"/>
                <w:szCs w:val="3"/>
                <w:color w:val="auto"/>
              </w:rPr>
            </w:pPr>
          </w:p>
        </w:tc>
        <w:tc>
          <w:tcPr>
            <w:tcW w:w="280" w:type="dxa"/>
            <w:vAlign w:val="bottom"/>
            <w:shd w:val="clear" w:color="auto" w:fill="232F84"/>
          </w:tcPr>
          <w:p>
            <w:pPr>
              <w:spacing w:after="0"/>
              <w:rPr>
                <w:sz w:val="3"/>
                <w:szCs w:val="3"/>
                <w:color w:val="auto"/>
              </w:rPr>
            </w:pPr>
          </w:p>
        </w:tc>
        <w:tc>
          <w:tcPr>
            <w:tcW w:w="900" w:type="dxa"/>
            <w:vAlign w:val="bottom"/>
            <w:shd w:val="clear" w:color="auto" w:fill="232F84"/>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80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2"/>
                <w:szCs w:val="12"/>
                <w:b w:val="1"/>
                <w:bCs w:val="1"/>
                <w:color w:val="FFFFFF"/>
              </w:rPr>
              <w:t>(In millions)</w:t>
            </w:r>
          </w:p>
        </w:tc>
        <w:tc>
          <w:tcPr>
            <w:tcW w:w="300" w:type="dxa"/>
            <w:vAlign w:val="bottom"/>
            <w:tcBorders>
              <w:bottom w:val="single" w:sz="8" w:color="232F84"/>
            </w:tcBorders>
            <w:shd w:val="clear" w:color="auto" w:fill="232F84"/>
          </w:tcPr>
          <w:p>
            <w:pPr>
              <w:spacing w:after="0"/>
              <w:rPr>
                <w:sz w:val="15"/>
                <w:szCs w:val="15"/>
                <w:color w:val="auto"/>
              </w:rPr>
            </w:pPr>
          </w:p>
        </w:tc>
        <w:tc>
          <w:tcPr>
            <w:tcW w:w="600" w:type="dxa"/>
            <w:vAlign w:val="bottom"/>
            <w:tcBorders>
              <w:bottom w:val="single" w:sz="8" w:color="232F84"/>
            </w:tcBorders>
            <w:shd w:val="clear" w:color="auto" w:fill="232F84"/>
          </w:tcPr>
          <w:p>
            <w:pPr>
              <w:spacing w:after="0"/>
              <w:rPr>
                <w:sz w:val="15"/>
                <w:szCs w:val="15"/>
                <w:color w:val="auto"/>
              </w:rPr>
            </w:pPr>
          </w:p>
        </w:tc>
        <w:tc>
          <w:tcPr>
            <w:tcW w:w="120" w:type="dxa"/>
            <w:vAlign w:val="bottom"/>
            <w:tcBorders>
              <w:bottom w:val="single" w:sz="8" w:color="232F84"/>
            </w:tcBorders>
            <w:shd w:val="clear" w:color="auto" w:fill="232F84"/>
          </w:tcPr>
          <w:p>
            <w:pPr>
              <w:spacing w:after="0"/>
              <w:rPr>
                <w:sz w:val="15"/>
                <w:szCs w:val="15"/>
                <w:color w:val="auto"/>
              </w:rPr>
            </w:pPr>
          </w:p>
        </w:tc>
        <w:tc>
          <w:tcPr>
            <w:tcW w:w="260" w:type="dxa"/>
            <w:vAlign w:val="bottom"/>
            <w:tcBorders>
              <w:bottom w:val="single" w:sz="8" w:color="232F84"/>
            </w:tcBorders>
            <w:shd w:val="clear" w:color="auto" w:fill="232F84"/>
          </w:tcPr>
          <w:p>
            <w:pPr>
              <w:spacing w:after="0"/>
              <w:rPr>
                <w:sz w:val="15"/>
                <w:szCs w:val="15"/>
                <w:color w:val="auto"/>
              </w:rPr>
            </w:pPr>
          </w:p>
        </w:tc>
        <w:tc>
          <w:tcPr>
            <w:tcW w:w="2160" w:type="dxa"/>
            <w:vAlign w:val="bottom"/>
            <w:tcBorders>
              <w:bottom w:val="single" w:sz="8" w:color="232F84"/>
            </w:tcBorders>
            <w:gridSpan w:val="3"/>
            <w:shd w:val="clear" w:color="auto" w:fill="232F84"/>
          </w:tcPr>
          <w:p>
            <w:pPr>
              <w:jc w:val="right"/>
              <w:ind w:right="100"/>
              <w:spacing w:after="0"/>
              <w:rPr>
                <w:sz w:val="20"/>
                <w:szCs w:val="20"/>
                <w:color w:val="auto"/>
              </w:rPr>
            </w:pPr>
            <w:r>
              <w:rPr>
                <w:rFonts w:ascii="Arial" w:cs="Arial" w:eastAsia="Arial" w:hAnsi="Arial"/>
                <w:sz w:val="12"/>
                <w:szCs w:val="12"/>
                <w:b w:val="1"/>
                <w:bCs w:val="1"/>
                <w:color w:val="FFFFFF"/>
              </w:rPr>
              <w:t>Three Months Ended July 31, 2021</w:t>
            </w:r>
          </w:p>
        </w:tc>
        <w:tc>
          <w:tcPr>
            <w:tcW w:w="380" w:type="dxa"/>
            <w:vAlign w:val="bottom"/>
            <w:tcBorders>
              <w:bottom w:val="single" w:sz="8" w:color="232F84"/>
            </w:tcBorders>
            <w:shd w:val="clear" w:color="auto" w:fill="232F84"/>
          </w:tcPr>
          <w:p>
            <w:pPr>
              <w:spacing w:after="0"/>
              <w:rPr>
                <w:sz w:val="15"/>
                <w:szCs w:val="15"/>
                <w:color w:val="auto"/>
              </w:rPr>
            </w:pPr>
          </w:p>
        </w:tc>
        <w:tc>
          <w:tcPr>
            <w:tcW w:w="800" w:type="dxa"/>
            <w:vAlign w:val="bottom"/>
            <w:tcBorders>
              <w:bottom w:val="single" w:sz="8" w:color="232F84"/>
            </w:tcBorders>
            <w:shd w:val="clear" w:color="auto" w:fill="232F84"/>
          </w:tcPr>
          <w:p>
            <w:pPr>
              <w:spacing w:after="0"/>
              <w:rPr>
                <w:sz w:val="15"/>
                <w:szCs w:val="15"/>
                <w:color w:val="auto"/>
              </w:rPr>
            </w:pPr>
          </w:p>
        </w:tc>
        <w:tc>
          <w:tcPr>
            <w:tcW w:w="660" w:type="dxa"/>
            <w:vAlign w:val="bottom"/>
            <w:tcBorders>
              <w:bottom w:val="single" w:sz="8" w:color="232F84"/>
            </w:tcBorders>
            <w:shd w:val="clear" w:color="auto" w:fill="232F84"/>
          </w:tcPr>
          <w:p>
            <w:pPr>
              <w:spacing w:after="0"/>
              <w:rPr>
                <w:sz w:val="15"/>
                <w:szCs w:val="15"/>
                <w:color w:val="auto"/>
              </w:rPr>
            </w:pPr>
          </w:p>
        </w:tc>
        <w:tc>
          <w:tcPr>
            <w:tcW w:w="620" w:type="dxa"/>
            <w:vAlign w:val="bottom"/>
            <w:tcBorders>
              <w:bottom w:val="single" w:sz="8" w:color="232F84"/>
            </w:tcBorders>
            <w:shd w:val="clear" w:color="auto" w:fill="232F84"/>
          </w:tcPr>
          <w:p>
            <w:pPr>
              <w:spacing w:after="0"/>
              <w:rPr>
                <w:sz w:val="15"/>
                <w:szCs w:val="15"/>
                <w:color w:val="auto"/>
              </w:rPr>
            </w:pPr>
          </w:p>
        </w:tc>
        <w:tc>
          <w:tcPr>
            <w:tcW w:w="2160" w:type="dxa"/>
            <w:vAlign w:val="bottom"/>
            <w:tcBorders>
              <w:bottom w:val="single" w:sz="8" w:color="232F84"/>
            </w:tcBorders>
            <w:gridSpan w:val="3"/>
            <w:shd w:val="clear" w:color="auto" w:fill="232F84"/>
          </w:tcPr>
          <w:p>
            <w:pPr>
              <w:jc w:val="right"/>
              <w:spacing w:after="0"/>
              <w:rPr>
                <w:sz w:val="20"/>
                <w:szCs w:val="20"/>
                <w:color w:val="auto"/>
              </w:rPr>
            </w:pPr>
            <w:r>
              <w:rPr>
                <w:rFonts w:ascii="Arial" w:cs="Arial" w:eastAsia="Arial" w:hAnsi="Arial"/>
                <w:sz w:val="12"/>
                <w:szCs w:val="12"/>
                <w:b w:val="1"/>
                <w:bCs w:val="1"/>
                <w:color w:val="FFFFFF"/>
              </w:rPr>
              <w:t>Nine Months Ended July 31, 2021</w:t>
            </w:r>
          </w:p>
        </w:tc>
        <w:tc>
          <w:tcPr>
            <w:tcW w:w="180" w:type="dxa"/>
            <w:vAlign w:val="bottom"/>
            <w:tcBorders>
              <w:bottom w:val="single" w:sz="8" w:color="232F84"/>
            </w:tcBorders>
            <w:shd w:val="clear" w:color="auto" w:fill="232F84"/>
          </w:tcPr>
          <w:p>
            <w:pPr>
              <w:spacing w:after="0"/>
              <w:rPr>
                <w:sz w:val="15"/>
                <w:szCs w:val="15"/>
                <w:color w:val="auto"/>
              </w:rPr>
            </w:pPr>
          </w:p>
        </w:tc>
        <w:tc>
          <w:tcPr>
            <w:tcW w:w="280" w:type="dxa"/>
            <w:vAlign w:val="bottom"/>
            <w:tcBorders>
              <w:bottom w:val="single" w:sz="8" w:color="232F84"/>
            </w:tcBorders>
            <w:shd w:val="clear" w:color="auto" w:fill="232F84"/>
          </w:tcPr>
          <w:p>
            <w:pPr>
              <w:spacing w:after="0"/>
              <w:rPr>
                <w:sz w:val="15"/>
                <w:szCs w:val="15"/>
                <w:color w:val="auto"/>
              </w:rPr>
            </w:pPr>
          </w:p>
        </w:tc>
        <w:tc>
          <w:tcPr>
            <w:tcW w:w="900" w:type="dxa"/>
            <w:vAlign w:val="bottom"/>
            <w:tcBorders>
              <w:bottom w:val="single" w:sz="8" w:color="232F84"/>
            </w:tcBorders>
            <w:shd w:val="clear" w:color="auto" w:fill="232F84"/>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73"/>
        </w:trPr>
        <w:tc>
          <w:tcPr>
            <w:tcW w:w="1800" w:type="dxa"/>
            <w:vAlign w:val="bottom"/>
            <w:tcBorders>
              <w:bottom w:val="single" w:sz="8" w:color="43C0B9"/>
            </w:tcBorders>
            <w:shd w:val="clear" w:color="auto" w:fill="43C0B9"/>
          </w:tcPr>
          <w:p>
            <w:pPr>
              <w:ind w:left="120"/>
              <w:spacing w:after="0"/>
              <w:rPr>
                <w:sz w:val="20"/>
                <w:szCs w:val="20"/>
                <w:color w:val="auto"/>
              </w:rPr>
            </w:pPr>
            <w:r>
              <w:rPr>
                <w:rFonts w:ascii="Arial" w:cs="Arial" w:eastAsia="Arial" w:hAnsi="Arial"/>
                <w:sz w:val="12"/>
                <w:szCs w:val="12"/>
                <w:color w:val="auto"/>
              </w:rPr>
              <w:t>Henry Avocado</w:t>
            </w:r>
          </w:p>
        </w:tc>
        <w:tc>
          <w:tcPr>
            <w:tcW w:w="300" w:type="dxa"/>
            <w:vAlign w:val="bottom"/>
            <w:tcBorders>
              <w:bottom w:val="single" w:sz="8" w:color="43C0B9"/>
            </w:tcBorders>
            <w:shd w:val="clear" w:color="auto" w:fill="43C0B9"/>
          </w:tcPr>
          <w:p>
            <w:pPr>
              <w:jc w:val="right"/>
              <w:ind w:right="16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43C0B9"/>
            </w:tcBorders>
            <w:gridSpan w:val="2"/>
            <w:shd w:val="clear" w:color="auto" w:fill="43C0B9"/>
          </w:tcPr>
          <w:p>
            <w:pPr>
              <w:jc w:val="right"/>
              <w:ind w:right="20"/>
              <w:spacing w:after="0"/>
              <w:rPr>
                <w:sz w:val="20"/>
                <w:szCs w:val="20"/>
                <w:color w:val="auto"/>
              </w:rPr>
            </w:pPr>
            <w:r>
              <w:rPr>
                <w:rFonts w:ascii="Arial" w:cs="Arial" w:eastAsia="Arial" w:hAnsi="Arial"/>
                <w:sz w:val="12"/>
                <w:szCs w:val="12"/>
                <w:color w:val="auto"/>
              </w:rPr>
              <w:t>1.3</w:t>
            </w:r>
          </w:p>
        </w:tc>
        <w:tc>
          <w:tcPr>
            <w:tcW w:w="2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43C0B9"/>
            </w:tcBorders>
            <w:shd w:val="clear" w:color="auto" w:fill="43C0B9"/>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43C0B9"/>
            </w:tcBorders>
            <w:shd w:val="clear" w:color="auto" w:fill="43C0B9"/>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43C0B9"/>
            </w:tcBorders>
            <w:shd w:val="clear" w:color="auto" w:fill="43C0B9"/>
          </w:tcPr>
          <w:p>
            <w:pPr>
              <w:jc w:val="right"/>
              <w:ind w:right="36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43C0B9"/>
            </w:tcBorders>
            <w:shd w:val="clear" w:color="auto" w:fill="43C0B9"/>
          </w:tcPr>
          <w:p>
            <w:pPr>
              <w:jc w:val="right"/>
              <w:ind w:right="40"/>
              <w:spacing w:after="0"/>
              <w:rPr>
                <w:sz w:val="20"/>
                <w:szCs w:val="20"/>
                <w:color w:val="auto"/>
              </w:rPr>
            </w:pPr>
            <w:r>
              <w:rPr>
                <w:rFonts w:ascii="Arial" w:cs="Arial" w:eastAsia="Arial" w:hAnsi="Arial"/>
                <w:sz w:val="12"/>
                <w:szCs w:val="12"/>
                <w:color w:val="auto"/>
              </w:rPr>
              <w:t>1.3</w:t>
            </w:r>
          </w:p>
        </w:tc>
        <w:tc>
          <w:tcPr>
            <w:tcW w:w="900" w:type="dxa"/>
            <w:vAlign w:val="bottom"/>
            <w:tcBorders>
              <w:bottom w:val="single" w:sz="8" w:color="43C0B9"/>
            </w:tcBorders>
            <w:shd w:val="clear" w:color="auto" w:fill="43C0B9"/>
          </w:tcPr>
          <w:p>
            <w:pPr>
              <w:jc w:val="right"/>
              <w:ind w:right="7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43C0B9"/>
            </w:tcBorders>
            <w:shd w:val="clear" w:color="auto" w:fill="43C0B9"/>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43C0B9"/>
            </w:tcBorders>
            <w:shd w:val="clear" w:color="auto" w:fill="43C0B9"/>
          </w:tcPr>
          <w:p>
            <w:pPr>
              <w:jc w:val="right"/>
              <w:ind w:right="8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tcBorders>
              <w:bottom w:val="single" w:sz="8" w:color="43C0B9"/>
            </w:tcBorders>
            <w:shd w:val="clear" w:color="auto" w:fill="43C0B9"/>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r>
      <w:tr>
        <w:trPr>
          <w:trHeight w:val="165"/>
        </w:trPr>
        <w:tc>
          <w:tcPr>
            <w:tcW w:w="1800" w:type="dxa"/>
            <w:vAlign w:val="bottom"/>
          </w:tcPr>
          <w:p>
            <w:pPr>
              <w:ind w:left="120"/>
              <w:spacing w:after="0"/>
              <w:rPr>
                <w:sz w:val="20"/>
                <w:szCs w:val="20"/>
                <w:color w:val="auto"/>
              </w:rPr>
            </w:pPr>
            <w:r>
              <w:rPr>
                <w:rFonts w:ascii="Arial" w:cs="Arial" w:eastAsia="Arial" w:hAnsi="Arial"/>
                <w:sz w:val="12"/>
                <w:szCs w:val="12"/>
                <w:color w:val="auto"/>
              </w:rPr>
              <w:t>Mr. Avocado</w:t>
            </w:r>
          </w:p>
        </w:tc>
        <w:tc>
          <w:tcPr>
            <w:tcW w:w="3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1.7</w:t>
            </w:r>
          </w:p>
        </w:tc>
        <w:tc>
          <w:tcPr>
            <w:tcW w:w="26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3.6</w:t>
            </w:r>
          </w:p>
        </w:tc>
        <w:tc>
          <w:tcPr>
            <w:tcW w:w="900" w:type="dxa"/>
            <w:vAlign w:val="bottom"/>
          </w:tcPr>
          <w:p>
            <w:pPr>
              <w:spacing w:after="0"/>
              <w:rPr>
                <w:sz w:val="14"/>
                <w:szCs w:val="14"/>
                <w:color w:val="auto"/>
              </w:rPr>
            </w:pP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800" w:type="dxa"/>
            <w:vAlign w:val="bottom"/>
            <w:shd w:val="clear" w:color="auto" w:fill="43C0B9"/>
          </w:tcPr>
          <w:p>
            <w:pPr>
              <w:ind w:left="120"/>
              <w:spacing w:after="0"/>
              <w:rPr>
                <w:sz w:val="20"/>
                <w:szCs w:val="20"/>
                <w:color w:val="auto"/>
              </w:rPr>
            </w:pPr>
            <w:r>
              <w:rPr>
                <w:rFonts w:ascii="Arial" w:cs="Arial" w:eastAsia="Arial" w:hAnsi="Arial"/>
                <w:sz w:val="12"/>
                <w:szCs w:val="12"/>
                <w:color w:val="auto"/>
              </w:rPr>
              <w:t>Moruga</w:t>
            </w:r>
            <w:r>
              <w:rPr>
                <w:rFonts w:ascii="Arial" w:cs="Arial" w:eastAsia="Arial" w:hAnsi="Arial"/>
                <w:sz w:val="15"/>
                <w:szCs w:val="15"/>
                <w:color w:val="auto"/>
                <w:vertAlign w:val="superscript"/>
              </w:rPr>
              <w:t>(1)</w:t>
            </w:r>
          </w:p>
        </w:tc>
        <w:tc>
          <w:tcPr>
            <w:tcW w:w="300" w:type="dxa"/>
            <w:vAlign w:val="bottom"/>
            <w:shd w:val="clear" w:color="auto" w:fill="43C0B9"/>
          </w:tcPr>
          <w:p>
            <w:pPr>
              <w:spacing w:after="0"/>
              <w:rPr>
                <w:sz w:val="16"/>
                <w:szCs w:val="16"/>
                <w:color w:val="auto"/>
              </w:rPr>
            </w:pPr>
          </w:p>
        </w:tc>
        <w:tc>
          <w:tcPr>
            <w:tcW w:w="720" w:type="dxa"/>
            <w:vAlign w:val="bottom"/>
            <w:gridSpan w:val="2"/>
            <w:shd w:val="clear" w:color="auto" w:fill="43C0B9"/>
          </w:tcPr>
          <w:p>
            <w:pPr>
              <w:jc w:val="right"/>
              <w:ind w:right="20"/>
              <w:spacing w:after="0"/>
              <w:rPr>
                <w:sz w:val="20"/>
                <w:szCs w:val="20"/>
                <w:color w:val="auto"/>
              </w:rPr>
            </w:pPr>
            <w:r>
              <w:rPr>
                <w:rFonts w:ascii="Arial" w:cs="Arial" w:eastAsia="Arial" w:hAnsi="Arial"/>
                <w:sz w:val="12"/>
                <w:szCs w:val="12"/>
                <w:color w:val="auto"/>
              </w:rPr>
              <w:t>0.1</w:t>
            </w: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43C0B9"/>
          </w:tcPr>
          <w:p>
            <w:pPr>
              <w:spacing w:after="0"/>
              <w:rPr>
                <w:sz w:val="16"/>
                <w:szCs w:val="16"/>
                <w:color w:val="auto"/>
              </w:rPr>
            </w:pPr>
          </w:p>
        </w:tc>
        <w:tc>
          <w:tcPr>
            <w:tcW w:w="96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43C0B9"/>
          </w:tcPr>
          <w:p>
            <w:pPr>
              <w:spacing w:after="0"/>
              <w:rPr>
                <w:sz w:val="16"/>
                <w:szCs w:val="16"/>
                <w:color w:val="auto"/>
              </w:rPr>
            </w:pPr>
          </w:p>
        </w:tc>
        <w:tc>
          <w:tcPr>
            <w:tcW w:w="8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0.3</w:t>
            </w:r>
          </w:p>
        </w:tc>
        <w:tc>
          <w:tcPr>
            <w:tcW w:w="660" w:type="dxa"/>
            <w:vAlign w:val="bottom"/>
            <w:shd w:val="clear" w:color="auto" w:fill="43C0B9"/>
          </w:tcPr>
          <w:p>
            <w:pPr>
              <w:spacing w:after="0"/>
              <w:rPr>
                <w:sz w:val="16"/>
                <w:szCs w:val="16"/>
                <w:color w:val="auto"/>
              </w:rPr>
            </w:pPr>
          </w:p>
        </w:tc>
        <w:tc>
          <w:tcPr>
            <w:tcW w:w="62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2.7</w:t>
            </w:r>
          </w:p>
        </w:tc>
        <w:tc>
          <w:tcPr>
            <w:tcW w:w="900" w:type="dxa"/>
            <w:vAlign w:val="bottom"/>
            <w:shd w:val="clear" w:color="auto" w:fill="43C0B9"/>
          </w:tcPr>
          <w:p>
            <w:pPr>
              <w:spacing w:after="0"/>
              <w:rPr>
                <w:sz w:val="16"/>
                <w:szCs w:val="16"/>
                <w:color w:val="auto"/>
              </w:rPr>
            </w:pPr>
          </w:p>
        </w:tc>
        <w:tc>
          <w:tcPr>
            <w:tcW w:w="260" w:type="dxa"/>
            <w:vAlign w:val="bottom"/>
            <w:shd w:val="clear" w:color="auto" w:fill="43C0B9"/>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43C0B9"/>
          </w:tcPr>
          <w:p>
            <w:pPr>
              <w:spacing w:after="0"/>
              <w:rPr>
                <w:sz w:val="16"/>
                <w:szCs w:val="16"/>
                <w:color w:val="auto"/>
              </w:rPr>
            </w:pPr>
          </w:p>
        </w:tc>
        <w:tc>
          <w:tcPr>
            <w:tcW w:w="180" w:type="dxa"/>
            <w:vAlign w:val="bottom"/>
            <w:shd w:val="clear" w:color="auto" w:fill="43C0B9"/>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43C0B9"/>
          </w:tcPr>
          <w:p>
            <w:pPr>
              <w:spacing w:after="0"/>
              <w:rPr>
                <w:sz w:val="16"/>
                <w:szCs w:val="16"/>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0.4</w:t>
            </w:r>
          </w:p>
        </w:tc>
        <w:tc>
          <w:tcPr>
            <w:tcW w:w="20" w:type="dxa"/>
            <w:vAlign w:val="bottom"/>
          </w:tcPr>
          <w:p>
            <w:pPr>
              <w:spacing w:after="0"/>
              <w:rPr>
                <w:sz w:val="16"/>
                <w:szCs w:val="16"/>
                <w:color w:val="auto"/>
              </w:rPr>
            </w:pPr>
          </w:p>
        </w:tc>
      </w:tr>
      <w:tr>
        <w:trPr>
          <w:trHeight w:val="165"/>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93"/>
        </w:trPr>
        <w:tc>
          <w:tcPr>
            <w:tcW w:w="1800" w:type="dxa"/>
            <w:vAlign w:val="bottom"/>
            <w:shd w:val="clear" w:color="auto" w:fill="43C0B9"/>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(2)</w:t>
            </w:r>
          </w:p>
        </w:tc>
        <w:tc>
          <w:tcPr>
            <w:tcW w:w="300" w:type="dxa"/>
            <w:vAlign w:val="bottom"/>
            <w:shd w:val="clear" w:color="auto" w:fill="43C0B9"/>
          </w:tcPr>
          <w:p>
            <w:pPr>
              <w:spacing w:after="0"/>
              <w:rPr>
                <w:sz w:val="16"/>
                <w:szCs w:val="16"/>
                <w:color w:val="auto"/>
              </w:rPr>
            </w:pPr>
          </w:p>
        </w:tc>
        <w:tc>
          <w:tcPr>
            <w:tcW w:w="720" w:type="dxa"/>
            <w:vAlign w:val="bottom"/>
            <w:gridSpan w:val="2"/>
            <w:shd w:val="clear" w:color="auto" w:fill="43C0B9"/>
          </w:tcPr>
          <w:p>
            <w:pPr>
              <w:jc w:val="right"/>
              <w:ind w:right="20"/>
              <w:spacing w:after="0"/>
              <w:rPr>
                <w:sz w:val="20"/>
                <w:szCs w:val="20"/>
                <w:color w:val="auto"/>
              </w:rPr>
            </w:pPr>
            <w:r>
              <w:rPr>
                <w:rFonts w:ascii="Arial" w:cs="Arial" w:eastAsia="Arial" w:hAnsi="Arial"/>
                <w:sz w:val="12"/>
                <w:szCs w:val="12"/>
                <w:color w:val="auto"/>
              </w:rPr>
              <w:t>0.9</w:t>
            </w: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1.6</w:t>
            </w:r>
          </w:p>
        </w:tc>
        <w:tc>
          <w:tcPr>
            <w:tcW w:w="200" w:type="dxa"/>
            <w:vAlign w:val="bottom"/>
            <w:shd w:val="clear" w:color="auto" w:fill="43C0B9"/>
          </w:tcPr>
          <w:p>
            <w:pPr>
              <w:spacing w:after="0"/>
              <w:rPr>
                <w:sz w:val="16"/>
                <w:szCs w:val="16"/>
                <w:color w:val="auto"/>
              </w:rPr>
            </w:pPr>
          </w:p>
        </w:tc>
        <w:tc>
          <w:tcPr>
            <w:tcW w:w="96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43C0B9"/>
          </w:tcPr>
          <w:p>
            <w:pPr>
              <w:spacing w:after="0"/>
              <w:rPr>
                <w:sz w:val="16"/>
                <w:szCs w:val="16"/>
                <w:color w:val="auto"/>
              </w:rPr>
            </w:pPr>
          </w:p>
        </w:tc>
        <w:tc>
          <w:tcPr>
            <w:tcW w:w="8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43C0B9"/>
          </w:tcPr>
          <w:p>
            <w:pPr>
              <w:spacing w:after="0"/>
              <w:rPr>
                <w:sz w:val="16"/>
                <w:szCs w:val="16"/>
                <w:color w:val="auto"/>
              </w:rPr>
            </w:pPr>
          </w:p>
        </w:tc>
        <w:tc>
          <w:tcPr>
            <w:tcW w:w="62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2.5</w:t>
            </w:r>
          </w:p>
        </w:tc>
        <w:tc>
          <w:tcPr>
            <w:tcW w:w="900" w:type="dxa"/>
            <w:vAlign w:val="bottom"/>
            <w:shd w:val="clear" w:color="auto" w:fill="43C0B9"/>
          </w:tcPr>
          <w:p>
            <w:pPr>
              <w:spacing w:after="0"/>
              <w:rPr>
                <w:sz w:val="16"/>
                <w:szCs w:val="16"/>
                <w:color w:val="auto"/>
              </w:rPr>
            </w:pPr>
          </w:p>
        </w:tc>
        <w:tc>
          <w:tcPr>
            <w:tcW w:w="260" w:type="dxa"/>
            <w:vAlign w:val="bottom"/>
            <w:shd w:val="clear" w:color="auto" w:fill="43C0B9"/>
          </w:tcPr>
          <w:p>
            <w:pPr>
              <w:jc w:val="right"/>
              <w:ind w:right="20"/>
              <w:spacing w:after="0"/>
              <w:rPr>
                <w:sz w:val="20"/>
                <w:szCs w:val="20"/>
                <w:color w:val="auto"/>
              </w:rPr>
            </w:pPr>
            <w:r>
              <w:rPr>
                <w:rFonts w:ascii="Arial" w:cs="Arial" w:eastAsia="Arial" w:hAnsi="Arial"/>
                <w:sz w:val="12"/>
                <w:szCs w:val="12"/>
                <w:color w:val="auto"/>
                <w:w w:val="95"/>
              </w:rPr>
              <w:t>3.0</w:t>
            </w:r>
          </w:p>
        </w:tc>
        <w:tc>
          <w:tcPr>
            <w:tcW w:w="1180" w:type="dxa"/>
            <w:vAlign w:val="bottom"/>
            <w:gridSpan w:val="2"/>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280" w:type="dxa"/>
            <w:vAlign w:val="bottom"/>
            <w:shd w:val="clear" w:color="auto" w:fill="43C0B9"/>
          </w:tcPr>
          <w:p>
            <w:pPr>
              <w:spacing w:after="0"/>
              <w:rPr>
                <w:sz w:val="16"/>
                <w:szCs w:val="16"/>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r>
      <w:tr>
        <w:trPr>
          <w:trHeight w:val="193"/>
        </w:trPr>
        <w:tc>
          <w:tcPr>
            <w:tcW w:w="1800" w:type="dxa"/>
            <w:vAlign w:val="bottom"/>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(3)</w:t>
            </w:r>
          </w:p>
        </w:tc>
        <w:tc>
          <w:tcPr>
            <w:tcW w:w="3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2.1</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6"/>
                <w:szCs w:val="16"/>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6"/>
                <w:szCs w:val="16"/>
                <w:color w:val="auto"/>
              </w:rPr>
            </w:pPr>
          </w:p>
        </w:tc>
        <w:tc>
          <w:tcPr>
            <w:tcW w:w="260" w:type="dxa"/>
            <w:vAlign w:val="bottom"/>
          </w:tcPr>
          <w:p>
            <w:pPr>
              <w:jc w:val="right"/>
              <w:ind w:right="20"/>
              <w:spacing w:after="0"/>
              <w:rPr>
                <w:sz w:val="20"/>
                <w:szCs w:val="20"/>
                <w:color w:val="auto"/>
              </w:rPr>
            </w:pPr>
            <w:r>
              <w:rPr>
                <w:rFonts w:ascii="Arial" w:cs="Arial" w:eastAsia="Arial" w:hAnsi="Arial"/>
                <w:sz w:val="12"/>
                <w:szCs w:val="12"/>
                <w:color w:val="auto"/>
                <w:w w:val="95"/>
              </w:rPr>
              <w:t>8.1</w:t>
            </w:r>
          </w:p>
        </w:tc>
        <w:tc>
          <w:tcPr>
            <w:tcW w:w="10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73"/>
        </w:trPr>
        <w:tc>
          <w:tcPr>
            <w:tcW w:w="1800" w:type="dxa"/>
            <w:vAlign w:val="bottom"/>
            <w:tcBorders>
              <w:bottom w:val="single" w:sz="8" w:color="232F84"/>
            </w:tcBorders>
            <w:shd w:val="clear" w:color="auto" w:fill="232F84"/>
          </w:tcPr>
          <w:p>
            <w:pPr>
              <w:spacing w:after="0"/>
              <w:rPr>
                <w:sz w:val="15"/>
                <w:szCs w:val="15"/>
                <w:color w:val="auto"/>
              </w:rPr>
            </w:pPr>
          </w:p>
        </w:tc>
        <w:tc>
          <w:tcPr>
            <w:tcW w:w="300" w:type="dxa"/>
            <w:vAlign w:val="bottom"/>
            <w:tcBorders>
              <w:bottom w:val="single" w:sz="8" w:color="232F84"/>
            </w:tcBorders>
            <w:shd w:val="clear" w:color="auto" w:fill="232F84"/>
          </w:tcPr>
          <w:p>
            <w:pPr>
              <w:spacing w:after="0"/>
              <w:rPr>
                <w:sz w:val="15"/>
                <w:szCs w:val="15"/>
                <w:color w:val="auto"/>
              </w:rPr>
            </w:pPr>
          </w:p>
        </w:tc>
        <w:tc>
          <w:tcPr>
            <w:tcW w:w="600" w:type="dxa"/>
            <w:vAlign w:val="bottom"/>
            <w:tcBorders>
              <w:bottom w:val="single" w:sz="8" w:color="232F84"/>
            </w:tcBorders>
            <w:shd w:val="clear" w:color="auto" w:fill="232F84"/>
          </w:tcPr>
          <w:p>
            <w:pPr>
              <w:spacing w:after="0"/>
              <w:rPr>
                <w:sz w:val="15"/>
                <w:szCs w:val="15"/>
                <w:color w:val="auto"/>
              </w:rPr>
            </w:pPr>
          </w:p>
        </w:tc>
        <w:tc>
          <w:tcPr>
            <w:tcW w:w="120" w:type="dxa"/>
            <w:vAlign w:val="bottom"/>
            <w:tcBorders>
              <w:bottom w:val="single" w:sz="8" w:color="232F84"/>
            </w:tcBorders>
            <w:shd w:val="clear" w:color="auto" w:fill="232F84"/>
          </w:tcPr>
          <w:p>
            <w:pPr>
              <w:spacing w:after="0"/>
              <w:rPr>
                <w:sz w:val="15"/>
                <w:szCs w:val="15"/>
                <w:color w:val="auto"/>
              </w:rPr>
            </w:pPr>
          </w:p>
        </w:tc>
        <w:tc>
          <w:tcPr>
            <w:tcW w:w="260" w:type="dxa"/>
            <w:vAlign w:val="bottom"/>
            <w:tcBorders>
              <w:bottom w:val="single" w:sz="8" w:color="232F84"/>
            </w:tcBorders>
            <w:shd w:val="clear" w:color="auto" w:fill="232F84"/>
          </w:tcPr>
          <w:p>
            <w:pPr>
              <w:spacing w:after="0"/>
              <w:rPr>
                <w:sz w:val="15"/>
                <w:szCs w:val="15"/>
                <w:color w:val="auto"/>
              </w:rPr>
            </w:pPr>
          </w:p>
        </w:tc>
        <w:tc>
          <w:tcPr>
            <w:tcW w:w="2160" w:type="dxa"/>
            <w:vAlign w:val="bottom"/>
            <w:tcBorders>
              <w:bottom w:val="single" w:sz="8" w:color="232F84"/>
            </w:tcBorders>
            <w:gridSpan w:val="3"/>
            <w:shd w:val="clear" w:color="auto" w:fill="232F84"/>
          </w:tcPr>
          <w:p>
            <w:pPr>
              <w:jc w:val="right"/>
              <w:ind w:right="100"/>
              <w:spacing w:after="0"/>
              <w:rPr>
                <w:sz w:val="20"/>
                <w:szCs w:val="20"/>
                <w:color w:val="auto"/>
              </w:rPr>
            </w:pPr>
            <w:r>
              <w:rPr>
                <w:rFonts w:ascii="Arial" w:cs="Arial" w:eastAsia="Arial" w:hAnsi="Arial"/>
                <w:sz w:val="12"/>
                <w:szCs w:val="12"/>
                <w:b w:val="1"/>
                <w:bCs w:val="1"/>
                <w:color w:val="FFFFFF"/>
              </w:rPr>
              <w:t>Three Months Ended July 31, 2020</w:t>
            </w:r>
          </w:p>
        </w:tc>
        <w:tc>
          <w:tcPr>
            <w:tcW w:w="380" w:type="dxa"/>
            <w:vAlign w:val="bottom"/>
            <w:tcBorders>
              <w:bottom w:val="single" w:sz="8" w:color="232F84"/>
            </w:tcBorders>
            <w:shd w:val="clear" w:color="auto" w:fill="232F84"/>
          </w:tcPr>
          <w:p>
            <w:pPr>
              <w:spacing w:after="0"/>
              <w:rPr>
                <w:sz w:val="15"/>
                <w:szCs w:val="15"/>
                <w:color w:val="auto"/>
              </w:rPr>
            </w:pPr>
          </w:p>
        </w:tc>
        <w:tc>
          <w:tcPr>
            <w:tcW w:w="800" w:type="dxa"/>
            <w:vAlign w:val="bottom"/>
            <w:tcBorders>
              <w:bottom w:val="single" w:sz="8" w:color="232F84"/>
            </w:tcBorders>
            <w:shd w:val="clear" w:color="auto" w:fill="232F84"/>
          </w:tcPr>
          <w:p>
            <w:pPr>
              <w:spacing w:after="0"/>
              <w:rPr>
                <w:sz w:val="15"/>
                <w:szCs w:val="15"/>
                <w:color w:val="auto"/>
              </w:rPr>
            </w:pPr>
          </w:p>
        </w:tc>
        <w:tc>
          <w:tcPr>
            <w:tcW w:w="660" w:type="dxa"/>
            <w:vAlign w:val="bottom"/>
            <w:tcBorders>
              <w:bottom w:val="single" w:sz="8" w:color="232F84"/>
            </w:tcBorders>
            <w:shd w:val="clear" w:color="auto" w:fill="232F84"/>
          </w:tcPr>
          <w:p>
            <w:pPr>
              <w:spacing w:after="0"/>
              <w:rPr>
                <w:sz w:val="15"/>
                <w:szCs w:val="15"/>
                <w:color w:val="auto"/>
              </w:rPr>
            </w:pPr>
          </w:p>
        </w:tc>
        <w:tc>
          <w:tcPr>
            <w:tcW w:w="620" w:type="dxa"/>
            <w:vAlign w:val="bottom"/>
            <w:tcBorders>
              <w:bottom w:val="single" w:sz="8" w:color="232F84"/>
            </w:tcBorders>
            <w:shd w:val="clear" w:color="auto" w:fill="232F84"/>
          </w:tcPr>
          <w:p>
            <w:pPr>
              <w:spacing w:after="0"/>
              <w:rPr>
                <w:sz w:val="15"/>
                <w:szCs w:val="15"/>
                <w:color w:val="auto"/>
              </w:rPr>
            </w:pPr>
          </w:p>
        </w:tc>
        <w:tc>
          <w:tcPr>
            <w:tcW w:w="2160" w:type="dxa"/>
            <w:vAlign w:val="bottom"/>
            <w:tcBorders>
              <w:bottom w:val="single" w:sz="8" w:color="232F84"/>
            </w:tcBorders>
            <w:gridSpan w:val="3"/>
            <w:shd w:val="clear" w:color="auto" w:fill="232F84"/>
          </w:tcPr>
          <w:p>
            <w:pPr>
              <w:jc w:val="right"/>
              <w:spacing w:after="0"/>
              <w:rPr>
                <w:sz w:val="20"/>
                <w:szCs w:val="20"/>
                <w:color w:val="auto"/>
              </w:rPr>
            </w:pPr>
            <w:r>
              <w:rPr>
                <w:rFonts w:ascii="Arial" w:cs="Arial" w:eastAsia="Arial" w:hAnsi="Arial"/>
                <w:sz w:val="12"/>
                <w:szCs w:val="12"/>
                <w:b w:val="1"/>
                <w:bCs w:val="1"/>
                <w:color w:val="FFFFFF"/>
              </w:rPr>
              <w:t>Nine Months Ended July 31, 2020</w:t>
            </w:r>
          </w:p>
        </w:tc>
        <w:tc>
          <w:tcPr>
            <w:tcW w:w="180" w:type="dxa"/>
            <w:vAlign w:val="bottom"/>
            <w:tcBorders>
              <w:bottom w:val="single" w:sz="8" w:color="232F84"/>
            </w:tcBorders>
            <w:shd w:val="clear" w:color="auto" w:fill="232F84"/>
          </w:tcPr>
          <w:p>
            <w:pPr>
              <w:spacing w:after="0"/>
              <w:rPr>
                <w:sz w:val="15"/>
                <w:szCs w:val="15"/>
                <w:color w:val="auto"/>
              </w:rPr>
            </w:pPr>
          </w:p>
        </w:tc>
        <w:tc>
          <w:tcPr>
            <w:tcW w:w="280" w:type="dxa"/>
            <w:vAlign w:val="bottom"/>
            <w:tcBorders>
              <w:bottom w:val="single" w:sz="8" w:color="232F84"/>
            </w:tcBorders>
            <w:shd w:val="clear" w:color="auto" w:fill="232F84"/>
          </w:tcPr>
          <w:p>
            <w:pPr>
              <w:spacing w:after="0"/>
              <w:rPr>
                <w:sz w:val="15"/>
                <w:szCs w:val="15"/>
                <w:color w:val="auto"/>
              </w:rPr>
            </w:pPr>
          </w:p>
        </w:tc>
        <w:tc>
          <w:tcPr>
            <w:tcW w:w="900" w:type="dxa"/>
            <w:vAlign w:val="bottom"/>
            <w:tcBorders>
              <w:bottom w:val="single" w:sz="8" w:color="232F84"/>
            </w:tcBorders>
            <w:shd w:val="clear" w:color="auto" w:fill="232F84"/>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73"/>
        </w:trPr>
        <w:tc>
          <w:tcPr>
            <w:tcW w:w="1800" w:type="dxa"/>
            <w:vAlign w:val="bottom"/>
            <w:tcBorders>
              <w:bottom w:val="single" w:sz="8" w:color="43C0B9"/>
            </w:tcBorders>
            <w:shd w:val="clear" w:color="auto" w:fill="43C0B9"/>
          </w:tcPr>
          <w:p>
            <w:pPr>
              <w:ind w:left="120"/>
              <w:spacing w:after="0"/>
              <w:rPr>
                <w:sz w:val="20"/>
                <w:szCs w:val="20"/>
                <w:color w:val="auto"/>
              </w:rPr>
            </w:pPr>
            <w:r>
              <w:rPr>
                <w:rFonts w:ascii="Arial" w:cs="Arial" w:eastAsia="Arial" w:hAnsi="Arial"/>
                <w:sz w:val="12"/>
                <w:szCs w:val="12"/>
                <w:color w:val="auto"/>
              </w:rPr>
              <w:t>Henry Avocado</w:t>
            </w:r>
          </w:p>
        </w:tc>
        <w:tc>
          <w:tcPr>
            <w:tcW w:w="300" w:type="dxa"/>
            <w:vAlign w:val="bottom"/>
            <w:tcBorders>
              <w:bottom w:val="single" w:sz="8" w:color="43C0B9"/>
            </w:tcBorders>
            <w:shd w:val="clear" w:color="auto" w:fill="43C0B9"/>
          </w:tcPr>
          <w:p>
            <w:pPr>
              <w:jc w:val="right"/>
              <w:ind w:right="16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43C0B9"/>
            </w:tcBorders>
            <w:gridSpan w:val="2"/>
            <w:shd w:val="clear" w:color="auto" w:fill="43C0B9"/>
          </w:tcPr>
          <w:p>
            <w:pPr>
              <w:jc w:val="right"/>
              <w:ind w:right="20"/>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43C0B9"/>
            </w:tcBorders>
            <w:shd w:val="clear" w:color="auto" w:fill="43C0B9"/>
          </w:tcPr>
          <w:p>
            <w:pPr>
              <w:jc w:val="right"/>
              <w:ind w:right="40"/>
              <w:spacing w:after="0"/>
              <w:rPr>
                <w:sz w:val="20"/>
                <w:szCs w:val="20"/>
                <w:color w:val="auto"/>
              </w:rPr>
            </w:pPr>
            <w:r>
              <w:rPr>
                <w:rFonts w:ascii="Arial" w:cs="Arial" w:eastAsia="Arial" w:hAnsi="Arial"/>
                <w:sz w:val="12"/>
                <w:szCs w:val="12"/>
                <w:color w:val="auto"/>
              </w:rPr>
              <w:t>0.6</w:t>
            </w:r>
          </w:p>
        </w:tc>
        <w:tc>
          <w:tcPr>
            <w:tcW w:w="2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43C0B9"/>
            </w:tcBorders>
            <w:shd w:val="clear" w:color="auto" w:fill="43C0B9"/>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43C0B9"/>
            </w:tcBorders>
            <w:shd w:val="clear" w:color="auto" w:fill="43C0B9"/>
          </w:tcPr>
          <w:p>
            <w:pPr>
              <w:jc w:val="right"/>
              <w:ind w:right="36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43C0B9"/>
            </w:tcBorders>
            <w:shd w:val="clear" w:color="auto" w:fill="43C0B9"/>
          </w:tcPr>
          <w:p>
            <w:pPr>
              <w:jc w:val="right"/>
              <w:ind w:right="40"/>
              <w:spacing w:after="0"/>
              <w:rPr>
                <w:sz w:val="20"/>
                <w:szCs w:val="20"/>
                <w:color w:val="auto"/>
              </w:rPr>
            </w:pPr>
            <w:r>
              <w:rPr>
                <w:rFonts w:ascii="Arial" w:cs="Arial" w:eastAsia="Arial" w:hAnsi="Arial"/>
                <w:sz w:val="12"/>
                <w:szCs w:val="12"/>
                <w:color w:val="auto"/>
              </w:rPr>
              <w:t>0.3</w:t>
            </w:r>
          </w:p>
        </w:tc>
        <w:tc>
          <w:tcPr>
            <w:tcW w:w="900" w:type="dxa"/>
            <w:vAlign w:val="bottom"/>
            <w:tcBorders>
              <w:bottom w:val="single" w:sz="8" w:color="43C0B9"/>
            </w:tcBorders>
            <w:shd w:val="clear" w:color="auto" w:fill="43C0B9"/>
          </w:tcPr>
          <w:p>
            <w:pPr>
              <w:jc w:val="right"/>
              <w:ind w:right="7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43C0B9"/>
            </w:tcBorders>
            <w:shd w:val="clear" w:color="auto" w:fill="43C0B9"/>
          </w:tcPr>
          <w:p>
            <w:pPr>
              <w:jc w:val="right"/>
              <w:ind w:right="20"/>
              <w:spacing w:after="0"/>
              <w:rPr>
                <w:sz w:val="20"/>
                <w:szCs w:val="20"/>
                <w:color w:val="auto"/>
              </w:rPr>
            </w:pPr>
            <w:r>
              <w:rPr>
                <w:rFonts w:ascii="Arial" w:cs="Arial" w:eastAsia="Arial" w:hAnsi="Arial"/>
                <w:sz w:val="12"/>
                <w:szCs w:val="12"/>
                <w:color w:val="auto"/>
                <w:w w:val="95"/>
              </w:rPr>
              <w:t>0.8</w:t>
            </w:r>
          </w:p>
        </w:tc>
        <w:tc>
          <w:tcPr>
            <w:tcW w:w="1000" w:type="dxa"/>
            <w:vAlign w:val="bottom"/>
            <w:tcBorders>
              <w:bottom w:val="single" w:sz="8" w:color="43C0B9"/>
            </w:tcBorders>
            <w:shd w:val="clear" w:color="auto" w:fill="43C0B9"/>
          </w:tcPr>
          <w:p>
            <w:pPr>
              <w:jc w:val="right"/>
              <w:ind w:right="8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tcBorders>
              <w:bottom w:val="single" w:sz="8" w:color="43C0B9"/>
            </w:tcBorders>
            <w:shd w:val="clear" w:color="auto" w:fill="43C0B9"/>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r>
      <w:tr>
        <w:trPr>
          <w:trHeight w:val="165"/>
        </w:trPr>
        <w:tc>
          <w:tcPr>
            <w:tcW w:w="1800" w:type="dxa"/>
            <w:vAlign w:val="bottom"/>
          </w:tcPr>
          <w:p>
            <w:pPr>
              <w:ind w:left="120"/>
              <w:spacing w:after="0"/>
              <w:rPr>
                <w:sz w:val="20"/>
                <w:szCs w:val="20"/>
                <w:color w:val="auto"/>
              </w:rPr>
            </w:pPr>
            <w:r>
              <w:rPr>
                <w:rFonts w:ascii="Arial" w:cs="Arial" w:eastAsia="Arial" w:hAnsi="Arial"/>
                <w:sz w:val="12"/>
                <w:szCs w:val="12"/>
                <w:color w:val="auto"/>
              </w:rPr>
              <w:t>Mr. Avocado</w:t>
            </w:r>
          </w:p>
        </w:tc>
        <w:tc>
          <w:tcPr>
            <w:tcW w:w="3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0.7</w:t>
            </w:r>
          </w:p>
        </w:tc>
        <w:tc>
          <w:tcPr>
            <w:tcW w:w="26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1.4</w:t>
            </w:r>
          </w:p>
        </w:tc>
        <w:tc>
          <w:tcPr>
            <w:tcW w:w="900" w:type="dxa"/>
            <w:vAlign w:val="bottom"/>
          </w:tcPr>
          <w:p>
            <w:pPr>
              <w:spacing w:after="0"/>
              <w:rPr>
                <w:sz w:val="14"/>
                <w:szCs w:val="14"/>
                <w:color w:val="auto"/>
              </w:rPr>
            </w:pP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93"/>
        </w:trPr>
        <w:tc>
          <w:tcPr>
            <w:tcW w:w="1800" w:type="dxa"/>
            <w:vAlign w:val="bottom"/>
            <w:shd w:val="clear" w:color="auto" w:fill="43C0B9"/>
          </w:tcPr>
          <w:p>
            <w:pPr>
              <w:ind w:left="120"/>
              <w:spacing w:after="0"/>
              <w:rPr>
                <w:sz w:val="20"/>
                <w:szCs w:val="20"/>
                <w:color w:val="auto"/>
              </w:rPr>
            </w:pPr>
            <w:r>
              <w:rPr>
                <w:rFonts w:ascii="Arial" w:cs="Arial" w:eastAsia="Arial" w:hAnsi="Arial"/>
                <w:sz w:val="12"/>
                <w:szCs w:val="12"/>
                <w:color w:val="auto"/>
              </w:rPr>
              <w:t>Moruga</w:t>
            </w:r>
            <w:r>
              <w:rPr>
                <w:rFonts w:ascii="Arial" w:cs="Arial" w:eastAsia="Arial" w:hAnsi="Arial"/>
                <w:sz w:val="15"/>
                <w:szCs w:val="15"/>
                <w:color w:val="auto"/>
                <w:vertAlign w:val="superscript"/>
              </w:rPr>
              <w:t>(1)</w:t>
            </w:r>
          </w:p>
        </w:tc>
        <w:tc>
          <w:tcPr>
            <w:tcW w:w="300" w:type="dxa"/>
            <w:vAlign w:val="bottom"/>
            <w:shd w:val="clear" w:color="auto" w:fill="43C0B9"/>
          </w:tcPr>
          <w:p>
            <w:pPr>
              <w:spacing w:after="0"/>
              <w:rPr>
                <w:sz w:val="16"/>
                <w:szCs w:val="16"/>
                <w:color w:val="auto"/>
              </w:rPr>
            </w:pPr>
          </w:p>
        </w:tc>
        <w:tc>
          <w:tcPr>
            <w:tcW w:w="720" w:type="dxa"/>
            <w:vAlign w:val="bottom"/>
            <w:gridSpan w:val="2"/>
            <w:shd w:val="clear" w:color="auto" w:fill="43C0B9"/>
          </w:tcPr>
          <w:p>
            <w:pPr>
              <w:jc w:val="right"/>
              <w:ind w:right="20"/>
              <w:spacing w:after="0"/>
              <w:rPr>
                <w:sz w:val="20"/>
                <w:szCs w:val="20"/>
                <w:color w:val="auto"/>
              </w:rPr>
            </w:pPr>
            <w:r>
              <w:rPr>
                <w:rFonts w:ascii="Arial" w:cs="Arial" w:eastAsia="Arial" w:hAnsi="Arial"/>
                <w:sz w:val="12"/>
                <w:szCs w:val="12"/>
                <w:color w:val="auto"/>
              </w:rPr>
              <w:t>—</w:t>
            </w:r>
          </w:p>
        </w:tc>
        <w:tc>
          <w:tcPr>
            <w:tcW w:w="260" w:type="dxa"/>
            <w:vAlign w:val="bottom"/>
            <w:shd w:val="clear" w:color="auto" w:fill="43C0B9"/>
          </w:tcPr>
          <w:p>
            <w:pPr>
              <w:spacing w:after="0"/>
              <w:rPr>
                <w:sz w:val="16"/>
                <w:szCs w:val="16"/>
                <w:color w:val="auto"/>
              </w:rPr>
            </w:pPr>
          </w:p>
        </w:tc>
        <w:tc>
          <w:tcPr>
            <w:tcW w:w="100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43C0B9"/>
          </w:tcPr>
          <w:p>
            <w:pPr>
              <w:spacing w:after="0"/>
              <w:rPr>
                <w:sz w:val="16"/>
                <w:szCs w:val="16"/>
                <w:color w:val="auto"/>
              </w:rPr>
            </w:pPr>
          </w:p>
        </w:tc>
        <w:tc>
          <w:tcPr>
            <w:tcW w:w="96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43C0B9"/>
          </w:tcPr>
          <w:p>
            <w:pPr>
              <w:spacing w:after="0"/>
              <w:rPr>
                <w:sz w:val="16"/>
                <w:szCs w:val="16"/>
                <w:color w:val="auto"/>
              </w:rPr>
            </w:pPr>
          </w:p>
        </w:tc>
        <w:tc>
          <w:tcPr>
            <w:tcW w:w="8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43C0B9"/>
          </w:tcPr>
          <w:p>
            <w:pPr>
              <w:spacing w:after="0"/>
              <w:rPr>
                <w:sz w:val="16"/>
                <w:szCs w:val="16"/>
                <w:color w:val="auto"/>
              </w:rPr>
            </w:pPr>
          </w:p>
        </w:tc>
        <w:tc>
          <w:tcPr>
            <w:tcW w:w="620" w:type="dxa"/>
            <w:vAlign w:val="bottom"/>
            <w:shd w:val="clear" w:color="auto" w:fill="43C0B9"/>
          </w:tcPr>
          <w:p>
            <w:pPr>
              <w:jc w:val="right"/>
              <w:ind w:right="40"/>
              <w:spacing w:after="0"/>
              <w:rPr>
                <w:sz w:val="20"/>
                <w:szCs w:val="20"/>
                <w:color w:val="auto"/>
              </w:rPr>
            </w:pPr>
            <w:r>
              <w:rPr>
                <w:rFonts w:ascii="Arial" w:cs="Arial" w:eastAsia="Arial" w:hAnsi="Arial"/>
                <w:sz w:val="12"/>
                <w:szCs w:val="12"/>
                <w:color w:val="auto"/>
              </w:rPr>
              <w:t>2.0</w:t>
            </w:r>
          </w:p>
        </w:tc>
        <w:tc>
          <w:tcPr>
            <w:tcW w:w="900" w:type="dxa"/>
            <w:vAlign w:val="bottom"/>
            <w:shd w:val="clear" w:color="auto" w:fill="43C0B9"/>
          </w:tcPr>
          <w:p>
            <w:pPr>
              <w:spacing w:after="0"/>
              <w:rPr>
                <w:sz w:val="16"/>
                <w:szCs w:val="16"/>
                <w:color w:val="auto"/>
              </w:rPr>
            </w:pPr>
          </w:p>
        </w:tc>
        <w:tc>
          <w:tcPr>
            <w:tcW w:w="260" w:type="dxa"/>
            <w:vAlign w:val="bottom"/>
            <w:shd w:val="clear" w:color="auto" w:fill="43C0B9"/>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43C0B9"/>
          </w:tcPr>
          <w:p>
            <w:pPr>
              <w:spacing w:after="0"/>
              <w:rPr>
                <w:sz w:val="16"/>
                <w:szCs w:val="16"/>
                <w:color w:val="auto"/>
              </w:rPr>
            </w:pPr>
          </w:p>
        </w:tc>
        <w:tc>
          <w:tcPr>
            <w:tcW w:w="180" w:type="dxa"/>
            <w:vAlign w:val="bottom"/>
            <w:shd w:val="clear" w:color="auto" w:fill="43C0B9"/>
          </w:tcPr>
          <w:p>
            <w:pPr>
              <w:jc w:val="right"/>
              <w:spacing w:after="0"/>
              <w:rPr>
                <w:sz w:val="20"/>
                <w:szCs w:val="20"/>
                <w:color w:val="auto"/>
              </w:rPr>
            </w:pPr>
            <w:r>
              <w:rPr>
                <w:rFonts w:ascii="Arial" w:cs="Arial" w:eastAsia="Arial" w:hAnsi="Arial"/>
                <w:sz w:val="12"/>
                <w:szCs w:val="12"/>
                <w:color w:val="auto"/>
                <w:w w:val="82"/>
              </w:rPr>
              <w:t>—</w:t>
            </w:r>
          </w:p>
        </w:tc>
        <w:tc>
          <w:tcPr>
            <w:tcW w:w="280" w:type="dxa"/>
            <w:vAlign w:val="bottom"/>
            <w:shd w:val="clear" w:color="auto" w:fill="43C0B9"/>
          </w:tcPr>
          <w:p>
            <w:pPr>
              <w:spacing w:after="0"/>
              <w:rPr>
                <w:sz w:val="16"/>
                <w:szCs w:val="16"/>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r>
      <w:tr>
        <w:trPr>
          <w:trHeight w:val="165"/>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93"/>
        </w:trPr>
        <w:tc>
          <w:tcPr>
            <w:tcW w:w="1800" w:type="dxa"/>
            <w:vAlign w:val="bottom"/>
            <w:tcBorders>
              <w:bottom w:val="single" w:sz="8" w:color="auto"/>
            </w:tcBorders>
            <w:shd w:val="clear" w:color="auto" w:fill="43C0B9"/>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(2)</w:t>
            </w:r>
          </w:p>
        </w:tc>
        <w:tc>
          <w:tcPr>
            <w:tcW w:w="300" w:type="dxa"/>
            <w:vAlign w:val="bottom"/>
            <w:tcBorders>
              <w:bottom w:val="single" w:sz="8" w:color="auto"/>
            </w:tcBorders>
            <w:shd w:val="clear" w:color="auto" w:fill="43C0B9"/>
          </w:tcPr>
          <w:p>
            <w:pPr>
              <w:spacing w:after="0"/>
              <w:rPr>
                <w:sz w:val="16"/>
                <w:szCs w:val="16"/>
                <w:color w:val="auto"/>
              </w:rPr>
            </w:pPr>
          </w:p>
        </w:tc>
        <w:tc>
          <w:tcPr>
            <w:tcW w:w="720" w:type="dxa"/>
            <w:vAlign w:val="bottom"/>
            <w:tcBorders>
              <w:bottom w:val="single" w:sz="8" w:color="auto"/>
            </w:tcBorders>
            <w:gridSpan w:val="2"/>
            <w:shd w:val="clear" w:color="auto" w:fill="43C0B9"/>
          </w:tcPr>
          <w:p>
            <w:pPr>
              <w:jc w:val="right"/>
              <w:ind w:right="20"/>
              <w:spacing w:after="0"/>
              <w:rPr>
                <w:sz w:val="20"/>
                <w:szCs w:val="20"/>
                <w:color w:val="auto"/>
              </w:rPr>
            </w:pPr>
            <w:r>
              <w:rPr>
                <w:rFonts w:ascii="Arial" w:cs="Arial" w:eastAsia="Arial" w:hAnsi="Arial"/>
                <w:sz w:val="12"/>
                <w:szCs w:val="12"/>
                <w:color w:val="auto"/>
              </w:rPr>
              <w:t>0.6</w:t>
            </w:r>
          </w:p>
        </w:tc>
        <w:tc>
          <w:tcPr>
            <w:tcW w:w="260" w:type="dxa"/>
            <w:vAlign w:val="bottom"/>
            <w:tcBorders>
              <w:bottom w:val="single" w:sz="8" w:color="auto"/>
            </w:tcBorders>
            <w:shd w:val="clear" w:color="auto" w:fill="43C0B9"/>
          </w:tcPr>
          <w:p>
            <w:pPr>
              <w:spacing w:after="0"/>
              <w:rPr>
                <w:sz w:val="16"/>
                <w:szCs w:val="16"/>
                <w:color w:val="auto"/>
              </w:rPr>
            </w:pPr>
          </w:p>
        </w:tc>
        <w:tc>
          <w:tcPr>
            <w:tcW w:w="1000" w:type="dxa"/>
            <w:vAlign w:val="bottom"/>
            <w:tcBorders>
              <w:bottom w:val="single" w:sz="8" w:color="auto"/>
            </w:tcBorders>
            <w:shd w:val="clear" w:color="auto" w:fill="43C0B9"/>
          </w:tcPr>
          <w:p>
            <w:pPr>
              <w:jc w:val="right"/>
              <w:ind w:right="40"/>
              <w:spacing w:after="0"/>
              <w:rPr>
                <w:sz w:val="20"/>
                <w:szCs w:val="20"/>
                <w:color w:val="auto"/>
              </w:rPr>
            </w:pPr>
            <w:r>
              <w:rPr>
                <w:rFonts w:ascii="Arial" w:cs="Arial" w:eastAsia="Arial" w:hAnsi="Arial"/>
                <w:sz w:val="12"/>
                <w:szCs w:val="12"/>
                <w:color w:val="auto"/>
              </w:rPr>
              <w:t>1.9</w:t>
            </w:r>
          </w:p>
        </w:tc>
        <w:tc>
          <w:tcPr>
            <w:tcW w:w="200" w:type="dxa"/>
            <w:vAlign w:val="bottom"/>
            <w:tcBorders>
              <w:bottom w:val="single" w:sz="8" w:color="auto"/>
            </w:tcBorders>
            <w:shd w:val="clear" w:color="auto" w:fill="43C0B9"/>
          </w:tcPr>
          <w:p>
            <w:pPr>
              <w:spacing w:after="0"/>
              <w:rPr>
                <w:sz w:val="16"/>
                <w:szCs w:val="16"/>
                <w:color w:val="auto"/>
              </w:rPr>
            </w:pP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2"/>
                <w:szCs w:val="12"/>
                <w:color w:val="auto"/>
              </w:rPr>
              <w:t>0.1</w:t>
            </w:r>
          </w:p>
        </w:tc>
        <w:tc>
          <w:tcPr>
            <w:tcW w:w="380" w:type="dxa"/>
            <w:vAlign w:val="bottom"/>
            <w:tcBorders>
              <w:bottom w:val="single" w:sz="8" w:color="auto"/>
            </w:tcBorders>
            <w:shd w:val="clear" w:color="auto" w:fill="43C0B9"/>
          </w:tcPr>
          <w:p>
            <w:pPr>
              <w:spacing w:after="0"/>
              <w:rPr>
                <w:sz w:val="16"/>
                <w:szCs w:val="16"/>
                <w:color w:val="auto"/>
              </w:rPr>
            </w:pPr>
          </w:p>
        </w:tc>
        <w:tc>
          <w:tcPr>
            <w:tcW w:w="8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43C0B9"/>
          </w:tcPr>
          <w:p>
            <w:pPr>
              <w:spacing w:after="0"/>
              <w:rPr>
                <w:sz w:val="16"/>
                <w:szCs w:val="16"/>
                <w:color w:val="auto"/>
              </w:rPr>
            </w:pPr>
          </w:p>
        </w:tc>
        <w:tc>
          <w:tcPr>
            <w:tcW w:w="620" w:type="dxa"/>
            <w:vAlign w:val="bottom"/>
            <w:tcBorders>
              <w:bottom w:val="single" w:sz="8" w:color="auto"/>
            </w:tcBorders>
            <w:shd w:val="clear" w:color="auto" w:fill="43C0B9"/>
          </w:tcPr>
          <w:p>
            <w:pPr>
              <w:jc w:val="right"/>
              <w:ind w:right="40"/>
              <w:spacing w:after="0"/>
              <w:rPr>
                <w:sz w:val="20"/>
                <w:szCs w:val="20"/>
                <w:color w:val="auto"/>
              </w:rPr>
            </w:pPr>
            <w:r>
              <w:rPr>
                <w:rFonts w:ascii="Arial" w:cs="Arial" w:eastAsia="Arial" w:hAnsi="Arial"/>
                <w:sz w:val="12"/>
                <w:szCs w:val="12"/>
                <w:color w:val="auto"/>
              </w:rPr>
              <w:t>1.9</w:t>
            </w:r>
          </w:p>
        </w:tc>
        <w:tc>
          <w:tcPr>
            <w:tcW w:w="900" w:type="dxa"/>
            <w:vAlign w:val="bottom"/>
            <w:tcBorders>
              <w:bottom w:val="single" w:sz="8" w:color="auto"/>
            </w:tcBorders>
            <w:shd w:val="clear" w:color="auto" w:fill="43C0B9"/>
          </w:tcPr>
          <w:p>
            <w:pPr>
              <w:spacing w:after="0"/>
              <w:rPr>
                <w:sz w:val="16"/>
                <w:szCs w:val="16"/>
                <w:color w:val="auto"/>
              </w:rPr>
            </w:pPr>
          </w:p>
        </w:tc>
        <w:tc>
          <w:tcPr>
            <w:tcW w:w="260" w:type="dxa"/>
            <w:vAlign w:val="bottom"/>
            <w:tcBorders>
              <w:bottom w:val="single" w:sz="8" w:color="auto"/>
            </w:tcBorders>
            <w:shd w:val="clear" w:color="auto" w:fill="43C0B9"/>
          </w:tcPr>
          <w:p>
            <w:pPr>
              <w:jc w:val="right"/>
              <w:ind w:right="20"/>
              <w:spacing w:after="0"/>
              <w:rPr>
                <w:sz w:val="20"/>
                <w:szCs w:val="20"/>
                <w:color w:val="auto"/>
              </w:rPr>
            </w:pPr>
            <w:r>
              <w:rPr>
                <w:rFonts w:ascii="Arial" w:cs="Arial" w:eastAsia="Arial" w:hAnsi="Arial"/>
                <w:sz w:val="12"/>
                <w:szCs w:val="12"/>
                <w:color w:val="auto"/>
                <w:w w:val="95"/>
              </w:rPr>
              <w:t>4.3</w:t>
            </w:r>
          </w:p>
        </w:tc>
        <w:tc>
          <w:tcPr>
            <w:tcW w:w="1180" w:type="dxa"/>
            <w:vAlign w:val="bottom"/>
            <w:tcBorders>
              <w:bottom w:val="single" w:sz="8" w:color="auto"/>
            </w:tcBorders>
            <w:gridSpan w:val="2"/>
            <w:shd w:val="clear" w:color="auto" w:fill="43C0B9"/>
          </w:tcPr>
          <w:p>
            <w:pPr>
              <w:jc w:val="right"/>
              <w:spacing w:after="0"/>
              <w:rPr>
                <w:sz w:val="20"/>
                <w:szCs w:val="20"/>
                <w:color w:val="auto"/>
              </w:rPr>
            </w:pPr>
            <w:r>
              <w:rPr>
                <w:rFonts w:ascii="Arial" w:cs="Arial" w:eastAsia="Arial" w:hAnsi="Arial"/>
                <w:sz w:val="12"/>
                <w:szCs w:val="12"/>
                <w:color w:val="auto"/>
              </w:rPr>
              <w:t>0.2</w:t>
            </w:r>
          </w:p>
        </w:tc>
        <w:tc>
          <w:tcPr>
            <w:tcW w:w="280" w:type="dxa"/>
            <w:vAlign w:val="bottom"/>
            <w:tcBorders>
              <w:bottom w:val="single" w:sz="8" w:color="auto"/>
            </w:tcBorders>
            <w:shd w:val="clear" w:color="auto" w:fill="43C0B9"/>
          </w:tcPr>
          <w:p>
            <w:pPr>
              <w:spacing w:after="0"/>
              <w:rPr>
                <w:sz w:val="16"/>
                <w:szCs w:val="16"/>
                <w:color w:val="auto"/>
              </w:rPr>
            </w:pP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r>
    </w:tbl>
    <w:p>
      <w:pPr>
        <w:spacing w:after="0" w:line="97" w:lineRule="exact"/>
        <w:rPr>
          <w:sz w:val="20"/>
          <w:szCs w:val="20"/>
          <w:color w:val="auto"/>
        </w:rPr>
      </w:pPr>
    </w:p>
    <w:p>
      <w:pPr>
        <w:ind w:left="160" w:hanging="157"/>
        <w:spacing w:after="0"/>
        <w:tabs>
          <w:tab w:leader="none" w:pos="16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Company has provided loans to Moruga Inc. S.A.C. to support growth and expansion projects, bearing interest at 6.5%, due December 31, 2022.</w:t>
      </w:r>
    </w:p>
    <w:p>
      <w:pPr>
        <w:spacing w:after="0" w:line="48" w:lineRule="exact"/>
        <w:rPr>
          <w:rFonts w:ascii="Arial" w:cs="Arial" w:eastAsia="Arial" w:hAnsi="Arial"/>
          <w:sz w:val="16"/>
          <w:szCs w:val="16"/>
          <w:color w:val="auto"/>
          <w:vertAlign w:val="superscript"/>
        </w:rPr>
      </w:pPr>
    </w:p>
    <w:p>
      <w:pPr>
        <w:ind w:left="160" w:right="100" w:hanging="157"/>
        <w:spacing w:after="0" w:line="223" w:lineRule="auto"/>
        <w:tabs>
          <w:tab w:leader="none" w:pos="165"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Company purchases from and sells avocados to a small number of entities having full or partial ownership by some of our directors/officers. These transactions are made under substantially similar terms as with other growers and customers. The Company entered into a consulting agreement with a director in 2018 to provide consulting and advice on current business operations, as well as to analyze opportunities for fresh avocado farming and packing facilities in South and Central America, which was terminated in June 2021.</w:t>
      </w:r>
    </w:p>
    <w:p>
      <w:pPr>
        <w:spacing w:after="0" w:line="49" w:lineRule="exact"/>
        <w:rPr>
          <w:rFonts w:ascii="Arial" w:cs="Arial" w:eastAsia="Arial" w:hAnsi="Arial"/>
          <w:sz w:val="16"/>
          <w:szCs w:val="16"/>
          <w:color w:val="auto"/>
          <w:vertAlign w:val="superscript"/>
        </w:rPr>
      </w:pPr>
    </w:p>
    <w:p>
      <w:pPr>
        <w:ind w:left="160" w:right="20" w:hanging="157"/>
        <w:spacing w:after="0" w:line="213" w:lineRule="auto"/>
        <w:tabs>
          <w:tab w:leader="none" w:pos="165"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Company utilizes a transportation vendor in Mexico owned by key management employees under similar terms as other transportation vendors. The Company purchases avocados from a small number of entities having full or partial ownership by some employees. These transactions are made under substantially similar terms as with other growers.</w:t>
      </w:r>
    </w:p>
    <w:p>
      <w:pPr>
        <w:spacing w:after="0" w:line="10" w:lineRule="exact"/>
        <w:rPr>
          <w:rFonts w:ascii="Arial" w:cs="Arial" w:eastAsia="Arial" w:hAnsi="Arial"/>
          <w:sz w:val="16"/>
          <w:szCs w:val="16"/>
          <w:color w:val="auto"/>
          <w:vertAlign w:val="superscript"/>
        </w:rPr>
      </w:pPr>
    </w:p>
    <w:p>
      <w:pPr>
        <w:ind w:left="160" w:hanging="157"/>
        <w:spacing w:after="0"/>
        <w:tabs>
          <w:tab w:leader="none" w:pos="16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The Company has provided loans to Copaltas to support growth and expansion projects, bearing interest at 6.66%, due December 31, 2021.</w:t>
      </w:r>
    </w:p>
    <w:p>
      <w:pPr>
        <w:spacing w:after="0" w:line="200" w:lineRule="exact"/>
        <w:rPr>
          <w:sz w:val="20"/>
          <w:szCs w:val="20"/>
          <w:color w:val="auto"/>
        </w:rPr>
      </w:pPr>
    </w:p>
    <w:p>
      <w:pPr>
        <w:spacing w:after="0" w:line="265" w:lineRule="exact"/>
        <w:rPr>
          <w:sz w:val="20"/>
          <w:szCs w:val="20"/>
          <w:color w:val="auto"/>
        </w:rPr>
      </w:pPr>
    </w:p>
    <w:p>
      <w:pPr>
        <w:ind w:left="520" w:hanging="517"/>
        <w:spacing w:after="0"/>
        <w:tabs>
          <w:tab w:leader="none" w:pos="520" w:val="left"/>
        </w:tabs>
        <w:numPr>
          <w:ilvl w:val="0"/>
          <w:numId w:val="11"/>
        </w:numPr>
        <w:rPr>
          <w:rFonts w:ascii="Arial" w:cs="Arial" w:eastAsia="Arial" w:hAnsi="Arial"/>
          <w:sz w:val="19"/>
          <w:szCs w:val="19"/>
          <w:b w:val="1"/>
          <w:bCs w:val="1"/>
          <w:color w:val="232F84"/>
        </w:rPr>
      </w:pPr>
      <w:r>
        <w:rPr>
          <w:rFonts w:ascii="Arial" w:cs="Arial" w:eastAsia="Arial" w:hAnsi="Arial"/>
          <w:sz w:val="19"/>
          <w:szCs w:val="19"/>
          <w:b w:val="1"/>
          <w:bCs w:val="1"/>
          <w:color w:val="232F84"/>
        </w:rPr>
        <w:t>Segment Information</w:t>
      </w:r>
    </w:p>
    <w:p>
      <w:pPr>
        <w:spacing w:after="0" w:line="236" w:lineRule="exact"/>
        <w:rPr>
          <w:sz w:val="20"/>
          <w:szCs w:val="20"/>
          <w:color w:val="auto"/>
        </w:rPr>
      </w:pPr>
    </w:p>
    <w:p>
      <w:pPr>
        <w:ind w:firstLine="619"/>
        <w:spacing w:after="0" w:line="255" w:lineRule="auto"/>
        <w:rPr>
          <w:sz w:val="20"/>
          <w:szCs w:val="20"/>
          <w:color w:val="auto"/>
        </w:rPr>
      </w:pPr>
      <w:r>
        <w:rPr>
          <w:rFonts w:ascii="Arial" w:cs="Arial" w:eastAsia="Arial" w:hAnsi="Arial"/>
          <w:sz w:val="15"/>
          <w:szCs w:val="15"/>
          <w:color w:val="auto"/>
        </w:rPr>
        <w:t>We have two operating segments which are also reporting segments. Our reporting segments are presented based on how information is used by our CEO, who is the chief operating decision maker, to measure performance and allocate resources.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avocado orchards (principally located in Peru) and supplies our Marketing and Distribution business with a stable supply of avocados. Substantially all of the avocados produced by our International Farming segment are sold to our Marketing and Distribution segment.</w:t>
      </w:r>
    </w:p>
    <w:p>
      <w:pPr>
        <w:spacing w:after="0" w:line="373" w:lineRule="exact"/>
        <w:rPr>
          <w:sz w:val="20"/>
          <w:szCs w:val="20"/>
          <w:color w:val="auto"/>
        </w:rPr>
      </w:pPr>
    </w:p>
    <w:p>
      <w:pPr>
        <w:ind w:right="20" w:firstLine="619"/>
        <w:spacing w:after="0" w:line="257" w:lineRule="auto"/>
        <w:rPr>
          <w:sz w:val="20"/>
          <w:szCs w:val="20"/>
          <w:color w:val="auto"/>
        </w:rPr>
      </w:pPr>
      <w:r>
        <w:rPr>
          <w:rFonts w:ascii="Arial" w:cs="Arial" w:eastAsia="Arial" w:hAnsi="Arial"/>
          <w:sz w:val="15"/>
          <w:szCs w:val="15"/>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89" w:lineRule="exact"/>
        <w:rPr>
          <w:sz w:val="20"/>
          <w:szCs w:val="20"/>
          <w:color w:val="auto"/>
        </w:rPr>
      </w:pPr>
    </w:p>
    <w:p>
      <w:pPr>
        <w:ind w:right="220" w:firstLine="619"/>
        <w:spacing w:after="0" w:line="269" w:lineRule="auto"/>
        <w:rPr>
          <w:sz w:val="20"/>
          <w:szCs w:val="20"/>
          <w:color w:val="auto"/>
        </w:rPr>
      </w:pPr>
      <w:r>
        <w:rPr>
          <w:rFonts w:ascii="Arial" w:cs="Arial" w:eastAsia="Arial" w:hAnsi="Arial"/>
          <w:sz w:val="15"/>
          <w:szCs w:val="15"/>
          <w:color w:val="auto"/>
        </w:rPr>
        <w:t>Adjusted EBITDA refers to net income (loss), before interest expense, income taxes, depreciation and amortization expense, stock-based compensation expense, other income (expense), and income (loss) from equity method investees, further adjusted by any special, non-recurring, or</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4"/>
          <w:szCs w:val="24"/>
          <w:b w:val="1"/>
          <w:bCs w:val="1"/>
          <w:color w:val="232F84"/>
        </w:rPr>
        <w:t>MISSION PRODUCE,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32F84"/>
        </w:rPr>
        <w:t>NOTES TO UNAUDITED CONDENSED CONSOLIDATED FINANCIAL STATEMENTS</w:t>
      </w:r>
    </w:p>
    <w:p>
      <w:pPr>
        <w:spacing w:after="0" w:line="200" w:lineRule="exact"/>
        <w:rPr>
          <w:sz w:val="20"/>
          <w:szCs w:val="20"/>
          <w:color w:val="auto"/>
        </w:rPr>
      </w:pPr>
    </w:p>
    <w:p>
      <w:pPr>
        <w:spacing w:after="0" w:line="375" w:lineRule="exact"/>
        <w:rPr>
          <w:sz w:val="20"/>
          <w:szCs w:val="20"/>
          <w:color w:val="auto"/>
        </w:rPr>
      </w:pPr>
    </w:p>
    <w:p>
      <w:pPr>
        <w:ind w:right="300"/>
        <w:spacing w:after="0" w:line="269" w:lineRule="auto"/>
        <w:rPr>
          <w:sz w:val="20"/>
          <w:szCs w:val="20"/>
          <w:color w:val="auto"/>
        </w:rPr>
      </w:pPr>
      <w:r>
        <w:rPr>
          <w:rFonts w:ascii="Arial" w:cs="Arial" w:eastAsia="Arial" w:hAnsi="Arial"/>
          <w:sz w:val="15"/>
          <w:szCs w:val="15"/>
          <w:color w:val="auto"/>
        </w:rPr>
        <w:t>one-time items (asset impairment and disposals, net of insurance recoveries, impairment of equity method investment and legal settlement) that are distortive to results.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sales from each of our reportable segments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60" w:type="dxa"/>
            <w:vAlign w:val="bottom"/>
            <w:shd w:val="clear" w:color="auto" w:fill="232F84"/>
          </w:tcPr>
          <w:p>
            <w:pPr>
              <w:spacing w:after="0"/>
              <w:rPr>
                <w:sz w:val="14"/>
                <w:szCs w:val="14"/>
                <w:color w:val="auto"/>
              </w:rPr>
            </w:pPr>
          </w:p>
        </w:tc>
        <w:tc>
          <w:tcPr>
            <w:tcW w:w="240" w:type="dxa"/>
            <w:vAlign w:val="bottom"/>
            <w:shd w:val="clear" w:color="auto" w:fill="232F84"/>
          </w:tcPr>
          <w:p>
            <w:pPr>
              <w:spacing w:after="0"/>
              <w:rPr>
                <w:sz w:val="14"/>
                <w:szCs w:val="14"/>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20" w:type="dxa"/>
            <w:vAlign w:val="bottom"/>
            <w:shd w:val="clear" w:color="auto" w:fill="232F84"/>
          </w:tcPr>
          <w:p>
            <w:pPr>
              <w:spacing w:after="0"/>
              <w:rPr>
                <w:sz w:val="14"/>
                <w:szCs w:val="14"/>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220" w:type="dxa"/>
            <w:vAlign w:val="bottom"/>
            <w:shd w:val="clear" w:color="auto" w:fill="232F84"/>
          </w:tcPr>
          <w:p>
            <w:pPr>
              <w:spacing w:after="0"/>
              <w:rPr>
                <w:sz w:val="14"/>
                <w:szCs w:val="14"/>
                <w:color w:val="auto"/>
              </w:rPr>
            </w:pPr>
          </w:p>
        </w:tc>
        <w:tc>
          <w:tcPr>
            <w:tcW w:w="1100" w:type="dxa"/>
            <w:vAlign w:val="bottom"/>
            <w:shd w:val="clear" w:color="auto" w:fill="232F84"/>
          </w:tcPr>
          <w:p>
            <w:pPr>
              <w:spacing w:after="0"/>
              <w:rPr>
                <w:sz w:val="14"/>
                <w:szCs w:val="14"/>
                <w:color w:val="auto"/>
              </w:rPr>
            </w:pPr>
          </w:p>
        </w:tc>
        <w:tc>
          <w:tcPr>
            <w:tcW w:w="360" w:type="dxa"/>
            <w:vAlign w:val="bottom"/>
            <w:shd w:val="clear" w:color="auto" w:fill="232F84"/>
          </w:tcPr>
          <w:p>
            <w:pPr>
              <w:spacing w:after="0"/>
              <w:rPr>
                <w:sz w:val="14"/>
                <w:szCs w:val="14"/>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20" w:type="dxa"/>
            <w:vAlign w:val="bottom"/>
            <w:shd w:val="clear" w:color="auto" w:fill="232F84"/>
          </w:tcPr>
          <w:p>
            <w:pPr>
              <w:spacing w:after="0"/>
              <w:rPr>
                <w:sz w:val="14"/>
                <w:szCs w:val="14"/>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440" w:type="dxa"/>
            <w:vAlign w:val="bottom"/>
            <w:shd w:val="clear" w:color="auto" w:fill="232F84"/>
          </w:tcPr>
          <w:p>
            <w:pPr>
              <w:spacing w:after="0"/>
              <w:rPr>
                <w:sz w:val="14"/>
                <w:szCs w:val="14"/>
                <w:color w:val="auto"/>
              </w:rPr>
            </w:pPr>
          </w:p>
        </w:tc>
        <w:tc>
          <w:tcPr>
            <w:tcW w:w="740" w:type="dxa"/>
            <w:vAlign w:val="bottom"/>
            <w:shd w:val="clear" w:color="auto" w:fill="232F84"/>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20" w:type="dxa"/>
            <w:vAlign w:val="bottom"/>
            <w:shd w:val="clear" w:color="auto" w:fill="232F84"/>
          </w:tcPr>
          <w:p>
            <w:pPr>
              <w:spacing w:after="0"/>
              <w:rPr>
                <w:sz w:val="17"/>
                <w:szCs w:val="17"/>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220" w:type="dxa"/>
            <w:vAlign w:val="bottom"/>
            <w:shd w:val="clear" w:color="auto" w:fill="232F84"/>
          </w:tcPr>
          <w:p>
            <w:pPr>
              <w:spacing w:after="0"/>
              <w:rPr>
                <w:sz w:val="17"/>
                <w:szCs w:val="17"/>
                <w:color w:val="auto"/>
              </w:rPr>
            </w:pPr>
          </w:p>
        </w:tc>
        <w:tc>
          <w:tcPr>
            <w:tcW w:w="110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Total</w:t>
            </w:r>
          </w:p>
        </w:tc>
        <w:tc>
          <w:tcPr>
            <w:tcW w:w="360" w:type="dxa"/>
            <w:vAlign w:val="bottom"/>
            <w:shd w:val="clear" w:color="auto" w:fill="232F84"/>
          </w:tcPr>
          <w:p>
            <w:pPr>
              <w:spacing w:after="0"/>
              <w:rPr>
                <w:sz w:val="17"/>
                <w:szCs w:val="17"/>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20" w:type="dxa"/>
            <w:vAlign w:val="bottom"/>
            <w:shd w:val="clear" w:color="auto" w:fill="232F84"/>
          </w:tcPr>
          <w:p>
            <w:pPr>
              <w:spacing w:after="0"/>
              <w:rPr>
                <w:sz w:val="17"/>
                <w:szCs w:val="17"/>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40" w:type="dxa"/>
            <w:vAlign w:val="bottom"/>
            <w:shd w:val="clear" w:color="auto" w:fill="232F84"/>
          </w:tcPr>
          <w:p>
            <w:pPr>
              <w:spacing w:after="0"/>
              <w:rPr>
                <w:sz w:val="17"/>
                <w:szCs w:val="17"/>
                <w:color w:val="auto"/>
              </w:rPr>
            </w:pPr>
          </w:p>
        </w:tc>
        <w:tc>
          <w:tcPr>
            <w:tcW w:w="7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4"/>
        </w:trPr>
        <w:tc>
          <w:tcPr>
            <w:tcW w:w="3860" w:type="dxa"/>
            <w:vAlign w:val="bottom"/>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98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2420" w:type="dxa"/>
            <w:vAlign w:val="bottom"/>
            <w:gridSpan w:val="3"/>
            <w:shd w:val="clear" w:color="auto" w:fill="232F84"/>
          </w:tcPr>
          <w:p>
            <w:pPr>
              <w:jc w:val="right"/>
              <w:ind w:right="311"/>
              <w:spacing w:after="0"/>
              <w:rPr>
                <w:sz w:val="20"/>
                <w:szCs w:val="20"/>
                <w:color w:val="auto"/>
              </w:rPr>
            </w:pPr>
            <w:r>
              <w:rPr>
                <w:rFonts w:ascii="Arial" w:cs="Arial" w:eastAsia="Arial" w:hAnsi="Arial"/>
                <w:sz w:val="14"/>
                <w:szCs w:val="14"/>
                <w:b w:val="1"/>
                <w:bCs w:val="1"/>
                <w:color w:val="FFFFFF"/>
              </w:rPr>
              <w:t>Three Months Ended July 31,</w:t>
            </w:r>
          </w:p>
        </w:tc>
        <w:tc>
          <w:tcPr>
            <w:tcW w:w="220" w:type="dxa"/>
            <w:vAlign w:val="bottom"/>
            <w:shd w:val="clear" w:color="auto" w:fill="232F84"/>
          </w:tcPr>
          <w:p>
            <w:pPr>
              <w:spacing w:after="0"/>
              <w:rPr>
                <w:sz w:val="17"/>
                <w:szCs w:val="17"/>
                <w:color w:val="auto"/>
              </w:rPr>
            </w:pPr>
          </w:p>
        </w:tc>
        <w:tc>
          <w:tcPr>
            <w:tcW w:w="960" w:type="dxa"/>
            <w:vAlign w:val="bottom"/>
            <w:shd w:val="clear" w:color="auto" w:fill="232F84"/>
          </w:tcPr>
          <w:p>
            <w:pPr>
              <w:spacing w:after="0"/>
              <w:rPr>
                <w:sz w:val="17"/>
                <w:szCs w:val="17"/>
                <w:color w:val="auto"/>
              </w:rPr>
            </w:pPr>
          </w:p>
        </w:tc>
        <w:tc>
          <w:tcPr>
            <w:tcW w:w="440" w:type="dxa"/>
            <w:vAlign w:val="bottom"/>
            <w:shd w:val="clear" w:color="auto" w:fill="232F84"/>
          </w:tcPr>
          <w:p>
            <w:pPr>
              <w:spacing w:after="0"/>
              <w:rPr>
                <w:sz w:val="17"/>
                <w:szCs w:val="17"/>
                <w:color w:val="auto"/>
              </w:rPr>
            </w:pPr>
          </w:p>
        </w:tc>
        <w:tc>
          <w:tcPr>
            <w:tcW w:w="74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60" w:type="dxa"/>
            <w:vAlign w:val="bottom"/>
            <w:vMerge w:val="restart"/>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40" w:type="dxa"/>
            <w:vAlign w:val="bottom"/>
            <w:shd w:val="clear" w:color="auto" w:fill="232F84"/>
          </w:tcPr>
          <w:p>
            <w:pPr>
              <w:spacing w:after="0"/>
              <w:rPr>
                <w:sz w:val="2"/>
                <w:szCs w:val="2"/>
                <w:color w:val="auto"/>
              </w:rPr>
            </w:pPr>
          </w:p>
        </w:tc>
        <w:tc>
          <w:tcPr>
            <w:tcW w:w="940" w:type="dxa"/>
            <w:vAlign w:val="bottom"/>
            <w:shd w:val="clear" w:color="auto" w:fill="232F84"/>
          </w:tcPr>
          <w:p>
            <w:pPr>
              <w:spacing w:after="0"/>
              <w:rPr>
                <w:sz w:val="2"/>
                <w:szCs w:val="2"/>
                <w:color w:val="auto"/>
              </w:rPr>
            </w:pPr>
          </w:p>
        </w:tc>
        <w:tc>
          <w:tcPr>
            <w:tcW w:w="220" w:type="dxa"/>
            <w:vAlign w:val="bottom"/>
            <w:shd w:val="clear" w:color="auto" w:fill="232F84"/>
          </w:tcPr>
          <w:p>
            <w:pPr>
              <w:spacing w:after="0"/>
              <w:rPr>
                <w:sz w:val="2"/>
                <w:szCs w:val="2"/>
                <w:color w:val="auto"/>
              </w:rPr>
            </w:pPr>
          </w:p>
        </w:tc>
        <w:tc>
          <w:tcPr>
            <w:tcW w:w="980" w:type="dxa"/>
            <w:vAlign w:val="bottom"/>
            <w:shd w:val="clear" w:color="auto" w:fill="232F84"/>
          </w:tcPr>
          <w:p>
            <w:pPr>
              <w:spacing w:after="0"/>
              <w:rPr>
                <w:sz w:val="2"/>
                <w:szCs w:val="2"/>
                <w:color w:val="auto"/>
              </w:rPr>
            </w:pPr>
          </w:p>
        </w:tc>
        <w:tc>
          <w:tcPr>
            <w:tcW w:w="220" w:type="dxa"/>
            <w:vAlign w:val="bottom"/>
            <w:shd w:val="clear" w:color="auto" w:fill="232F84"/>
          </w:tcPr>
          <w:p>
            <w:pPr>
              <w:spacing w:after="0"/>
              <w:rPr>
                <w:sz w:val="2"/>
                <w:szCs w:val="2"/>
                <w:color w:val="auto"/>
              </w:rPr>
            </w:pPr>
          </w:p>
        </w:tc>
        <w:tc>
          <w:tcPr>
            <w:tcW w:w="1100" w:type="dxa"/>
            <w:vAlign w:val="bottom"/>
            <w:shd w:val="clear" w:color="auto" w:fill="232F84"/>
          </w:tcPr>
          <w:p>
            <w:pPr>
              <w:spacing w:after="0"/>
              <w:rPr>
                <w:sz w:val="2"/>
                <w:szCs w:val="2"/>
                <w:color w:val="auto"/>
              </w:rPr>
            </w:pPr>
          </w:p>
        </w:tc>
        <w:tc>
          <w:tcPr>
            <w:tcW w:w="360" w:type="dxa"/>
            <w:vAlign w:val="bottom"/>
            <w:shd w:val="clear" w:color="auto" w:fill="232F84"/>
          </w:tcPr>
          <w:p>
            <w:pPr>
              <w:spacing w:after="0"/>
              <w:rPr>
                <w:sz w:val="2"/>
                <w:szCs w:val="2"/>
                <w:color w:val="auto"/>
              </w:rPr>
            </w:pPr>
          </w:p>
        </w:tc>
        <w:tc>
          <w:tcPr>
            <w:tcW w:w="960" w:type="dxa"/>
            <w:vAlign w:val="bottom"/>
            <w:shd w:val="clear" w:color="auto" w:fill="232F84"/>
          </w:tcPr>
          <w:p>
            <w:pPr>
              <w:spacing w:after="0"/>
              <w:rPr>
                <w:sz w:val="2"/>
                <w:szCs w:val="2"/>
                <w:color w:val="auto"/>
              </w:rPr>
            </w:pPr>
          </w:p>
        </w:tc>
        <w:tc>
          <w:tcPr>
            <w:tcW w:w="220" w:type="dxa"/>
            <w:vAlign w:val="bottom"/>
            <w:shd w:val="clear" w:color="auto" w:fill="232F84"/>
          </w:tcPr>
          <w:p>
            <w:pPr>
              <w:spacing w:after="0"/>
              <w:rPr>
                <w:sz w:val="2"/>
                <w:szCs w:val="2"/>
                <w:color w:val="auto"/>
              </w:rPr>
            </w:pPr>
          </w:p>
        </w:tc>
        <w:tc>
          <w:tcPr>
            <w:tcW w:w="960" w:type="dxa"/>
            <w:vAlign w:val="bottom"/>
            <w:shd w:val="clear" w:color="auto" w:fill="232F84"/>
          </w:tcPr>
          <w:p>
            <w:pPr>
              <w:spacing w:after="0"/>
              <w:rPr>
                <w:sz w:val="2"/>
                <w:szCs w:val="2"/>
                <w:color w:val="auto"/>
              </w:rPr>
            </w:pPr>
          </w:p>
        </w:tc>
        <w:tc>
          <w:tcPr>
            <w:tcW w:w="440" w:type="dxa"/>
            <w:vAlign w:val="bottom"/>
            <w:shd w:val="clear" w:color="auto" w:fill="232F84"/>
          </w:tcPr>
          <w:p>
            <w:pPr>
              <w:spacing w:after="0"/>
              <w:rPr>
                <w:sz w:val="2"/>
                <w:szCs w:val="2"/>
                <w:color w:val="auto"/>
              </w:rPr>
            </w:pPr>
          </w:p>
        </w:tc>
        <w:tc>
          <w:tcPr>
            <w:tcW w:w="740" w:type="dxa"/>
            <w:vAlign w:val="bottom"/>
            <w:shd w:val="clear" w:color="auto" w:fill="232F8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60" w:type="dxa"/>
            <w:vAlign w:val="bottom"/>
            <w:vMerge w:val="continue"/>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980" w:type="dxa"/>
            <w:vAlign w:val="bottom"/>
            <w:shd w:val="clear" w:color="auto" w:fill="232F84"/>
          </w:tcPr>
          <w:p>
            <w:pPr>
              <w:jc w:val="right"/>
              <w:ind w:right="391"/>
              <w:spacing w:after="0"/>
              <w:rPr>
                <w:sz w:val="20"/>
                <w:szCs w:val="20"/>
                <w:color w:val="auto"/>
              </w:rPr>
            </w:pPr>
            <w:r>
              <w:rPr>
                <w:rFonts w:ascii="Arial" w:cs="Arial" w:eastAsia="Arial" w:hAnsi="Arial"/>
                <w:sz w:val="14"/>
                <w:szCs w:val="14"/>
                <w:b w:val="1"/>
                <w:bCs w:val="1"/>
                <w:color w:val="FFFFFF"/>
              </w:rPr>
              <w:t>2021</w:t>
            </w:r>
          </w:p>
        </w:tc>
        <w:tc>
          <w:tcPr>
            <w:tcW w:w="220" w:type="dxa"/>
            <w:vAlign w:val="bottom"/>
            <w:shd w:val="clear" w:color="auto" w:fill="232F84"/>
          </w:tcPr>
          <w:p>
            <w:pPr>
              <w:spacing w:after="0"/>
              <w:rPr>
                <w:sz w:val="17"/>
                <w:szCs w:val="17"/>
                <w:color w:val="auto"/>
              </w:rPr>
            </w:pPr>
          </w:p>
        </w:tc>
        <w:tc>
          <w:tcPr>
            <w:tcW w:w="1100" w:type="dxa"/>
            <w:vAlign w:val="bottom"/>
            <w:shd w:val="clear" w:color="auto" w:fill="232F84"/>
          </w:tcPr>
          <w:p>
            <w:pPr>
              <w:spacing w:after="0"/>
              <w:rPr>
                <w:sz w:val="17"/>
                <w:szCs w:val="17"/>
                <w:color w:val="auto"/>
              </w:rPr>
            </w:pPr>
          </w:p>
        </w:tc>
        <w:tc>
          <w:tcPr>
            <w:tcW w:w="360" w:type="dxa"/>
            <w:vAlign w:val="bottom"/>
            <w:shd w:val="clear" w:color="auto" w:fill="232F84"/>
          </w:tcPr>
          <w:p>
            <w:pPr>
              <w:spacing w:after="0"/>
              <w:rPr>
                <w:sz w:val="17"/>
                <w:szCs w:val="17"/>
                <w:color w:val="auto"/>
              </w:rPr>
            </w:pPr>
          </w:p>
        </w:tc>
        <w:tc>
          <w:tcPr>
            <w:tcW w:w="96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960" w:type="dxa"/>
            <w:vAlign w:val="bottom"/>
            <w:shd w:val="clear" w:color="auto" w:fill="232F84"/>
          </w:tcPr>
          <w:p>
            <w:pPr>
              <w:jc w:val="right"/>
              <w:ind w:right="371"/>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232F84"/>
          </w:tcPr>
          <w:p>
            <w:pPr>
              <w:spacing w:after="0"/>
              <w:rPr>
                <w:sz w:val="17"/>
                <w:szCs w:val="17"/>
                <w:color w:val="auto"/>
              </w:rPr>
            </w:pPr>
          </w:p>
        </w:tc>
        <w:tc>
          <w:tcPr>
            <w:tcW w:w="74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Third party sales</w:t>
            </w:r>
          </w:p>
        </w:tc>
        <w:tc>
          <w:tcPr>
            <w:tcW w:w="24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239.6</w:t>
            </w:r>
          </w:p>
        </w:tc>
        <w:tc>
          <w:tcPr>
            <w:tcW w:w="22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7.2</w:t>
            </w:r>
          </w:p>
        </w:tc>
        <w:tc>
          <w:tcPr>
            <w:tcW w:w="22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43C0B9"/>
          </w:tcPr>
          <w:p>
            <w:pPr>
              <w:jc w:val="right"/>
              <w:ind w:right="131"/>
              <w:spacing w:after="0"/>
              <w:rPr>
                <w:sz w:val="20"/>
                <w:szCs w:val="20"/>
                <w:color w:val="auto"/>
              </w:rPr>
            </w:pPr>
            <w:r>
              <w:rPr>
                <w:rFonts w:ascii="Arial" w:cs="Arial" w:eastAsia="Arial" w:hAnsi="Arial"/>
                <w:sz w:val="14"/>
                <w:szCs w:val="14"/>
                <w:color w:val="auto"/>
              </w:rPr>
              <w:t>246.8</w:t>
            </w:r>
          </w:p>
        </w:tc>
        <w:tc>
          <w:tcPr>
            <w:tcW w:w="36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230.9</w:t>
            </w:r>
          </w:p>
        </w:tc>
        <w:tc>
          <w:tcPr>
            <w:tcW w:w="22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5.5</w:t>
            </w:r>
          </w:p>
        </w:tc>
        <w:tc>
          <w:tcPr>
            <w:tcW w:w="440" w:type="dxa"/>
            <w:vAlign w:val="bottom"/>
            <w:shd w:val="clear" w:color="auto" w:fill="43C0B9"/>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58.9</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58.9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5"/>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segment sales</w:t>
            </w:r>
          </w:p>
        </w:tc>
        <w:tc>
          <w:tcPr>
            <w:tcW w:w="240" w:type="dxa"/>
            <w:vAlign w:val="bottom"/>
            <w:shd w:val="clear" w:color="auto" w:fill="43C0B9"/>
          </w:tcPr>
          <w:p>
            <w:pPr>
              <w:spacing w:after="0"/>
              <w:rPr>
                <w:sz w:val="17"/>
                <w:szCs w:val="17"/>
                <w:color w:val="auto"/>
              </w:rPr>
            </w:pPr>
          </w:p>
        </w:tc>
        <w:tc>
          <w:tcPr>
            <w:tcW w:w="9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239.6</w:t>
            </w:r>
          </w:p>
        </w:tc>
        <w:tc>
          <w:tcPr>
            <w:tcW w:w="220" w:type="dxa"/>
            <w:vAlign w:val="bottom"/>
            <w:shd w:val="clear" w:color="auto" w:fill="43C0B9"/>
          </w:tcPr>
          <w:p>
            <w:pPr>
              <w:spacing w:after="0"/>
              <w:rPr>
                <w:sz w:val="17"/>
                <w:szCs w:val="17"/>
                <w:color w:val="auto"/>
              </w:rPr>
            </w:pPr>
          </w:p>
        </w:tc>
        <w:tc>
          <w:tcPr>
            <w:tcW w:w="9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66.1</w:t>
            </w:r>
          </w:p>
        </w:tc>
        <w:tc>
          <w:tcPr>
            <w:tcW w:w="220" w:type="dxa"/>
            <w:vAlign w:val="bottom"/>
            <w:shd w:val="clear" w:color="auto" w:fill="43C0B9"/>
          </w:tcPr>
          <w:p>
            <w:pPr>
              <w:spacing w:after="0"/>
              <w:rPr>
                <w:sz w:val="17"/>
                <w:szCs w:val="17"/>
                <w:color w:val="auto"/>
              </w:rPr>
            </w:pPr>
          </w:p>
        </w:tc>
        <w:tc>
          <w:tcPr>
            <w:tcW w:w="1100" w:type="dxa"/>
            <w:vAlign w:val="bottom"/>
            <w:shd w:val="clear" w:color="auto" w:fill="43C0B9"/>
          </w:tcPr>
          <w:p>
            <w:pPr>
              <w:jc w:val="right"/>
              <w:ind w:right="131"/>
              <w:spacing w:after="0"/>
              <w:rPr>
                <w:sz w:val="20"/>
                <w:szCs w:val="20"/>
                <w:color w:val="auto"/>
              </w:rPr>
            </w:pPr>
            <w:r>
              <w:rPr>
                <w:rFonts w:ascii="Arial" w:cs="Arial" w:eastAsia="Arial" w:hAnsi="Arial"/>
                <w:sz w:val="14"/>
                <w:szCs w:val="14"/>
                <w:color w:val="auto"/>
              </w:rPr>
              <w:t>305.7</w:t>
            </w:r>
          </w:p>
        </w:tc>
        <w:tc>
          <w:tcPr>
            <w:tcW w:w="360" w:type="dxa"/>
            <w:vAlign w:val="bottom"/>
            <w:shd w:val="clear" w:color="auto" w:fill="43C0B9"/>
          </w:tcPr>
          <w:p>
            <w:pPr>
              <w:spacing w:after="0"/>
              <w:rPr>
                <w:sz w:val="17"/>
                <w:szCs w:val="17"/>
                <w:color w:val="auto"/>
              </w:rPr>
            </w:pPr>
          </w:p>
        </w:tc>
        <w:tc>
          <w:tcPr>
            <w:tcW w:w="96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230.9</w:t>
            </w:r>
          </w:p>
        </w:tc>
        <w:tc>
          <w:tcPr>
            <w:tcW w:w="220" w:type="dxa"/>
            <w:vAlign w:val="bottom"/>
            <w:shd w:val="clear" w:color="auto" w:fill="43C0B9"/>
          </w:tcPr>
          <w:p>
            <w:pPr>
              <w:spacing w:after="0"/>
              <w:rPr>
                <w:sz w:val="17"/>
                <w:szCs w:val="17"/>
                <w:color w:val="auto"/>
              </w:rPr>
            </w:pPr>
          </w:p>
        </w:tc>
        <w:tc>
          <w:tcPr>
            <w:tcW w:w="9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54.4</w:t>
            </w:r>
          </w:p>
        </w:tc>
        <w:tc>
          <w:tcPr>
            <w:tcW w:w="440" w:type="dxa"/>
            <w:vAlign w:val="bottom"/>
            <w:shd w:val="clear" w:color="auto" w:fill="43C0B9"/>
          </w:tcPr>
          <w:p>
            <w:pPr>
              <w:spacing w:after="0"/>
              <w:rPr>
                <w:sz w:val="17"/>
                <w:szCs w:val="17"/>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(58.9)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99"/>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net sales</w:t>
            </w:r>
          </w:p>
        </w:tc>
        <w:tc>
          <w:tcPr>
            <w:tcW w:w="24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239.6</w:t>
            </w:r>
          </w:p>
        </w:tc>
        <w:tc>
          <w:tcPr>
            <w:tcW w:w="22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7.2</w:t>
            </w:r>
          </w:p>
        </w:tc>
        <w:tc>
          <w:tcPr>
            <w:tcW w:w="22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43C0B9"/>
          </w:tcPr>
          <w:p>
            <w:pPr>
              <w:jc w:val="right"/>
              <w:ind w:right="131"/>
              <w:spacing w:after="0"/>
              <w:rPr>
                <w:sz w:val="20"/>
                <w:szCs w:val="20"/>
                <w:color w:val="auto"/>
              </w:rPr>
            </w:pPr>
            <w:r>
              <w:rPr>
                <w:rFonts w:ascii="Arial" w:cs="Arial" w:eastAsia="Arial" w:hAnsi="Arial"/>
                <w:sz w:val="14"/>
                <w:szCs w:val="14"/>
                <w:color w:val="auto"/>
              </w:rPr>
              <w:t>246.8</w:t>
            </w:r>
          </w:p>
        </w:tc>
        <w:tc>
          <w:tcPr>
            <w:tcW w:w="36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230.9</w:t>
            </w:r>
          </w:p>
        </w:tc>
        <w:tc>
          <w:tcPr>
            <w:tcW w:w="22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5.5</w:t>
            </w:r>
          </w:p>
        </w:tc>
        <w:tc>
          <w:tcPr>
            <w:tcW w:w="440" w:type="dxa"/>
            <w:vAlign w:val="bottom"/>
            <w:shd w:val="clear" w:color="auto" w:fill="43C0B9"/>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16"/>
        </w:trPr>
        <w:tc>
          <w:tcPr>
            <w:tcW w:w="3860" w:type="dxa"/>
            <w:vAlign w:val="bottom"/>
            <w:shd w:val="clear" w:color="auto" w:fill="232F84"/>
          </w:tcPr>
          <w:p>
            <w:pPr>
              <w:spacing w:after="0"/>
              <w:rPr>
                <w:sz w:val="18"/>
                <w:szCs w:val="18"/>
                <w:color w:val="auto"/>
              </w:rPr>
            </w:pPr>
          </w:p>
        </w:tc>
        <w:tc>
          <w:tcPr>
            <w:tcW w:w="24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8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2420" w:type="dxa"/>
            <w:vAlign w:val="bottom"/>
            <w:gridSpan w:val="3"/>
            <w:shd w:val="clear" w:color="auto" w:fill="232F84"/>
          </w:tcPr>
          <w:p>
            <w:pPr>
              <w:jc w:val="right"/>
              <w:ind w:right="351"/>
              <w:spacing w:after="0"/>
              <w:rPr>
                <w:sz w:val="20"/>
                <w:szCs w:val="20"/>
                <w:color w:val="auto"/>
              </w:rPr>
            </w:pPr>
            <w:r>
              <w:rPr>
                <w:rFonts w:ascii="Arial" w:cs="Arial" w:eastAsia="Arial" w:hAnsi="Arial"/>
                <w:sz w:val="14"/>
                <w:szCs w:val="14"/>
                <w:b w:val="1"/>
                <w:bCs w:val="1"/>
                <w:color w:val="FFFFFF"/>
              </w:rPr>
              <w:t>Nine Months Ended July 31,</w:t>
            </w:r>
          </w:p>
        </w:tc>
        <w:tc>
          <w:tcPr>
            <w:tcW w:w="220" w:type="dxa"/>
            <w:vAlign w:val="bottom"/>
            <w:shd w:val="clear" w:color="auto" w:fill="232F84"/>
          </w:tcPr>
          <w:p>
            <w:pPr>
              <w:spacing w:after="0"/>
              <w:rPr>
                <w:sz w:val="18"/>
                <w:szCs w:val="18"/>
                <w:color w:val="auto"/>
              </w:rPr>
            </w:pPr>
          </w:p>
        </w:tc>
        <w:tc>
          <w:tcPr>
            <w:tcW w:w="960" w:type="dxa"/>
            <w:vAlign w:val="bottom"/>
            <w:shd w:val="clear" w:color="auto" w:fill="232F84"/>
          </w:tcPr>
          <w:p>
            <w:pPr>
              <w:spacing w:after="0"/>
              <w:rPr>
                <w:sz w:val="18"/>
                <w:szCs w:val="18"/>
                <w:color w:val="auto"/>
              </w:rPr>
            </w:pPr>
          </w:p>
        </w:tc>
        <w:tc>
          <w:tcPr>
            <w:tcW w:w="440" w:type="dxa"/>
            <w:vAlign w:val="bottom"/>
            <w:shd w:val="clear" w:color="auto" w:fill="232F84"/>
          </w:tcPr>
          <w:p>
            <w:pPr>
              <w:spacing w:after="0"/>
              <w:rPr>
                <w:sz w:val="18"/>
                <w:szCs w:val="18"/>
                <w:color w:val="auto"/>
              </w:rPr>
            </w:pPr>
          </w:p>
        </w:tc>
        <w:tc>
          <w:tcPr>
            <w:tcW w:w="74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232F84"/>
          </w:tcPr>
          <w:p>
            <w:pPr>
              <w:spacing w:after="0"/>
              <w:rPr>
                <w:sz w:val="18"/>
                <w:szCs w:val="18"/>
                <w:color w:val="auto"/>
              </w:rPr>
            </w:pPr>
          </w:p>
        </w:tc>
        <w:tc>
          <w:tcPr>
            <w:tcW w:w="24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80" w:type="dxa"/>
            <w:vAlign w:val="bottom"/>
            <w:shd w:val="clear" w:color="auto" w:fill="232F84"/>
          </w:tcPr>
          <w:p>
            <w:pPr>
              <w:jc w:val="right"/>
              <w:ind w:right="391"/>
              <w:spacing w:after="0"/>
              <w:rPr>
                <w:sz w:val="20"/>
                <w:szCs w:val="20"/>
                <w:color w:val="auto"/>
              </w:rPr>
            </w:pPr>
            <w:r>
              <w:rPr>
                <w:rFonts w:ascii="Arial" w:cs="Arial" w:eastAsia="Arial" w:hAnsi="Arial"/>
                <w:sz w:val="14"/>
                <w:szCs w:val="14"/>
                <w:b w:val="1"/>
                <w:bCs w:val="1"/>
                <w:color w:val="FFFFFF"/>
              </w:rPr>
              <w:t>2021</w:t>
            </w:r>
          </w:p>
        </w:tc>
        <w:tc>
          <w:tcPr>
            <w:tcW w:w="220" w:type="dxa"/>
            <w:vAlign w:val="bottom"/>
            <w:shd w:val="clear" w:color="auto" w:fill="232F84"/>
          </w:tcPr>
          <w:p>
            <w:pPr>
              <w:spacing w:after="0"/>
              <w:rPr>
                <w:sz w:val="18"/>
                <w:szCs w:val="18"/>
                <w:color w:val="auto"/>
              </w:rPr>
            </w:pPr>
          </w:p>
        </w:tc>
        <w:tc>
          <w:tcPr>
            <w:tcW w:w="1100" w:type="dxa"/>
            <w:vAlign w:val="bottom"/>
            <w:shd w:val="clear" w:color="auto" w:fill="232F84"/>
          </w:tcPr>
          <w:p>
            <w:pPr>
              <w:spacing w:after="0"/>
              <w:rPr>
                <w:sz w:val="18"/>
                <w:szCs w:val="18"/>
                <w:color w:val="auto"/>
              </w:rPr>
            </w:pPr>
          </w:p>
        </w:tc>
        <w:tc>
          <w:tcPr>
            <w:tcW w:w="360" w:type="dxa"/>
            <w:vAlign w:val="bottom"/>
            <w:shd w:val="clear" w:color="auto" w:fill="232F84"/>
          </w:tcPr>
          <w:p>
            <w:pPr>
              <w:spacing w:after="0"/>
              <w:rPr>
                <w:sz w:val="18"/>
                <w:szCs w:val="18"/>
                <w:color w:val="auto"/>
              </w:rPr>
            </w:pPr>
          </w:p>
        </w:tc>
        <w:tc>
          <w:tcPr>
            <w:tcW w:w="96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60" w:type="dxa"/>
            <w:vAlign w:val="bottom"/>
            <w:shd w:val="clear" w:color="auto" w:fill="232F84"/>
          </w:tcPr>
          <w:p>
            <w:pPr>
              <w:jc w:val="right"/>
              <w:ind w:right="371"/>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232F84"/>
          </w:tcPr>
          <w:p>
            <w:pPr>
              <w:spacing w:after="0"/>
              <w:rPr>
                <w:sz w:val="18"/>
                <w:szCs w:val="18"/>
                <w:color w:val="auto"/>
              </w:rPr>
            </w:pPr>
          </w:p>
        </w:tc>
        <w:tc>
          <w:tcPr>
            <w:tcW w:w="74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Pr>
          <w:p>
            <w:pPr>
              <w:ind w:left="20"/>
              <w:spacing w:after="0"/>
              <w:rPr>
                <w:sz w:val="20"/>
                <w:szCs w:val="20"/>
                <w:color w:val="auto"/>
              </w:rPr>
            </w:pPr>
            <w:r>
              <w:rPr>
                <w:rFonts w:ascii="Arial" w:cs="Arial" w:eastAsia="Arial" w:hAnsi="Arial"/>
                <w:sz w:val="14"/>
                <w:szCs w:val="14"/>
                <w:color w:val="auto"/>
              </w:rPr>
              <w:t>Third party sales</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641.6</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13.1</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654.7</w:t>
            </w:r>
          </w:p>
        </w:tc>
        <w:tc>
          <w:tcPr>
            <w:tcW w:w="3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644.9</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w:t>
            </w:r>
          </w:p>
        </w:tc>
        <w:tc>
          <w:tcPr>
            <w:tcW w:w="4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655.5</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Affiliated sales</w:t>
            </w:r>
          </w:p>
        </w:tc>
        <w:tc>
          <w:tcPr>
            <w:tcW w:w="24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43C0B9"/>
          </w:tcPr>
          <w:p>
            <w:pPr>
              <w:spacing w:after="0"/>
              <w:rPr>
                <w:sz w:val="17"/>
                <w:szCs w:val="17"/>
                <w:color w:val="auto"/>
              </w:rPr>
            </w:pPr>
          </w:p>
        </w:tc>
        <w:tc>
          <w:tcPr>
            <w:tcW w:w="9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61.1</w:t>
            </w:r>
          </w:p>
        </w:tc>
        <w:tc>
          <w:tcPr>
            <w:tcW w:w="220" w:type="dxa"/>
            <w:vAlign w:val="bottom"/>
            <w:tcBorders>
              <w:bottom w:val="single" w:sz="8" w:color="auto"/>
            </w:tcBorders>
            <w:shd w:val="clear" w:color="auto" w:fill="43C0B9"/>
          </w:tcPr>
          <w:p>
            <w:pPr>
              <w:spacing w:after="0"/>
              <w:rPr>
                <w:sz w:val="17"/>
                <w:szCs w:val="17"/>
                <w:color w:val="auto"/>
              </w:rPr>
            </w:pPr>
          </w:p>
        </w:tc>
        <w:tc>
          <w:tcPr>
            <w:tcW w:w="1100" w:type="dxa"/>
            <w:vAlign w:val="bottom"/>
            <w:tcBorders>
              <w:bottom w:val="single" w:sz="8" w:color="auto"/>
            </w:tcBorders>
            <w:shd w:val="clear" w:color="auto" w:fill="43C0B9"/>
          </w:tcPr>
          <w:p>
            <w:pPr>
              <w:jc w:val="right"/>
              <w:ind w:right="131"/>
              <w:spacing w:after="0"/>
              <w:rPr>
                <w:sz w:val="20"/>
                <w:szCs w:val="20"/>
                <w:color w:val="auto"/>
              </w:rPr>
            </w:pPr>
            <w:r>
              <w:rPr>
                <w:rFonts w:ascii="Arial" w:cs="Arial" w:eastAsia="Arial" w:hAnsi="Arial"/>
                <w:sz w:val="14"/>
                <w:szCs w:val="14"/>
                <w:color w:val="auto"/>
              </w:rPr>
              <w:t>61.1</w:t>
            </w:r>
          </w:p>
        </w:tc>
        <w:tc>
          <w:tcPr>
            <w:tcW w:w="360" w:type="dxa"/>
            <w:vAlign w:val="bottom"/>
            <w:tcBorders>
              <w:bottom w:val="single" w:sz="8" w:color="auto"/>
            </w:tcBorders>
            <w:shd w:val="clear" w:color="auto" w:fill="43C0B9"/>
          </w:tcPr>
          <w:p>
            <w:pPr>
              <w:spacing w:after="0"/>
              <w:rPr>
                <w:sz w:val="17"/>
                <w:szCs w:val="17"/>
                <w:color w:val="auto"/>
              </w:rPr>
            </w:pPr>
          </w:p>
        </w:tc>
        <w:tc>
          <w:tcPr>
            <w:tcW w:w="96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43C0B9"/>
          </w:tcPr>
          <w:p>
            <w:pPr>
              <w:spacing w:after="0"/>
              <w:rPr>
                <w:sz w:val="17"/>
                <w:szCs w:val="17"/>
                <w:color w:val="auto"/>
              </w:rPr>
            </w:pP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440" w:type="dxa"/>
            <w:vAlign w:val="bottom"/>
            <w:tcBorders>
              <w:bottom w:val="single" w:sz="8" w:color="auto"/>
            </w:tcBorders>
            <w:shd w:val="clear" w:color="auto" w:fill="43C0B9"/>
          </w:tcPr>
          <w:p>
            <w:pPr>
              <w:spacing w:after="0"/>
              <w:rPr>
                <w:sz w:val="17"/>
                <w:szCs w:val="17"/>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9"/>
        </w:trPr>
        <w:tc>
          <w:tcPr>
            <w:tcW w:w="3860" w:type="dxa"/>
            <w:vAlign w:val="bottom"/>
          </w:tcPr>
          <w:p>
            <w:pPr>
              <w:ind w:left="20"/>
              <w:spacing w:after="0"/>
              <w:rPr>
                <w:sz w:val="20"/>
                <w:szCs w:val="20"/>
                <w:color w:val="auto"/>
              </w:rPr>
            </w:pPr>
            <w:r>
              <w:rPr>
                <w:rFonts w:ascii="Arial" w:cs="Arial" w:eastAsia="Arial" w:hAnsi="Arial"/>
                <w:sz w:val="14"/>
                <w:szCs w:val="14"/>
                <w:color w:val="auto"/>
              </w:rPr>
              <w:t>Total segment sales</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641.6</w:t>
            </w:r>
          </w:p>
        </w:tc>
        <w:tc>
          <w:tcPr>
            <w:tcW w:w="22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74.2</w:t>
            </w:r>
          </w:p>
        </w:tc>
        <w:tc>
          <w:tcPr>
            <w:tcW w:w="220" w:type="dxa"/>
            <w:vAlign w:val="bottom"/>
          </w:tcPr>
          <w:p>
            <w:pPr>
              <w:spacing w:after="0"/>
              <w:rPr>
                <w:sz w:val="17"/>
                <w:szCs w:val="17"/>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color w:val="auto"/>
              </w:rPr>
              <w:t>715.8</w:t>
            </w:r>
          </w:p>
        </w:tc>
        <w:tc>
          <w:tcPr>
            <w:tcW w:w="36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644.9</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59.8</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704.7</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Intercompany eliminations</w:t>
            </w:r>
          </w:p>
        </w:tc>
        <w:tc>
          <w:tcPr>
            <w:tcW w:w="24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43C0B9"/>
          </w:tcPr>
          <w:p>
            <w:pPr>
              <w:spacing w:after="0"/>
              <w:rPr>
                <w:sz w:val="17"/>
                <w:szCs w:val="17"/>
                <w:color w:val="auto"/>
              </w:rPr>
            </w:pPr>
          </w:p>
        </w:tc>
        <w:tc>
          <w:tcPr>
            <w:tcW w:w="9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(61.1)</w:t>
            </w:r>
          </w:p>
        </w:tc>
        <w:tc>
          <w:tcPr>
            <w:tcW w:w="220" w:type="dxa"/>
            <w:vAlign w:val="bottom"/>
            <w:tcBorders>
              <w:bottom w:val="single" w:sz="8" w:color="auto"/>
            </w:tcBorders>
            <w:shd w:val="clear" w:color="auto" w:fill="43C0B9"/>
          </w:tcPr>
          <w:p>
            <w:pPr>
              <w:spacing w:after="0"/>
              <w:rPr>
                <w:sz w:val="17"/>
                <w:szCs w:val="17"/>
                <w:color w:val="auto"/>
              </w:rPr>
            </w:pPr>
          </w:p>
        </w:tc>
        <w:tc>
          <w:tcPr>
            <w:tcW w:w="110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(61.1)</w:t>
            </w:r>
          </w:p>
        </w:tc>
        <w:tc>
          <w:tcPr>
            <w:tcW w:w="360" w:type="dxa"/>
            <w:vAlign w:val="bottom"/>
            <w:tcBorders>
              <w:bottom w:val="single" w:sz="8" w:color="auto"/>
            </w:tcBorders>
            <w:shd w:val="clear" w:color="auto" w:fill="43C0B9"/>
          </w:tcPr>
          <w:p>
            <w:pPr>
              <w:spacing w:after="0"/>
              <w:rPr>
                <w:sz w:val="17"/>
                <w:szCs w:val="17"/>
                <w:color w:val="auto"/>
              </w:rPr>
            </w:pPr>
          </w:p>
        </w:tc>
        <w:tc>
          <w:tcPr>
            <w:tcW w:w="96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43C0B9"/>
          </w:tcPr>
          <w:p>
            <w:pPr>
              <w:spacing w:after="0"/>
              <w:rPr>
                <w:sz w:val="17"/>
                <w:szCs w:val="17"/>
                <w:color w:val="auto"/>
              </w:rPr>
            </w:pP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440" w:type="dxa"/>
            <w:vAlign w:val="bottom"/>
            <w:tcBorders>
              <w:bottom w:val="single" w:sz="8" w:color="auto"/>
            </w:tcBorders>
            <w:shd w:val="clear" w:color="auto" w:fill="43C0B9"/>
          </w:tcPr>
          <w:p>
            <w:pPr>
              <w:spacing w:after="0"/>
              <w:rPr>
                <w:sz w:val="17"/>
                <w:szCs w:val="17"/>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641.6</w:t>
            </w: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13.1</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654.7</w:t>
            </w: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644.9</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Adjusted EBITDA for each of our reporting segments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right"/>
              <w:ind w:right="191"/>
              <w:spacing w:after="0"/>
              <w:rPr>
                <w:sz w:val="20"/>
                <w:szCs w:val="20"/>
                <w:color w:val="auto"/>
              </w:rPr>
            </w:pPr>
            <w:r>
              <w:rPr>
                <w:rFonts w:ascii="Arial" w:cs="Arial" w:eastAsia="Arial" w:hAnsi="Arial"/>
                <w:sz w:val="14"/>
                <w:szCs w:val="14"/>
                <w:b w:val="1"/>
                <w:bCs w:val="1"/>
                <w:color w:val="FFFFFF"/>
              </w:rPr>
              <w:t>Three Months Ended</w:t>
            </w:r>
          </w:p>
        </w:tc>
        <w:tc>
          <w:tcPr>
            <w:tcW w:w="80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00" w:type="dxa"/>
            <w:vAlign w:val="bottom"/>
            <w:gridSpan w:val="2"/>
            <w:shd w:val="clear" w:color="auto" w:fill="232F84"/>
          </w:tcPr>
          <w:p>
            <w:pPr>
              <w:jc w:val="right"/>
              <w:ind w:right="211"/>
              <w:spacing w:after="0"/>
              <w:rPr>
                <w:sz w:val="20"/>
                <w:szCs w:val="20"/>
                <w:color w:val="auto"/>
              </w:rPr>
            </w:pPr>
            <w:r>
              <w:rPr>
                <w:rFonts w:ascii="Arial" w:cs="Arial" w:eastAsia="Arial" w:hAnsi="Arial"/>
                <w:sz w:val="14"/>
                <w:szCs w:val="14"/>
                <w:b w:val="1"/>
                <w:bCs w:val="1"/>
                <w:color w:val="FFFFFF"/>
              </w:rPr>
              <w:t>Nine Months Ended</w:t>
            </w:r>
          </w:p>
        </w:tc>
        <w:tc>
          <w:tcPr>
            <w:tcW w:w="700" w:type="dxa"/>
            <w:vAlign w:val="bottom"/>
            <w:shd w:val="clear" w:color="auto" w:fill="232F84"/>
          </w:tcPr>
          <w:p>
            <w:pPr>
              <w:spacing w:after="0"/>
              <w:rPr>
                <w:sz w:val="14"/>
                <w:szCs w:val="14"/>
                <w:color w:val="auto"/>
              </w:rPr>
            </w:pPr>
          </w:p>
        </w:tc>
      </w:tr>
      <w:tr>
        <w:trPr>
          <w:trHeight w:val="195"/>
        </w:trPr>
        <w:tc>
          <w:tcPr>
            <w:tcW w:w="46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right"/>
              <w:ind w:right="611"/>
              <w:spacing w:after="0"/>
              <w:rPr>
                <w:sz w:val="20"/>
                <w:szCs w:val="20"/>
                <w:color w:val="auto"/>
              </w:rPr>
            </w:pPr>
            <w:r>
              <w:rPr>
                <w:rFonts w:ascii="Arial" w:cs="Arial" w:eastAsia="Arial" w:hAnsi="Arial"/>
                <w:sz w:val="14"/>
                <w:szCs w:val="14"/>
                <w:b w:val="1"/>
                <w:bCs w:val="1"/>
                <w:color w:val="FFFFFF"/>
              </w:rPr>
              <w:t>July 31,</w:t>
            </w:r>
          </w:p>
        </w:tc>
        <w:tc>
          <w:tcPr>
            <w:tcW w:w="80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right"/>
              <w:ind w:right="591"/>
              <w:spacing w:after="0"/>
              <w:rPr>
                <w:sz w:val="20"/>
                <w:szCs w:val="20"/>
                <w:color w:val="auto"/>
              </w:rPr>
            </w:pPr>
            <w:r>
              <w:rPr>
                <w:rFonts w:ascii="Arial" w:cs="Arial" w:eastAsia="Arial" w:hAnsi="Arial"/>
                <w:sz w:val="14"/>
                <w:szCs w:val="14"/>
                <w:b w:val="1"/>
                <w:bCs w:val="1"/>
                <w:color w:val="FFFFFF"/>
              </w:rPr>
              <w:t>July 31,</w:t>
            </w:r>
          </w:p>
        </w:tc>
        <w:tc>
          <w:tcPr>
            <w:tcW w:w="700" w:type="dxa"/>
            <w:vAlign w:val="bottom"/>
            <w:shd w:val="clear" w:color="auto" w:fill="232F84"/>
          </w:tcPr>
          <w:p>
            <w:pPr>
              <w:spacing w:after="0"/>
              <w:rPr>
                <w:sz w:val="17"/>
                <w:szCs w:val="17"/>
                <w:color w:val="auto"/>
              </w:rPr>
            </w:pPr>
          </w:p>
        </w:tc>
      </w:tr>
      <w:tr>
        <w:trPr>
          <w:trHeight w:val="21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8"/>
                <w:szCs w:val="18"/>
                <w:color w:val="auto"/>
              </w:rPr>
            </w:pPr>
          </w:p>
        </w:tc>
        <w:tc>
          <w:tcPr>
            <w:tcW w:w="110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800" w:type="dxa"/>
            <w:vAlign w:val="bottom"/>
            <w:shd w:val="clear" w:color="auto" w:fill="232F84"/>
          </w:tcPr>
          <w:p>
            <w:pPr>
              <w:jc w:val="right"/>
              <w:ind w:right="171"/>
              <w:spacing w:after="0"/>
              <w:rPr>
                <w:sz w:val="20"/>
                <w:szCs w:val="20"/>
                <w:color w:val="auto"/>
              </w:rPr>
            </w:pPr>
            <w:r>
              <w:rPr>
                <w:rFonts w:ascii="Arial" w:cs="Arial" w:eastAsia="Arial" w:hAnsi="Arial"/>
                <w:sz w:val="14"/>
                <w:szCs w:val="14"/>
                <w:b w:val="1"/>
                <w:bCs w:val="1"/>
                <w:color w:val="FFFFFF"/>
              </w:rPr>
              <w:t>2020</w:t>
            </w:r>
          </w:p>
        </w:tc>
        <w:tc>
          <w:tcPr>
            <w:tcW w:w="54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52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13.1</w:t>
            </w:r>
          </w:p>
        </w:tc>
        <w:tc>
          <w:tcPr>
            <w:tcW w:w="940" w:type="dxa"/>
            <w:vAlign w:val="bottom"/>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21.0</w:t>
            </w:r>
          </w:p>
        </w:tc>
        <w:tc>
          <w:tcPr>
            <w:tcW w:w="540" w:type="dxa"/>
            <w:vAlign w:val="bottom"/>
            <w:shd w:val="clear" w:color="auto" w:fill="43C0B9"/>
          </w:tcPr>
          <w:p>
            <w:pPr>
              <w:jc w:val="right"/>
              <w:ind w:right="371"/>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43.0</w:t>
            </w:r>
          </w:p>
        </w:tc>
        <w:tc>
          <w:tcPr>
            <w:tcW w:w="92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48.8</w:t>
            </w:r>
          </w:p>
        </w:tc>
      </w:tr>
      <w:tr>
        <w:trPr>
          <w:trHeight w:val="20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17.0</w:t>
            </w:r>
          </w:p>
        </w:tc>
        <w:tc>
          <w:tcPr>
            <w:tcW w:w="9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15.6</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15.9</w:t>
            </w:r>
          </w:p>
        </w:tc>
        <w:tc>
          <w:tcPr>
            <w:tcW w:w="9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199"/>
        </w:trPr>
        <w:tc>
          <w:tcPr>
            <w:tcW w:w="46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20" w:type="dxa"/>
            <w:vAlign w:val="bottom"/>
            <w:tcBorders>
              <w:bottom w:val="single" w:sz="8" w:color="auto"/>
            </w:tcBorders>
            <w:shd w:val="clear" w:color="auto" w:fill="43C0B9"/>
          </w:tcPr>
          <w:p>
            <w:pPr>
              <w:spacing w:after="0"/>
              <w:rPr>
                <w:sz w:val="17"/>
                <w:szCs w:val="17"/>
                <w:color w:val="auto"/>
              </w:rPr>
            </w:pPr>
          </w:p>
        </w:tc>
        <w:tc>
          <w:tcPr>
            <w:tcW w:w="11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30.1</w:t>
            </w:r>
          </w:p>
        </w:tc>
        <w:tc>
          <w:tcPr>
            <w:tcW w:w="94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36.6</w:t>
            </w:r>
          </w:p>
        </w:tc>
        <w:tc>
          <w:tcPr>
            <w:tcW w:w="540" w:type="dxa"/>
            <w:vAlign w:val="bottom"/>
            <w:tcBorders>
              <w:bottom w:val="single" w:sz="8" w:color="auto"/>
            </w:tcBorders>
            <w:shd w:val="clear" w:color="auto" w:fill="43C0B9"/>
          </w:tcPr>
          <w:p>
            <w:pPr>
              <w:spacing w:after="0"/>
              <w:rPr>
                <w:sz w:val="17"/>
                <w:szCs w:val="17"/>
                <w:color w:val="auto"/>
              </w:rPr>
            </w:pPr>
          </w:p>
        </w:tc>
        <w:tc>
          <w:tcPr>
            <w:tcW w:w="108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58.9</w:t>
            </w:r>
          </w:p>
        </w:tc>
        <w:tc>
          <w:tcPr>
            <w:tcW w:w="92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59.4</w:t>
            </w:r>
          </w:p>
        </w:tc>
      </w:tr>
      <w:tr>
        <w:trPr>
          <w:trHeight w:val="199"/>
        </w:trPr>
        <w:tc>
          <w:tcPr>
            <w:tcW w:w="4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18.4</w:t>
            </w:r>
          </w:p>
        </w:tc>
        <w:tc>
          <w:tcPr>
            <w:tcW w:w="940" w:type="dxa"/>
            <w:vAlign w:val="bottom"/>
          </w:tcPr>
          <w:p>
            <w:pPr>
              <w:spacing w:after="0"/>
              <w:rPr>
                <w:sz w:val="17"/>
                <w:szCs w:val="17"/>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23.4</w:t>
            </w:r>
          </w:p>
        </w:tc>
        <w:tc>
          <w:tcPr>
            <w:tcW w:w="5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28.0</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12"/>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1.0</w:t>
            </w:r>
          </w:p>
        </w:tc>
        <w:tc>
          <w:tcPr>
            <w:tcW w:w="9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1.1</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2.7</w:t>
            </w:r>
          </w:p>
        </w:tc>
        <w:tc>
          <w:tcPr>
            <w:tcW w:w="92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5.5</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52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5.9</w:t>
            </w:r>
          </w:p>
        </w:tc>
        <w:tc>
          <w:tcPr>
            <w:tcW w:w="940" w:type="dxa"/>
            <w:vAlign w:val="bottom"/>
          </w:tcPr>
          <w:p>
            <w:pPr>
              <w:spacing w:after="0"/>
              <w:rPr>
                <w:sz w:val="17"/>
                <w:szCs w:val="17"/>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6.2</w:t>
            </w:r>
          </w:p>
        </w:tc>
        <w:tc>
          <w:tcPr>
            <w:tcW w:w="5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15.3</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12"/>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Depreciation and amortization</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6.1</w:t>
            </w:r>
          </w:p>
        </w:tc>
        <w:tc>
          <w:tcPr>
            <w:tcW w:w="9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5.5</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13.7</w:t>
            </w:r>
          </w:p>
        </w:tc>
        <w:tc>
          <w:tcPr>
            <w:tcW w:w="92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12.6</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94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2"/>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Impairment on equity method investment</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21.2</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940" w:type="dxa"/>
            <w:vAlign w:val="bottom"/>
          </w:tcPr>
          <w:p>
            <w:pPr>
              <w:spacing w:after="0"/>
              <w:rPr>
                <w:sz w:val="17"/>
                <w:szCs w:val="17"/>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Legal settlement</w:t>
            </w:r>
          </w:p>
        </w:tc>
        <w:tc>
          <w:tcPr>
            <w:tcW w:w="520" w:type="dxa"/>
            <w:vAlign w:val="bottom"/>
            <w:shd w:val="clear" w:color="auto" w:fill="43C0B9"/>
          </w:tcPr>
          <w:p>
            <w:pPr>
              <w:spacing w:after="0"/>
              <w:rPr>
                <w:sz w:val="18"/>
                <w:szCs w:val="18"/>
                <w:color w:val="auto"/>
              </w:rPr>
            </w:pPr>
          </w:p>
        </w:tc>
        <w:tc>
          <w:tcPr>
            <w:tcW w:w="11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0.8</w:t>
            </w:r>
          </w:p>
        </w:tc>
        <w:tc>
          <w:tcPr>
            <w:tcW w:w="92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52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940" w:type="dxa"/>
            <w:vAlign w:val="bottom"/>
          </w:tcPr>
          <w:p>
            <w:pPr>
              <w:spacing w:after="0"/>
              <w:rPr>
                <w:sz w:val="17"/>
                <w:szCs w:val="17"/>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0.8</w:t>
            </w:r>
          </w:p>
        </w:tc>
        <w:tc>
          <w:tcPr>
            <w:tcW w:w="9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6"/>
        </w:trPr>
        <w:tc>
          <w:tcPr>
            <w:tcW w:w="46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Stock-based compensation</w:t>
            </w:r>
          </w:p>
        </w:tc>
        <w:tc>
          <w:tcPr>
            <w:tcW w:w="520" w:type="dxa"/>
            <w:vAlign w:val="bottom"/>
            <w:tcBorders>
              <w:bottom w:val="single" w:sz="8" w:color="auto"/>
            </w:tcBorders>
            <w:shd w:val="clear" w:color="auto" w:fill="43C0B9"/>
          </w:tcPr>
          <w:p>
            <w:pPr>
              <w:spacing w:after="0"/>
              <w:rPr>
                <w:sz w:val="17"/>
                <w:szCs w:val="17"/>
                <w:color w:val="auto"/>
              </w:rPr>
            </w:pPr>
          </w:p>
        </w:tc>
        <w:tc>
          <w:tcPr>
            <w:tcW w:w="11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0.5</w:t>
            </w:r>
          </w:p>
        </w:tc>
        <w:tc>
          <w:tcPr>
            <w:tcW w:w="94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0.4</w:t>
            </w:r>
          </w:p>
        </w:tc>
        <w:tc>
          <w:tcPr>
            <w:tcW w:w="540" w:type="dxa"/>
            <w:vAlign w:val="bottom"/>
            <w:tcBorders>
              <w:bottom w:val="single" w:sz="8" w:color="auto"/>
            </w:tcBorders>
            <w:shd w:val="clear" w:color="auto" w:fill="43C0B9"/>
          </w:tcPr>
          <w:p>
            <w:pPr>
              <w:spacing w:after="0"/>
              <w:rPr>
                <w:sz w:val="17"/>
                <w:szCs w:val="17"/>
                <w:color w:val="auto"/>
              </w:rPr>
            </w:pPr>
          </w:p>
        </w:tc>
        <w:tc>
          <w:tcPr>
            <w:tcW w:w="108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2.0</w:t>
            </w:r>
          </w:p>
        </w:tc>
        <w:tc>
          <w:tcPr>
            <w:tcW w:w="92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adjusted EBITDA</w:t>
            </w:r>
          </w:p>
        </w:tc>
        <w:tc>
          <w:tcPr>
            <w:tcW w:w="5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30.1</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36.6</w:t>
            </w:r>
          </w:p>
        </w:tc>
        <w:tc>
          <w:tcPr>
            <w:tcW w:w="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58.9</w:t>
            </w:r>
          </w:p>
        </w:tc>
        <w:tc>
          <w:tcPr>
            <w:tcW w:w="9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r>
    </w:tbl>
    <w:p>
      <w:pPr>
        <w:spacing w:after="0" w:line="298" w:lineRule="exact"/>
        <w:rPr>
          <w:sz w:val="20"/>
          <w:szCs w:val="20"/>
          <w:color w:val="auto"/>
        </w:rPr>
      </w:pPr>
    </w:p>
    <w:p>
      <w:pPr>
        <w:ind w:right="100" w:firstLine="619"/>
        <w:spacing w:after="0" w:line="269" w:lineRule="auto"/>
        <w:rPr>
          <w:sz w:val="20"/>
          <w:szCs w:val="20"/>
          <w:color w:val="auto"/>
        </w:rPr>
      </w:pPr>
      <w:r>
        <w:rPr>
          <w:rFonts w:ascii="Arial" w:cs="Arial" w:eastAsia="Arial" w:hAnsi="Arial"/>
          <w:sz w:val="15"/>
          <w:szCs w:val="15"/>
          <w:color w:val="auto"/>
        </w:rPr>
        <w:t>Net sales to customers outside the U.S. were $64.3 million and $49.3 million for the three months ended July 31, 2021 and 2020, respectively, and $164.7 million and $138.0 million, for the nine months ended July 31, 2021 and 2020, respectively.</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goodwill balance of $76.4 million as of July 31, 2021 and October 31, 2020 was wholly attributed to the International Farming segment.</w:t>
      </w:r>
    </w:p>
    <w:p>
      <w:pPr>
        <w:spacing w:after="0" w:line="200" w:lineRule="exact"/>
        <w:rPr>
          <w:sz w:val="20"/>
          <w:szCs w:val="20"/>
          <w:color w:val="auto"/>
        </w:rPr>
      </w:pP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ind w:right="1060"/>
        <w:spacing w:after="0" w:line="284" w:lineRule="auto"/>
        <w:rPr>
          <w:sz w:val="20"/>
          <w:szCs w:val="20"/>
          <w:color w:val="auto"/>
        </w:rPr>
      </w:pPr>
      <w:r>
        <w:rPr>
          <w:rFonts w:ascii="Arial" w:cs="Arial" w:eastAsia="Arial" w:hAnsi="Arial"/>
          <w:sz w:val="24"/>
          <w:szCs w:val="24"/>
          <w:b w:val="1"/>
          <w:bCs w:val="1"/>
          <w:color w:val="232F84"/>
        </w:rPr>
        <w:t>Item 2. Management’s Discussion and Analysis of Financial Condition and Results of Operations</w:t>
      </w:r>
    </w:p>
    <w:p>
      <w:pPr>
        <w:spacing w:after="0" w:line="151" w:lineRule="exact"/>
        <w:rPr>
          <w:sz w:val="20"/>
          <w:szCs w:val="20"/>
          <w:color w:val="auto"/>
        </w:rPr>
      </w:pPr>
    </w:p>
    <w:p>
      <w:pPr>
        <w:ind w:right="20" w:firstLine="619"/>
        <w:spacing w:after="0" w:line="257"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together with our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232F84"/>
        </w:rPr>
        <w:t>Overview</w:t>
      </w:r>
    </w:p>
    <w:p>
      <w:pPr>
        <w:spacing w:after="0" w:line="236" w:lineRule="exact"/>
        <w:rPr>
          <w:sz w:val="20"/>
          <w:szCs w:val="20"/>
          <w:color w:val="auto"/>
        </w:rPr>
      </w:pPr>
    </w:p>
    <w:p>
      <w:pPr>
        <w:ind w:right="220" w:firstLine="619"/>
        <w:spacing w:after="0" w:line="259" w:lineRule="auto"/>
        <w:rPr>
          <w:sz w:val="20"/>
          <w:szCs w:val="20"/>
          <w:color w:val="auto"/>
        </w:rPr>
      </w:pPr>
      <w:r>
        <w:rPr>
          <w:rFonts w:ascii="Arial" w:cs="Arial" w:eastAsia="Arial" w:hAnsi="Arial"/>
          <w:sz w:val="15"/>
          <w:szCs w:val="15"/>
          <w:color w:val="auto"/>
        </w:rPr>
        <w:t>We are a world leader in sourcing, producing and distributing fresh avocados, serving retail, wholesale and foodservice customers. We source, produce, pack and distribute avocados to our customers and provide value-added services including ripening, bagging, custom packing and logistical management. In addition, we provide our customers with merchandising and promotional support, insights on market trends and training designed to increase their retail avocado sales.</w:t>
      </w:r>
    </w:p>
    <w:p>
      <w:pPr>
        <w:spacing w:after="0" w:line="370" w:lineRule="exact"/>
        <w:rPr>
          <w:sz w:val="20"/>
          <w:szCs w:val="20"/>
          <w:color w:val="auto"/>
        </w:rPr>
      </w:pPr>
    </w:p>
    <w:p>
      <w:pPr>
        <w:ind w:right="40" w:firstLine="619"/>
        <w:spacing w:after="0" w:line="257" w:lineRule="auto"/>
        <w:rPr>
          <w:sz w:val="20"/>
          <w:szCs w:val="20"/>
          <w:color w:val="auto"/>
        </w:rPr>
      </w:pPr>
      <w:r>
        <w:rPr>
          <w:rFonts w:ascii="Arial" w:cs="Arial" w:eastAsia="Arial" w:hAnsi="Arial"/>
          <w:sz w:val="15"/>
          <w:szCs w:val="15"/>
          <w:color w:val="auto"/>
        </w:rPr>
        <w:t>We have two operating segments, which are also reporting segments. These reporting segments are Marketing and Distribution and International Farming. Our Marketing and Distribution reporting segment primarily sources fruit from growers and then distributes the fruit through our global distribution network. Our International Farming segment owns and operates avocado orchards (principally located in Peru) that supply our Marketing and Distribution segment with a stable supply of avocados. Substantially all fruit produced by our International Farming segment is sold to our Marketing and Distribution segment.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232F84"/>
        </w:rPr>
        <w:t>Results of Operations</w:t>
      </w:r>
    </w:p>
    <w:p>
      <w:pPr>
        <w:spacing w:after="0" w:line="236" w:lineRule="exact"/>
        <w:rPr>
          <w:sz w:val="20"/>
          <w:szCs w:val="20"/>
          <w:color w:val="auto"/>
        </w:rPr>
      </w:pPr>
    </w:p>
    <w:p>
      <w:pPr>
        <w:ind w:right="200" w:firstLine="619"/>
        <w:spacing w:after="0" w:line="256" w:lineRule="auto"/>
        <w:rPr>
          <w:sz w:val="20"/>
          <w:szCs w:val="20"/>
          <w:color w:val="auto"/>
        </w:rPr>
      </w:pPr>
      <w:r>
        <w:rPr>
          <w:rFonts w:ascii="Arial" w:cs="Arial" w:eastAsia="Arial" w:hAnsi="Arial"/>
          <w:sz w:val="15"/>
          <w:szCs w:val="15"/>
          <w:color w:val="auto"/>
        </w:rPr>
        <w:t>The operating results of our businesses are significantly impacted by the price and volume of avocados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373" w:lineRule="exact"/>
        <w:rPr>
          <w:sz w:val="20"/>
          <w:szCs w:val="20"/>
          <w:color w:val="auto"/>
        </w:rPr>
      </w:pPr>
    </w:p>
    <w:p>
      <w:pPr>
        <w:ind w:right="20" w:firstLine="619"/>
        <w:spacing w:after="0" w:line="254" w:lineRule="auto"/>
        <w:rPr>
          <w:sz w:val="20"/>
          <w:szCs w:val="20"/>
          <w:color w:val="auto"/>
        </w:rPr>
      </w:pPr>
      <w:r>
        <w:rPr>
          <w:rFonts w:ascii="Arial" w:cs="Arial" w:eastAsia="Arial" w:hAnsi="Arial"/>
          <w:sz w:val="15"/>
          <w:szCs w:val="15"/>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shd w:val="clear" w:color="auto" w:fill="232F84"/>
          </w:tcPr>
          <w:p>
            <w:pPr>
              <w:spacing w:after="0"/>
              <w:rPr>
                <w:sz w:val="14"/>
                <w:szCs w:val="14"/>
                <w:color w:val="auto"/>
              </w:rPr>
            </w:pPr>
          </w:p>
        </w:tc>
        <w:tc>
          <w:tcPr>
            <w:tcW w:w="360" w:type="dxa"/>
            <w:vAlign w:val="bottom"/>
            <w:shd w:val="clear" w:color="auto" w:fill="232F84"/>
          </w:tcPr>
          <w:p>
            <w:pPr>
              <w:spacing w:after="0"/>
              <w:rPr>
                <w:sz w:val="14"/>
                <w:szCs w:val="14"/>
                <w:color w:val="auto"/>
              </w:rPr>
            </w:pPr>
          </w:p>
        </w:tc>
        <w:tc>
          <w:tcPr>
            <w:tcW w:w="800" w:type="dxa"/>
            <w:vAlign w:val="bottom"/>
            <w:shd w:val="clear" w:color="auto" w:fill="232F84"/>
          </w:tcPr>
          <w:p>
            <w:pPr>
              <w:spacing w:after="0"/>
              <w:rPr>
                <w:sz w:val="14"/>
                <w:szCs w:val="14"/>
                <w:color w:val="auto"/>
              </w:rPr>
            </w:pPr>
          </w:p>
        </w:tc>
        <w:tc>
          <w:tcPr>
            <w:tcW w:w="144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w w:val="99"/>
              </w:rPr>
              <w:t>Three Months Ended</w:t>
            </w:r>
          </w:p>
        </w:tc>
        <w:tc>
          <w:tcPr>
            <w:tcW w:w="620" w:type="dxa"/>
            <w:vAlign w:val="bottom"/>
            <w:shd w:val="clear" w:color="auto" w:fill="232F84"/>
          </w:tcPr>
          <w:p>
            <w:pPr>
              <w:spacing w:after="0"/>
              <w:rPr>
                <w:sz w:val="14"/>
                <w:szCs w:val="14"/>
                <w:color w:val="auto"/>
              </w:rPr>
            </w:pPr>
          </w:p>
        </w:tc>
        <w:tc>
          <w:tcPr>
            <w:tcW w:w="880" w:type="dxa"/>
            <w:vAlign w:val="bottom"/>
            <w:shd w:val="clear" w:color="auto" w:fill="232F84"/>
          </w:tcPr>
          <w:p>
            <w:pPr>
              <w:spacing w:after="0"/>
              <w:rPr>
                <w:sz w:val="14"/>
                <w:szCs w:val="14"/>
                <w:color w:val="auto"/>
              </w:rPr>
            </w:pPr>
          </w:p>
        </w:tc>
        <w:tc>
          <w:tcPr>
            <w:tcW w:w="360" w:type="dxa"/>
            <w:vAlign w:val="bottom"/>
            <w:shd w:val="clear" w:color="auto" w:fill="232F84"/>
          </w:tcPr>
          <w:p>
            <w:pPr>
              <w:spacing w:after="0"/>
              <w:rPr>
                <w:sz w:val="14"/>
                <w:szCs w:val="14"/>
                <w:color w:val="auto"/>
              </w:rPr>
            </w:pPr>
          </w:p>
        </w:tc>
        <w:tc>
          <w:tcPr>
            <w:tcW w:w="800" w:type="dxa"/>
            <w:vAlign w:val="bottom"/>
            <w:shd w:val="clear" w:color="auto" w:fill="232F84"/>
          </w:tcPr>
          <w:p>
            <w:pPr>
              <w:spacing w:after="0"/>
              <w:rPr>
                <w:sz w:val="14"/>
                <w:szCs w:val="14"/>
                <w:color w:val="auto"/>
              </w:rPr>
            </w:pPr>
          </w:p>
        </w:tc>
        <w:tc>
          <w:tcPr>
            <w:tcW w:w="138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64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r>
      <w:tr>
        <w:trPr>
          <w:trHeight w:val="195"/>
        </w:trPr>
        <w:tc>
          <w:tcPr>
            <w:tcW w:w="3420" w:type="dxa"/>
            <w:vAlign w:val="bottom"/>
            <w:shd w:val="clear" w:color="auto" w:fill="232F84"/>
          </w:tcPr>
          <w:p>
            <w:pPr>
              <w:spacing w:after="0"/>
              <w:rPr>
                <w:sz w:val="17"/>
                <w:szCs w:val="17"/>
                <w:color w:val="auto"/>
              </w:rPr>
            </w:pPr>
          </w:p>
        </w:tc>
        <w:tc>
          <w:tcPr>
            <w:tcW w:w="360" w:type="dxa"/>
            <w:vAlign w:val="bottom"/>
            <w:shd w:val="clear" w:color="auto" w:fill="232F84"/>
          </w:tcPr>
          <w:p>
            <w:pPr>
              <w:spacing w:after="0"/>
              <w:rPr>
                <w:sz w:val="17"/>
                <w:szCs w:val="17"/>
                <w:color w:val="auto"/>
              </w:rPr>
            </w:pPr>
          </w:p>
        </w:tc>
        <w:tc>
          <w:tcPr>
            <w:tcW w:w="800" w:type="dxa"/>
            <w:vAlign w:val="bottom"/>
            <w:shd w:val="clear" w:color="auto" w:fill="232F84"/>
          </w:tcPr>
          <w:p>
            <w:pPr>
              <w:spacing w:after="0"/>
              <w:rPr>
                <w:sz w:val="17"/>
                <w:szCs w:val="17"/>
                <w:color w:val="auto"/>
              </w:rPr>
            </w:pPr>
          </w:p>
        </w:tc>
        <w:tc>
          <w:tcPr>
            <w:tcW w:w="1440" w:type="dxa"/>
            <w:vAlign w:val="bottom"/>
            <w:gridSpan w:val="2"/>
            <w:shd w:val="clear" w:color="auto" w:fill="232F84"/>
          </w:tcPr>
          <w:p>
            <w:pPr>
              <w:jc w:val="right"/>
              <w:ind w:right="391"/>
              <w:spacing w:after="0"/>
              <w:rPr>
                <w:sz w:val="20"/>
                <w:szCs w:val="20"/>
                <w:color w:val="auto"/>
              </w:rPr>
            </w:pPr>
            <w:r>
              <w:rPr>
                <w:rFonts w:ascii="Arial" w:cs="Arial" w:eastAsia="Arial" w:hAnsi="Arial"/>
                <w:sz w:val="14"/>
                <w:szCs w:val="14"/>
                <w:b w:val="1"/>
                <w:bCs w:val="1"/>
                <w:color w:val="FFFFFF"/>
              </w:rPr>
              <w:t>July 31,</w:t>
            </w:r>
          </w:p>
        </w:tc>
        <w:tc>
          <w:tcPr>
            <w:tcW w:w="620" w:type="dxa"/>
            <w:vAlign w:val="bottom"/>
            <w:shd w:val="clear" w:color="auto" w:fill="232F84"/>
          </w:tcPr>
          <w:p>
            <w:pPr>
              <w:spacing w:after="0"/>
              <w:rPr>
                <w:sz w:val="17"/>
                <w:szCs w:val="17"/>
                <w:color w:val="auto"/>
              </w:rPr>
            </w:pPr>
          </w:p>
        </w:tc>
        <w:tc>
          <w:tcPr>
            <w:tcW w:w="880" w:type="dxa"/>
            <w:vAlign w:val="bottom"/>
            <w:shd w:val="clear" w:color="auto" w:fill="232F84"/>
          </w:tcPr>
          <w:p>
            <w:pPr>
              <w:spacing w:after="0"/>
              <w:rPr>
                <w:sz w:val="17"/>
                <w:szCs w:val="17"/>
                <w:color w:val="auto"/>
              </w:rPr>
            </w:pPr>
          </w:p>
        </w:tc>
        <w:tc>
          <w:tcPr>
            <w:tcW w:w="360" w:type="dxa"/>
            <w:vAlign w:val="bottom"/>
            <w:shd w:val="clear" w:color="auto" w:fill="232F84"/>
          </w:tcPr>
          <w:p>
            <w:pPr>
              <w:spacing w:after="0"/>
              <w:rPr>
                <w:sz w:val="17"/>
                <w:szCs w:val="17"/>
                <w:color w:val="auto"/>
              </w:rPr>
            </w:pPr>
          </w:p>
        </w:tc>
        <w:tc>
          <w:tcPr>
            <w:tcW w:w="800" w:type="dxa"/>
            <w:vAlign w:val="bottom"/>
            <w:shd w:val="clear" w:color="auto" w:fill="232F84"/>
          </w:tcPr>
          <w:p>
            <w:pPr>
              <w:spacing w:after="0"/>
              <w:rPr>
                <w:sz w:val="17"/>
                <w:szCs w:val="17"/>
                <w:color w:val="auto"/>
              </w:rPr>
            </w:pPr>
          </w:p>
        </w:tc>
        <w:tc>
          <w:tcPr>
            <w:tcW w:w="1380" w:type="dxa"/>
            <w:vAlign w:val="bottom"/>
            <w:gridSpan w:val="2"/>
            <w:shd w:val="clear" w:color="auto" w:fill="232F84"/>
          </w:tcPr>
          <w:p>
            <w:pPr>
              <w:jc w:val="right"/>
              <w:ind w:right="351"/>
              <w:spacing w:after="0"/>
              <w:rPr>
                <w:sz w:val="20"/>
                <w:szCs w:val="20"/>
                <w:color w:val="auto"/>
              </w:rPr>
            </w:pPr>
            <w:r>
              <w:rPr>
                <w:rFonts w:ascii="Arial" w:cs="Arial" w:eastAsia="Arial" w:hAnsi="Arial"/>
                <w:sz w:val="14"/>
                <w:szCs w:val="14"/>
                <w:b w:val="1"/>
                <w:bCs w:val="1"/>
                <w:color w:val="FFFFFF"/>
              </w:rPr>
              <w:t>July 31,</w:t>
            </w:r>
          </w:p>
        </w:tc>
        <w:tc>
          <w:tcPr>
            <w:tcW w:w="64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r>
      <w:tr>
        <w:trPr>
          <w:trHeight w:val="219"/>
        </w:trPr>
        <w:tc>
          <w:tcPr>
            <w:tcW w:w="3420" w:type="dxa"/>
            <w:vAlign w:val="bottom"/>
            <w:shd w:val="clear" w:color="auto" w:fill="232F84"/>
          </w:tcPr>
          <w:p>
            <w:pPr>
              <w:spacing w:after="0"/>
              <w:rPr>
                <w:sz w:val="19"/>
                <w:szCs w:val="19"/>
                <w:color w:val="auto"/>
              </w:rPr>
            </w:pPr>
          </w:p>
        </w:tc>
        <w:tc>
          <w:tcPr>
            <w:tcW w:w="360" w:type="dxa"/>
            <w:vAlign w:val="bottom"/>
            <w:shd w:val="clear" w:color="auto" w:fill="232F84"/>
          </w:tcPr>
          <w:p>
            <w:pPr>
              <w:spacing w:after="0"/>
              <w:rPr>
                <w:sz w:val="19"/>
                <w:szCs w:val="19"/>
                <w:color w:val="auto"/>
              </w:rPr>
            </w:pPr>
          </w:p>
        </w:tc>
        <w:tc>
          <w:tcPr>
            <w:tcW w:w="800" w:type="dxa"/>
            <w:vAlign w:val="bottom"/>
            <w:shd w:val="clear" w:color="auto" w:fill="232F84"/>
          </w:tcPr>
          <w:p>
            <w:pPr>
              <w:jc w:val="right"/>
              <w:ind w:right="11"/>
              <w:spacing w:after="0"/>
              <w:rPr>
                <w:sz w:val="20"/>
                <w:szCs w:val="20"/>
                <w:color w:val="auto"/>
              </w:rPr>
            </w:pPr>
            <w:r>
              <w:rPr>
                <w:rFonts w:ascii="Arial" w:cs="Arial" w:eastAsia="Arial" w:hAnsi="Arial"/>
                <w:sz w:val="14"/>
                <w:szCs w:val="14"/>
                <w:b w:val="1"/>
                <w:bCs w:val="1"/>
                <w:color w:val="FFFFFF"/>
              </w:rPr>
              <w:t>2021</w:t>
            </w:r>
          </w:p>
        </w:tc>
        <w:tc>
          <w:tcPr>
            <w:tcW w:w="820" w:type="dxa"/>
            <w:vAlign w:val="bottom"/>
            <w:shd w:val="clear" w:color="auto" w:fill="232F84"/>
          </w:tcPr>
          <w:p>
            <w:pPr>
              <w:spacing w:after="0"/>
              <w:rPr>
                <w:sz w:val="19"/>
                <w:szCs w:val="19"/>
                <w:color w:val="auto"/>
              </w:rPr>
            </w:pPr>
          </w:p>
        </w:tc>
        <w:tc>
          <w:tcPr>
            <w:tcW w:w="620" w:type="dxa"/>
            <w:vAlign w:val="bottom"/>
            <w:shd w:val="clear" w:color="auto" w:fill="232F84"/>
          </w:tcPr>
          <w:p>
            <w:pPr>
              <w:spacing w:after="0"/>
              <w:rPr>
                <w:sz w:val="19"/>
                <w:szCs w:val="19"/>
                <w:color w:val="auto"/>
              </w:rPr>
            </w:pPr>
          </w:p>
        </w:tc>
        <w:tc>
          <w:tcPr>
            <w:tcW w:w="62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2020</w:t>
            </w:r>
          </w:p>
        </w:tc>
        <w:tc>
          <w:tcPr>
            <w:tcW w:w="880" w:type="dxa"/>
            <w:vAlign w:val="bottom"/>
            <w:shd w:val="clear" w:color="auto" w:fill="232F84"/>
          </w:tcPr>
          <w:p>
            <w:pPr>
              <w:spacing w:after="0"/>
              <w:rPr>
                <w:sz w:val="19"/>
                <w:szCs w:val="19"/>
                <w:color w:val="auto"/>
              </w:rPr>
            </w:pPr>
          </w:p>
        </w:tc>
        <w:tc>
          <w:tcPr>
            <w:tcW w:w="360" w:type="dxa"/>
            <w:vAlign w:val="bottom"/>
            <w:shd w:val="clear" w:color="auto" w:fill="232F84"/>
          </w:tcPr>
          <w:p>
            <w:pPr>
              <w:spacing w:after="0"/>
              <w:rPr>
                <w:sz w:val="19"/>
                <w:szCs w:val="19"/>
                <w:color w:val="auto"/>
              </w:rPr>
            </w:pPr>
          </w:p>
        </w:tc>
        <w:tc>
          <w:tcPr>
            <w:tcW w:w="8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2021</w:t>
            </w:r>
          </w:p>
        </w:tc>
        <w:tc>
          <w:tcPr>
            <w:tcW w:w="780" w:type="dxa"/>
            <w:vAlign w:val="bottom"/>
            <w:shd w:val="clear" w:color="auto" w:fill="232F84"/>
          </w:tcPr>
          <w:p>
            <w:pPr>
              <w:spacing w:after="0"/>
              <w:rPr>
                <w:sz w:val="19"/>
                <w:szCs w:val="19"/>
                <w:color w:val="auto"/>
              </w:rPr>
            </w:pPr>
          </w:p>
        </w:tc>
        <w:tc>
          <w:tcPr>
            <w:tcW w:w="600" w:type="dxa"/>
            <w:vAlign w:val="bottom"/>
            <w:shd w:val="clear" w:color="auto" w:fill="232F84"/>
          </w:tcPr>
          <w:p>
            <w:pPr>
              <w:spacing w:after="0"/>
              <w:rPr>
                <w:sz w:val="19"/>
                <w:szCs w:val="19"/>
                <w:color w:val="auto"/>
              </w:rPr>
            </w:pPr>
          </w:p>
        </w:tc>
        <w:tc>
          <w:tcPr>
            <w:tcW w:w="640" w:type="dxa"/>
            <w:vAlign w:val="bottom"/>
            <w:shd w:val="clear" w:color="auto" w:fill="232F84"/>
          </w:tcPr>
          <w:p>
            <w:pPr>
              <w:jc w:val="right"/>
              <w:ind w:right="131"/>
              <w:spacing w:after="0"/>
              <w:rPr>
                <w:sz w:val="20"/>
                <w:szCs w:val="20"/>
                <w:color w:val="auto"/>
              </w:rPr>
            </w:pPr>
            <w:r>
              <w:rPr>
                <w:rFonts w:ascii="Arial" w:cs="Arial" w:eastAsia="Arial" w:hAnsi="Arial"/>
                <w:sz w:val="14"/>
                <w:szCs w:val="14"/>
                <w:b w:val="1"/>
                <w:bCs w:val="1"/>
                <w:color w:val="FFFFFF"/>
              </w:rPr>
              <w:t>2020</w:t>
            </w:r>
          </w:p>
        </w:tc>
        <w:tc>
          <w:tcPr>
            <w:tcW w:w="540" w:type="dxa"/>
            <w:vAlign w:val="bottom"/>
            <w:shd w:val="clear" w:color="auto" w:fill="232F84"/>
          </w:tcPr>
          <w:p>
            <w:pPr>
              <w:spacing w:after="0"/>
              <w:rPr>
                <w:sz w:val="19"/>
                <w:szCs w:val="19"/>
                <w:color w:val="auto"/>
              </w:rPr>
            </w:pPr>
          </w:p>
        </w:tc>
      </w:tr>
      <w:tr>
        <w:trPr>
          <w:trHeight w:val="216"/>
        </w:trPr>
        <w:tc>
          <w:tcPr>
            <w:tcW w:w="34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 except for percentages)</w:t>
            </w:r>
          </w:p>
        </w:tc>
        <w:tc>
          <w:tcPr>
            <w:tcW w:w="360" w:type="dxa"/>
            <w:vAlign w:val="bottom"/>
            <w:shd w:val="clear" w:color="auto" w:fill="232F84"/>
          </w:tcPr>
          <w:p>
            <w:pPr>
              <w:spacing w:after="0"/>
              <w:rPr>
                <w:sz w:val="18"/>
                <w:szCs w:val="18"/>
                <w:color w:val="auto"/>
              </w:rPr>
            </w:pPr>
          </w:p>
        </w:tc>
        <w:tc>
          <w:tcPr>
            <w:tcW w:w="8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Dollars</w:t>
            </w:r>
          </w:p>
        </w:tc>
        <w:tc>
          <w:tcPr>
            <w:tcW w:w="82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w:t>
            </w:r>
          </w:p>
        </w:tc>
        <w:tc>
          <w:tcPr>
            <w:tcW w:w="620" w:type="dxa"/>
            <w:vAlign w:val="bottom"/>
            <w:shd w:val="clear" w:color="auto" w:fill="232F84"/>
          </w:tcPr>
          <w:p>
            <w:pPr>
              <w:spacing w:after="0"/>
              <w:rPr>
                <w:sz w:val="18"/>
                <w:szCs w:val="18"/>
                <w:color w:val="auto"/>
              </w:rPr>
            </w:pPr>
          </w:p>
        </w:tc>
        <w:tc>
          <w:tcPr>
            <w:tcW w:w="62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w w:val="96"/>
              </w:rPr>
              <w:t>Dollars</w:t>
            </w:r>
          </w:p>
        </w:tc>
        <w:tc>
          <w:tcPr>
            <w:tcW w:w="880" w:type="dxa"/>
            <w:vAlign w:val="bottom"/>
            <w:shd w:val="clear" w:color="auto" w:fill="232F84"/>
          </w:tcPr>
          <w:p>
            <w:pPr>
              <w:jc w:val="right"/>
              <w:ind w:right="271"/>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232F84"/>
          </w:tcPr>
          <w:p>
            <w:pPr>
              <w:spacing w:after="0"/>
              <w:rPr>
                <w:sz w:val="18"/>
                <w:szCs w:val="18"/>
                <w:color w:val="auto"/>
              </w:rPr>
            </w:pPr>
          </w:p>
        </w:tc>
        <w:tc>
          <w:tcPr>
            <w:tcW w:w="8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Dollars</w:t>
            </w:r>
          </w:p>
        </w:tc>
        <w:tc>
          <w:tcPr>
            <w:tcW w:w="78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232F84"/>
          </w:tcPr>
          <w:p>
            <w:pPr>
              <w:spacing w:after="0"/>
              <w:rPr>
                <w:sz w:val="18"/>
                <w:szCs w:val="18"/>
                <w:color w:val="auto"/>
              </w:rPr>
            </w:pPr>
          </w:p>
        </w:tc>
        <w:tc>
          <w:tcPr>
            <w:tcW w:w="64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Dollars</w:t>
            </w:r>
          </w:p>
        </w:tc>
        <w:tc>
          <w:tcPr>
            <w:tcW w:w="5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w:t>
            </w:r>
          </w:p>
        </w:tc>
      </w:tr>
      <w:tr>
        <w:trPr>
          <w:trHeight w:val="206"/>
        </w:trPr>
        <w:tc>
          <w:tcPr>
            <w:tcW w:w="342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360" w:type="dxa"/>
            <w:vAlign w:val="bottom"/>
            <w:shd w:val="clear" w:color="auto" w:fill="43C0B9"/>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246.8</w:t>
            </w:r>
          </w:p>
        </w:tc>
        <w:tc>
          <w:tcPr>
            <w:tcW w:w="82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100 %</w:t>
            </w:r>
          </w:p>
        </w:tc>
        <w:tc>
          <w:tcPr>
            <w:tcW w:w="620" w:type="dxa"/>
            <w:vAlign w:val="bottom"/>
            <w:shd w:val="clear" w:color="auto" w:fill="43C0B9"/>
          </w:tcPr>
          <w:p>
            <w:pPr>
              <w:jc w:val="right"/>
              <w:ind w:right="451"/>
              <w:spacing w:after="0"/>
              <w:rPr>
                <w:sz w:val="20"/>
                <w:szCs w:val="20"/>
                <w:color w:val="auto"/>
              </w:rPr>
            </w:pPr>
            <w:r>
              <w:rPr>
                <w:rFonts w:ascii="Arial" w:cs="Arial" w:eastAsia="Arial" w:hAnsi="Arial"/>
                <w:sz w:val="14"/>
                <w:szCs w:val="14"/>
                <w:color w:val="auto"/>
              </w:rPr>
              <w:t>$</w:t>
            </w:r>
          </w:p>
        </w:tc>
        <w:tc>
          <w:tcPr>
            <w:tcW w:w="6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236.4</w:t>
            </w:r>
          </w:p>
        </w:tc>
        <w:tc>
          <w:tcPr>
            <w:tcW w:w="880" w:type="dxa"/>
            <w:vAlign w:val="bottom"/>
            <w:shd w:val="clear" w:color="auto" w:fill="43C0B9"/>
          </w:tcPr>
          <w:p>
            <w:pPr>
              <w:jc w:val="right"/>
              <w:ind w:right="271"/>
              <w:spacing w:after="0"/>
              <w:rPr>
                <w:sz w:val="20"/>
                <w:szCs w:val="20"/>
                <w:color w:val="auto"/>
              </w:rPr>
            </w:pPr>
            <w:r>
              <w:rPr>
                <w:rFonts w:ascii="Arial" w:cs="Arial" w:eastAsia="Arial" w:hAnsi="Arial"/>
                <w:sz w:val="14"/>
                <w:szCs w:val="14"/>
                <w:color w:val="auto"/>
              </w:rPr>
              <w:t>100 %</w:t>
            </w:r>
          </w:p>
        </w:tc>
        <w:tc>
          <w:tcPr>
            <w:tcW w:w="360" w:type="dxa"/>
            <w:vAlign w:val="bottom"/>
            <w:shd w:val="clear" w:color="auto" w:fill="43C0B9"/>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654.7</w:t>
            </w:r>
          </w:p>
        </w:tc>
        <w:tc>
          <w:tcPr>
            <w:tcW w:w="78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100 %</w:t>
            </w:r>
          </w:p>
        </w:tc>
        <w:tc>
          <w:tcPr>
            <w:tcW w:w="600" w:type="dxa"/>
            <w:vAlign w:val="bottom"/>
            <w:shd w:val="clear" w:color="auto" w:fill="43C0B9"/>
          </w:tcPr>
          <w:p>
            <w:pPr>
              <w:jc w:val="right"/>
              <w:ind w:right="45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655.5</w:t>
            </w:r>
          </w:p>
        </w:tc>
        <w:tc>
          <w:tcPr>
            <w:tcW w:w="5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100 %</w:t>
            </w:r>
          </w:p>
        </w:tc>
      </w:tr>
      <w:tr>
        <w:trPr>
          <w:trHeight w:val="20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205.9</w:t>
            </w: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83 %</w:t>
            </w: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192.2</w:t>
            </w: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81 %</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564.0</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86 %</w:t>
            </w: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570.4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r>
      <w:tr>
        <w:trPr>
          <w:trHeight w:val="205"/>
        </w:trPr>
        <w:tc>
          <w:tcPr>
            <w:tcW w:w="342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w:t>
            </w:r>
          </w:p>
        </w:tc>
        <w:tc>
          <w:tcPr>
            <w:tcW w:w="360" w:type="dxa"/>
            <w:vAlign w:val="bottom"/>
            <w:shd w:val="clear" w:color="auto" w:fill="43C0B9"/>
          </w:tcPr>
          <w:p>
            <w:pPr>
              <w:spacing w:after="0"/>
              <w:rPr>
                <w:sz w:val="17"/>
                <w:szCs w:val="17"/>
                <w:color w:val="auto"/>
              </w:rPr>
            </w:pP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40.9</w:t>
            </w:r>
          </w:p>
        </w:tc>
        <w:tc>
          <w:tcPr>
            <w:tcW w:w="82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17 %</w:t>
            </w:r>
          </w:p>
        </w:tc>
        <w:tc>
          <w:tcPr>
            <w:tcW w:w="620" w:type="dxa"/>
            <w:vAlign w:val="bottom"/>
            <w:shd w:val="clear" w:color="auto" w:fill="43C0B9"/>
          </w:tcPr>
          <w:p>
            <w:pPr>
              <w:spacing w:after="0"/>
              <w:rPr>
                <w:sz w:val="17"/>
                <w:szCs w:val="17"/>
                <w:color w:val="auto"/>
              </w:rPr>
            </w:pPr>
          </w:p>
        </w:tc>
        <w:tc>
          <w:tcPr>
            <w:tcW w:w="6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44.2</w:t>
            </w:r>
          </w:p>
        </w:tc>
        <w:tc>
          <w:tcPr>
            <w:tcW w:w="880" w:type="dxa"/>
            <w:vAlign w:val="bottom"/>
            <w:shd w:val="clear" w:color="auto" w:fill="43C0B9"/>
          </w:tcPr>
          <w:p>
            <w:pPr>
              <w:jc w:val="right"/>
              <w:ind w:right="271"/>
              <w:spacing w:after="0"/>
              <w:rPr>
                <w:sz w:val="20"/>
                <w:szCs w:val="20"/>
                <w:color w:val="auto"/>
              </w:rPr>
            </w:pPr>
            <w:r>
              <w:rPr>
                <w:rFonts w:ascii="Arial" w:cs="Arial" w:eastAsia="Arial" w:hAnsi="Arial"/>
                <w:sz w:val="14"/>
                <w:szCs w:val="14"/>
                <w:color w:val="auto"/>
              </w:rPr>
              <w:t>19 %</w:t>
            </w:r>
          </w:p>
        </w:tc>
        <w:tc>
          <w:tcPr>
            <w:tcW w:w="360" w:type="dxa"/>
            <w:vAlign w:val="bottom"/>
            <w:shd w:val="clear" w:color="auto" w:fill="43C0B9"/>
          </w:tcPr>
          <w:p>
            <w:pPr>
              <w:spacing w:after="0"/>
              <w:rPr>
                <w:sz w:val="17"/>
                <w:szCs w:val="17"/>
                <w:color w:val="auto"/>
              </w:rPr>
            </w:pP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90.7</w:t>
            </w:r>
          </w:p>
        </w:tc>
        <w:tc>
          <w:tcPr>
            <w:tcW w:w="78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14 %</w:t>
            </w:r>
          </w:p>
        </w:tc>
        <w:tc>
          <w:tcPr>
            <w:tcW w:w="600" w:type="dxa"/>
            <w:vAlign w:val="bottom"/>
            <w:shd w:val="clear" w:color="auto" w:fill="43C0B9"/>
          </w:tcPr>
          <w:p>
            <w:pPr>
              <w:spacing w:after="0"/>
              <w:rPr>
                <w:sz w:val="17"/>
                <w:szCs w:val="17"/>
                <w:color w:val="auto"/>
              </w:rPr>
            </w:pPr>
          </w:p>
        </w:tc>
        <w:tc>
          <w:tcPr>
            <w:tcW w:w="64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85.1</w:t>
            </w:r>
          </w:p>
        </w:tc>
        <w:tc>
          <w:tcPr>
            <w:tcW w:w="5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13 %</w:t>
            </w:r>
          </w:p>
        </w:tc>
      </w:tr>
      <w:tr>
        <w:trPr>
          <w:trHeight w:val="20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17.2</w:t>
            </w: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7 %</w:t>
            </w: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13.5</w:t>
            </w: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6 %</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48.1</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7 %</w:t>
            </w: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39.4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r>
      <w:tr>
        <w:trPr>
          <w:trHeight w:val="205"/>
        </w:trPr>
        <w:tc>
          <w:tcPr>
            <w:tcW w:w="3420" w:type="dxa"/>
            <w:vAlign w:val="bottom"/>
            <w:shd w:val="clear" w:color="auto" w:fill="43C0B9"/>
          </w:tcPr>
          <w:p>
            <w:pPr>
              <w:ind w:left="20"/>
              <w:spacing w:after="0"/>
              <w:rPr>
                <w:sz w:val="20"/>
                <w:szCs w:val="20"/>
                <w:color w:val="auto"/>
              </w:rPr>
            </w:pPr>
            <w:r>
              <w:rPr>
                <w:rFonts w:ascii="Arial" w:cs="Arial" w:eastAsia="Arial" w:hAnsi="Arial"/>
                <w:sz w:val="14"/>
                <w:szCs w:val="14"/>
                <w:color w:val="auto"/>
              </w:rPr>
              <w:t>Operating income</w:t>
            </w:r>
          </w:p>
        </w:tc>
        <w:tc>
          <w:tcPr>
            <w:tcW w:w="360" w:type="dxa"/>
            <w:vAlign w:val="bottom"/>
            <w:shd w:val="clear" w:color="auto" w:fill="43C0B9"/>
          </w:tcPr>
          <w:p>
            <w:pPr>
              <w:spacing w:after="0"/>
              <w:rPr>
                <w:sz w:val="17"/>
                <w:szCs w:val="17"/>
                <w:color w:val="auto"/>
              </w:rPr>
            </w:pP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23.7</w:t>
            </w:r>
          </w:p>
        </w:tc>
        <w:tc>
          <w:tcPr>
            <w:tcW w:w="82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10 %</w:t>
            </w:r>
          </w:p>
        </w:tc>
        <w:tc>
          <w:tcPr>
            <w:tcW w:w="620" w:type="dxa"/>
            <w:vAlign w:val="bottom"/>
            <w:shd w:val="clear" w:color="auto" w:fill="43C0B9"/>
          </w:tcPr>
          <w:p>
            <w:pPr>
              <w:spacing w:after="0"/>
              <w:rPr>
                <w:sz w:val="17"/>
                <w:szCs w:val="17"/>
                <w:color w:val="auto"/>
              </w:rPr>
            </w:pPr>
          </w:p>
        </w:tc>
        <w:tc>
          <w:tcPr>
            <w:tcW w:w="6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30.7</w:t>
            </w:r>
          </w:p>
        </w:tc>
        <w:tc>
          <w:tcPr>
            <w:tcW w:w="880" w:type="dxa"/>
            <w:vAlign w:val="bottom"/>
            <w:shd w:val="clear" w:color="auto" w:fill="43C0B9"/>
          </w:tcPr>
          <w:p>
            <w:pPr>
              <w:jc w:val="right"/>
              <w:ind w:right="271"/>
              <w:spacing w:after="0"/>
              <w:rPr>
                <w:sz w:val="20"/>
                <w:szCs w:val="20"/>
                <w:color w:val="auto"/>
              </w:rPr>
            </w:pPr>
            <w:r>
              <w:rPr>
                <w:rFonts w:ascii="Arial" w:cs="Arial" w:eastAsia="Arial" w:hAnsi="Arial"/>
                <w:sz w:val="14"/>
                <w:szCs w:val="14"/>
                <w:color w:val="auto"/>
              </w:rPr>
              <w:t>13 %</w:t>
            </w:r>
          </w:p>
        </w:tc>
        <w:tc>
          <w:tcPr>
            <w:tcW w:w="360" w:type="dxa"/>
            <w:vAlign w:val="bottom"/>
            <w:shd w:val="clear" w:color="auto" w:fill="43C0B9"/>
          </w:tcPr>
          <w:p>
            <w:pPr>
              <w:spacing w:after="0"/>
              <w:rPr>
                <w:sz w:val="17"/>
                <w:szCs w:val="17"/>
                <w:color w:val="auto"/>
              </w:rPr>
            </w:pP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42.6</w:t>
            </w:r>
          </w:p>
        </w:tc>
        <w:tc>
          <w:tcPr>
            <w:tcW w:w="78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7 %</w:t>
            </w:r>
          </w:p>
        </w:tc>
        <w:tc>
          <w:tcPr>
            <w:tcW w:w="600" w:type="dxa"/>
            <w:vAlign w:val="bottom"/>
            <w:shd w:val="clear" w:color="auto" w:fill="43C0B9"/>
          </w:tcPr>
          <w:p>
            <w:pPr>
              <w:spacing w:after="0"/>
              <w:rPr>
                <w:sz w:val="17"/>
                <w:szCs w:val="17"/>
                <w:color w:val="auto"/>
              </w:rPr>
            </w:pPr>
          </w:p>
        </w:tc>
        <w:tc>
          <w:tcPr>
            <w:tcW w:w="64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45.7</w:t>
            </w:r>
          </w:p>
        </w:tc>
        <w:tc>
          <w:tcPr>
            <w:tcW w:w="5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7 %</w:t>
            </w:r>
          </w:p>
        </w:tc>
      </w:tr>
      <w:tr>
        <w:trPr>
          <w:trHeight w:val="200"/>
        </w:trPr>
        <w:tc>
          <w:tcPr>
            <w:tcW w:w="34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 %</w:t>
            </w:r>
          </w:p>
        </w:tc>
        <w:tc>
          <w:tcPr>
            <w:tcW w:w="620" w:type="dxa"/>
            <w:vAlign w:val="bottom"/>
          </w:tcPr>
          <w:p>
            <w:pPr>
              <w:spacing w:after="0"/>
              <w:rPr>
                <w:sz w:val="17"/>
                <w:szCs w:val="17"/>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 %</w:t>
            </w:r>
          </w:p>
        </w:tc>
        <w:tc>
          <w:tcPr>
            <w:tcW w:w="600" w:type="dxa"/>
            <w:vAlign w:val="bottom"/>
          </w:tcPr>
          <w:p>
            <w:pPr>
              <w:spacing w:after="0"/>
              <w:rPr>
                <w:sz w:val="17"/>
                <w:szCs w:val="17"/>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(5.5)</w:t>
            </w: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2"/>
        </w:trPr>
        <w:tc>
          <w:tcPr>
            <w:tcW w:w="342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36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2.1</w:t>
            </w:r>
          </w:p>
        </w:tc>
        <w:tc>
          <w:tcPr>
            <w:tcW w:w="82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1 %</w:t>
            </w:r>
          </w:p>
        </w:tc>
        <w:tc>
          <w:tcPr>
            <w:tcW w:w="620" w:type="dxa"/>
            <w:vAlign w:val="bottom"/>
            <w:shd w:val="clear" w:color="auto" w:fill="43C0B9"/>
          </w:tcPr>
          <w:p>
            <w:pPr>
              <w:spacing w:after="0"/>
              <w:rPr>
                <w:sz w:val="18"/>
                <w:szCs w:val="18"/>
                <w:color w:val="auto"/>
              </w:rPr>
            </w:pPr>
          </w:p>
        </w:tc>
        <w:tc>
          <w:tcPr>
            <w:tcW w:w="6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1.2</w:t>
            </w:r>
          </w:p>
        </w:tc>
        <w:tc>
          <w:tcPr>
            <w:tcW w:w="880" w:type="dxa"/>
            <w:vAlign w:val="bottom"/>
            <w:shd w:val="clear" w:color="auto" w:fill="43C0B9"/>
          </w:tcPr>
          <w:p>
            <w:pPr>
              <w:jc w:val="right"/>
              <w:ind w:right="271"/>
              <w:spacing w:after="0"/>
              <w:rPr>
                <w:sz w:val="20"/>
                <w:szCs w:val="20"/>
                <w:color w:val="auto"/>
              </w:rPr>
            </w:pPr>
            <w:r>
              <w:rPr>
                <w:rFonts w:ascii="Arial" w:cs="Arial" w:eastAsia="Arial" w:hAnsi="Arial"/>
                <w:sz w:val="14"/>
                <w:szCs w:val="14"/>
                <w:color w:val="auto"/>
              </w:rPr>
              <w:t>1 %</w:t>
            </w:r>
          </w:p>
        </w:tc>
        <w:tc>
          <w:tcPr>
            <w:tcW w:w="36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4.2</w:t>
            </w:r>
          </w:p>
        </w:tc>
        <w:tc>
          <w:tcPr>
            <w:tcW w:w="78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1 %</w:t>
            </w:r>
          </w:p>
        </w:tc>
        <w:tc>
          <w:tcPr>
            <w:tcW w:w="600" w:type="dxa"/>
            <w:vAlign w:val="bottom"/>
            <w:shd w:val="clear" w:color="auto" w:fill="43C0B9"/>
          </w:tcPr>
          <w:p>
            <w:pPr>
              <w:spacing w:after="0"/>
              <w:rPr>
                <w:sz w:val="18"/>
                <w:szCs w:val="18"/>
                <w:color w:val="auto"/>
              </w:rPr>
            </w:pPr>
          </w:p>
        </w:tc>
        <w:tc>
          <w:tcPr>
            <w:tcW w:w="64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1.6</w:t>
            </w:r>
          </w:p>
        </w:tc>
        <w:tc>
          <w:tcPr>
            <w:tcW w:w="5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 %</w:t>
            </w:r>
          </w:p>
        </w:tc>
      </w:tr>
      <w:tr>
        <w:trPr>
          <w:trHeight w:val="200"/>
        </w:trPr>
        <w:tc>
          <w:tcPr>
            <w:tcW w:w="3420" w:type="dxa"/>
            <w:vAlign w:val="bottom"/>
          </w:tcPr>
          <w:p>
            <w:pPr>
              <w:ind w:left="20"/>
              <w:spacing w:after="0"/>
              <w:rPr>
                <w:sz w:val="20"/>
                <w:szCs w:val="20"/>
                <w:color w:val="auto"/>
              </w:rPr>
            </w:pPr>
            <w:r>
              <w:rPr>
                <w:rFonts w:ascii="Arial" w:cs="Arial" w:eastAsia="Arial" w:hAnsi="Arial"/>
                <w:sz w:val="14"/>
                <w:szCs w:val="14"/>
                <w:color w:val="auto"/>
              </w:rPr>
              <w:t>Impairment on equity method investment</w:t>
            </w:r>
          </w:p>
        </w:tc>
        <w:tc>
          <w:tcPr>
            <w:tcW w:w="36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 %</w:t>
            </w:r>
          </w:p>
        </w:tc>
        <w:tc>
          <w:tcPr>
            <w:tcW w:w="620" w:type="dxa"/>
            <w:vAlign w:val="bottom"/>
          </w:tcPr>
          <w:p>
            <w:pPr>
              <w:spacing w:after="0"/>
              <w:rPr>
                <w:sz w:val="17"/>
                <w:szCs w:val="17"/>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 %</w:t>
            </w:r>
          </w:p>
        </w:tc>
        <w:tc>
          <w:tcPr>
            <w:tcW w:w="600" w:type="dxa"/>
            <w:vAlign w:val="bottom"/>
          </w:tcPr>
          <w:p>
            <w:pPr>
              <w:spacing w:after="0"/>
              <w:rPr>
                <w:sz w:val="17"/>
                <w:szCs w:val="17"/>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(21.2)</w:t>
            </w: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6"/>
        </w:trPr>
        <w:tc>
          <w:tcPr>
            <w:tcW w:w="34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36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(0.5)</w:t>
            </w:r>
          </w:p>
        </w:tc>
        <w:tc>
          <w:tcPr>
            <w:tcW w:w="82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auto"/>
            </w:tcBorders>
            <w:shd w:val="clear" w:color="auto" w:fill="43C0B9"/>
          </w:tcPr>
          <w:p>
            <w:pPr>
              <w:spacing w:after="0"/>
              <w:rPr>
                <w:sz w:val="17"/>
                <w:szCs w:val="17"/>
                <w:color w:val="auto"/>
              </w:rPr>
            </w:pPr>
          </w:p>
        </w:tc>
        <w:tc>
          <w:tcPr>
            <w:tcW w:w="620" w:type="dxa"/>
            <w:vAlign w:val="bottom"/>
            <w:tcBorders>
              <w:bottom w:val="single" w:sz="8" w:color="auto"/>
            </w:tcBorders>
            <w:shd w:val="clear" w:color="auto" w:fill="43C0B9"/>
          </w:tcPr>
          <w:p>
            <w:pPr>
              <w:jc w:val="right"/>
              <w:ind w:right="71"/>
              <w:spacing w:after="0"/>
              <w:rPr>
                <w:sz w:val="20"/>
                <w:szCs w:val="20"/>
                <w:color w:val="auto"/>
              </w:rPr>
            </w:pPr>
            <w:r>
              <w:rPr>
                <w:rFonts w:ascii="Arial" w:cs="Arial" w:eastAsia="Arial" w:hAnsi="Arial"/>
                <w:sz w:val="14"/>
                <w:szCs w:val="14"/>
                <w:color w:val="auto"/>
              </w:rPr>
              <w:t>(1.2)</w:t>
            </w:r>
          </w:p>
        </w:tc>
        <w:tc>
          <w:tcPr>
            <w:tcW w:w="880" w:type="dxa"/>
            <w:vAlign w:val="bottom"/>
            <w:tcBorders>
              <w:bottom w:val="single" w:sz="8" w:color="auto"/>
            </w:tcBorders>
            <w:shd w:val="clear" w:color="auto" w:fill="43C0B9"/>
          </w:tcPr>
          <w:p>
            <w:pPr>
              <w:jc w:val="right"/>
              <w:ind w:right="271"/>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(0.8)</w:t>
            </w:r>
          </w:p>
        </w:tc>
        <w:tc>
          <w:tcPr>
            <w:tcW w:w="78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auto"/>
            </w:tcBorders>
            <w:shd w:val="clear" w:color="auto" w:fill="43C0B9"/>
          </w:tcPr>
          <w:p>
            <w:pPr>
              <w:spacing w:after="0"/>
              <w:rPr>
                <w:sz w:val="17"/>
                <w:szCs w:val="17"/>
                <w:color w:val="auto"/>
              </w:rPr>
            </w:pPr>
          </w:p>
        </w:tc>
        <w:tc>
          <w:tcPr>
            <w:tcW w:w="64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(0.2)</w:t>
            </w:r>
          </w:p>
        </w:tc>
        <w:tc>
          <w:tcPr>
            <w:tcW w:w="5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 %</w:t>
            </w:r>
          </w:p>
        </w:tc>
      </w:tr>
      <w:tr>
        <w:trPr>
          <w:trHeight w:val="199"/>
        </w:trPr>
        <w:tc>
          <w:tcPr>
            <w:tcW w:w="34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24.3</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10 %</w:t>
            </w:r>
          </w:p>
        </w:tc>
        <w:tc>
          <w:tcPr>
            <w:tcW w:w="620" w:type="dxa"/>
            <w:vAlign w:val="bottom"/>
          </w:tcPr>
          <w:p>
            <w:pPr>
              <w:spacing w:after="0"/>
              <w:rPr>
                <w:sz w:val="17"/>
                <w:szCs w:val="17"/>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color w:val="auto"/>
              </w:rPr>
              <w:t>29.6</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13 %</w:t>
            </w:r>
          </w:p>
        </w:tc>
        <w:tc>
          <w:tcPr>
            <w:tcW w:w="36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43.3</w:t>
            </w: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7 %</w:t>
            </w:r>
          </w:p>
        </w:tc>
        <w:tc>
          <w:tcPr>
            <w:tcW w:w="600" w:type="dxa"/>
            <w:vAlign w:val="bottom"/>
          </w:tcPr>
          <w:p>
            <w:pPr>
              <w:spacing w:after="0"/>
              <w:rPr>
                <w:sz w:val="17"/>
                <w:szCs w:val="17"/>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color w:val="auto"/>
              </w:rPr>
              <w:t>20.4</w:t>
            </w:r>
          </w:p>
        </w:tc>
        <w:tc>
          <w:tcPr>
            <w:tcW w:w="54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206"/>
        </w:trPr>
        <w:tc>
          <w:tcPr>
            <w:tcW w:w="34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5.9</w:t>
            </w:r>
          </w:p>
        </w:tc>
        <w:tc>
          <w:tcPr>
            <w:tcW w:w="82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2 %</w:t>
            </w:r>
          </w:p>
        </w:tc>
        <w:tc>
          <w:tcPr>
            <w:tcW w:w="620" w:type="dxa"/>
            <w:vAlign w:val="bottom"/>
            <w:tcBorders>
              <w:bottom w:val="single" w:sz="8" w:color="auto"/>
            </w:tcBorders>
            <w:shd w:val="clear" w:color="auto" w:fill="43C0B9"/>
          </w:tcPr>
          <w:p>
            <w:pPr>
              <w:spacing w:after="0"/>
              <w:rPr>
                <w:sz w:val="17"/>
                <w:szCs w:val="17"/>
                <w:color w:val="auto"/>
              </w:rPr>
            </w:pPr>
          </w:p>
        </w:tc>
        <w:tc>
          <w:tcPr>
            <w:tcW w:w="62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6.2</w:t>
            </w:r>
          </w:p>
        </w:tc>
        <w:tc>
          <w:tcPr>
            <w:tcW w:w="880" w:type="dxa"/>
            <w:vAlign w:val="bottom"/>
            <w:tcBorders>
              <w:bottom w:val="single" w:sz="8" w:color="auto"/>
            </w:tcBorders>
            <w:shd w:val="clear" w:color="auto" w:fill="43C0B9"/>
          </w:tcPr>
          <w:p>
            <w:pPr>
              <w:jc w:val="right"/>
              <w:ind w:right="271"/>
              <w:spacing w:after="0"/>
              <w:rPr>
                <w:sz w:val="20"/>
                <w:szCs w:val="20"/>
                <w:color w:val="auto"/>
              </w:rPr>
            </w:pPr>
            <w:r>
              <w:rPr>
                <w:rFonts w:ascii="Arial" w:cs="Arial" w:eastAsia="Arial" w:hAnsi="Arial"/>
                <w:sz w:val="14"/>
                <w:szCs w:val="14"/>
                <w:color w:val="auto"/>
              </w:rPr>
              <w:t>3 %</w:t>
            </w:r>
          </w:p>
        </w:tc>
        <w:tc>
          <w:tcPr>
            <w:tcW w:w="360" w:type="dxa"/>
            <w:vAlign w:val="bottom"/>
            <w:tcBorders>
              <w:bottom w:val="single" w:sz="8" w:color="auto"/>
            </w:tcBorders>
            <w:shd w:val="clear" w:color="auto" w:fill="43C0B9"/>
          </w:tcPr>
          <w:p>
            <w:pPr>
              <w:spacing w:after="0"/>
              <w:rPr>
                <w:sz w:val="17"/>
                <w:szCs w:val="17"/>
                <w:color w:val="auto"/>
              </w:rPr>
            </w:pPr>
          </w:p>
        </w:tc>
        <w:tc>
          <w:tcPr>
            <w:tcW w:w="80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4"/>
                <w:szCs w:val="14"/>
                <w:color w:val="auto"/>
              </w:rPr>
              <w:t>15.3</w:t>
            </w:r>
          </w:p>
        </w:tc>
        <w:tc>
          <w:tcPr>
            <w:tcW w:w="780" w:type="dxa"/>
            <w:vAlign w:val="bottom"/>
            <w:tcBorders>
              <w:bottom w:val="single" w:sz="8" w:color="auto"/>
            </w:tcBorders>
            <w:shd w:val="clear" w:color="auto" w:fill="43C0B9"/>
          </w:tcPr>
          <w:p>
            <w:pPr>
              <w:jc w:val="right"/>
              <w:ind w:right="91"/>
              <w:spacing w:after="0"/>
              <w:rPr>
                <w:sz w:val="20"/>
                <w:szCs w:val="20"/>
                <w:color w:val="auto"/>
              </w:rPr>
            </w:pPr>
            <w:r>
              <w:rPr>
                <w:rFonts w:ascii="Arial" w:cs="Arial" w:eastAsia="Arial" w:hAnsi="Arial"/>
                <w:sz w:val="14"/>
                <w:szCs w:val="14"/>
                <w:color w:val="auto"/>
              </w:rPr>
              <w:t>2 %</w:t>
            </w:r>
          </w:p>
        </w:tc>
        <w:tc>
          <w:tcPr>
            <w:tcW w:w="600" w:type="dxa"/>
            <w:vAlign w:val="bottom"/>
            <w:tcBorders>
              <w:bottom w:val="single" w:sz="8" w:color="auto"/>
            </w:tcBorders>
            <w:shd w:val="clear" w:color="auto" w:fill="43C0B9"/>
          </w:tcPr>
          <w:p>
            <w:pPr>
              <w:spacing w:after="0"/>
              <w:rPr>
                <w:sz w:val="17"/>
                <w:szCs w:val="17"/>
                <w:color w:val="auto"/>
              </w:rPr>
            </w:pPr>
          </w:p>
        </w:tc>
        <w:tc>
          <w:tcPr>
            <w:tcW w:w="64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10.4</w:t>
            </w:r>
          </w:p>
        </w:tc>
        <w:tc>
          <w:tcPr>
            <w:tcW w:w="5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2 %</w:t>
            </w:r>
          </w:p>
        </w:tc>
      </w:tr>
      <w:tr>
        <w:trPr>
          <w:trHeight w:val="199"/>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18.4</w:t>
            </w: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7 %</w:t>
            </w:r>
          </w:p>
        </w:tc>
        <w:tc>
          <w:tcPr>
            <w:tcW w:w="6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23.4</w:t>
            </w: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10 %</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28.0</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4 %</w:t>
            </w:r>
          </w:p>
        </w:tc>
        <w:tc>
          <w:tcPr>
            <w:tcW w:w="6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Net sales</w:t>
      </w:r>
    </w:p>
    <w:p>
      <w:pPr>
        <w:spacing w:after="0" w:line="232" w:lineRule="exact"/>
        <w:rPr>
          <w:sz w:val="20"/>
          <w:szCs w:val="20"/>
          <w:color w:val="auto"/>
        </w:rPr>
      </w:pPr>
    </w:p>
    <w:p>
      <w:pPr>
        <w:ind w:right="180" w:firstLine="619"/>
        <w:spacing w:after="0" w:line="269" w:lineRule="auto"/>
        <w:rPr>
          <w:sz w:val="20"/>
          <w:szCs w:val="20"/>
          <w:color w:val="auto"/>
        </w:rPr>
      </w:pPr>
      <w:r>
        <w:rPr>
          <w:rFonts w:ascii="Arial" w:cs="Arial" w:eastAsia="Arial" w:hAnsi="Arial"/>
          <w:sz w:val="15"/>
          <w:szCs w:val="15"/>
          <w:color w:val="auto"/>
        </w:rPr>
        <w:t>Our net sales are generated predominantly from the shipment of fresh avocados to retail, wholesale and foodservice customers worldwide. Our net sales are affected by numerous factors, including mainly the balance between the supply of and demand for our produce and</w:t>
      </w: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7" w:name="page18"/>
    <w:bookmarkEnd w:id="17"/>
    <w:p>
      <w:pPr>
        <w:ind w:right="180"/>
        <w:spacing w:after="0" w:line="269" w:lineRule="auto"/>
        <w:rPr>
          <w:sz w:val="20"/>
          <w:szCs w:val="20"/>
          <w:color w:val="auto"/>
        </w:rPr>
      </w:pPr>
      <w:r>
        <w:rPr>
          <w:rFonts w:ascii="Arial" w:cs="Arial" w:eastAsia="Arial" w:hAnsi="Arial"/>
          <w:sz w:val="15"/>
          <w:szCs w:val="15"/>
          <w:color w:val="auto"/>
        </w:rPr>
        <w:t>competition from other fresh produce companies. Our net sales are also dependent on our ability to supply a consistent volume and quality of fresh produce to the markets we serve.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shd w:val="clear" w:color="auto" w:fill="232F84"/>
          </w:tcPr>
          <w:p>
            <w:pPr>
              <w:spacing w:after="0"/>
              <w:rPr>
                <w:sz w:val="14"/>
                <w:szCs w:val="14"/>
                <w:color w:val="auto"/>
              </w:rPr>
            </w:pPr>
          </w:p>
        </w:tc>
        <w:tc>
          <w:tcPr>
            <w:tcW w:w="50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right"/>
              <w:ind w:right="191"/>
              <w:spacing w:after="0"/>
              <w:rPr>
                <w:sz w:val="20"/>
                <w:szCs w:val="20"/>
                <w:color w:val="auto"/>
              </w:rPr>
            </w:pPr>
            <w:r>
              <w:rPr>
                <w:rFonts w:ascii="Arial" w:cs="Arial" w:eastAsia="Arial" w:hAnsi="Arial"/>
                <w:sz w:val="14"/>
                <w:szCs w:val="14"/>
                <w:b w:val="1"/>
                <w:bCs w:val="1"/>
                <w:color w:val="FFFFFF"/>
              </w:rPr>
              <w:t>Three Months Ended</w:t>
            </w:r>
          </w:p>
        </w:tc>
        <w:tc>
          <w:tcPr>
            <w:tcW w:w="750" w:type="dxa"/>
            <w:vAlign w:val="bottom"/>
            <w:shd w:val="clear" w:color="auto" w:fill="232F84"/>
          </w:tcPr>
          <w:p>
            <w:pPr>
              <w:spacing w:after="0"/>
              <w:rPr>
                <w:sz w:val="14"/>
                <w:szCs w:val="14"/>
                <w:color w:val="auto"/>
              </w:rPr>
            </w:pPr>
          </w:p>
        </w:tc>
        <w:tc>
          <w:tcPr>
            <w:tcW w:w="610" w:type="dxa"/>
            <w:vAlign w:val="bottom"/>
            <w:shd w:val="clear" w:color="auto" w:fill="232F84"/>
          </w:tcPr>
          <w:p>
            <w:pPr>
              <w:spacing w:after="0"/>
              <w:rPr>
                <w:sz w:val="14"/>
                <w:szCs w:val="14"/>
                <w:color w:val="auto"/>
              </w:rPr>
            </w:pPr>
          </w:p>
        </w:tc>
        <w:tc>
          <w:tcPr>
            <w:tcW w:w="2000" w:type="dxa"/>
            <w:vAlign w:val="bottom"/>
            <w:gridSpan w:val="2"/>
            <w:shd w:val="clear" w:color="auto" w:fill="232F84"/>
          </w:tcPr>
          <w:p>
            <w:pPr>
              <w:jc w:val="right"/>
              <w:ind w:right="211"/>
              <w:spacing w:after="0"/>
              <w:rPr>
                <w:sz w:val="20"/>
                <w:szCs w:val="20"/>
                <w:color w:val="auto"/>
              </w:rPr>
            </w:pPr>
            <w:r>
              <w:rPr>
                <w:rFonts w:ascii="Arial" w:cs="Arial" w:eastAsia="Arial" w:hAnsi="Arial"/>
                <w:sz w:val="14"/>
                <w:szCs w:val="14"/>
                <w:b w:val="1"/>
                <w:bCs w:val="1"/>
                <w:color w:val="FFFFFF"/>
              </w:rPr>
              <w:t>Nine Months Ended</w:t>
            </w:r>
          </w:p>
        </w:tc>
        <w:tc>
          <w:tcPr>
            <w:tcW w:w="700" w:type="dxa"/>
            <w:vAlign w:val="bottom"/>
            <w:shd w:val="clear" w:color="auto" w:fill="232F84"/>
          </w:tcPr>
          <w:p>
            <w:pPr>
              <w:spacing w:after="0"/>
              <w:rPr>
                <w:sz w:val="14"/>
                <w:szCs w:val="14"/>
                <w:color w:val="auto"/>
              </w:rPr>
            </w:pPr>
          </w:p>
        </w:tc>
      </w:tr>
      <w:tr>
        <w:trPr>
          <w:trHeight w:val="195"/>
        </w:trPr>
        <w:tc>
          <w:tcPr>
            <w:tcW w:w="4640" w:type="dxa"/>
            <w:vAlign w:val="bottom"/>
            <w:shd w:val="clear" w:color="auto" w:fill="232F84"/>
          </w:tcPr>
          <w:p>
            <w:pPr>
              <w:spacing w:after="0"/>
              <w:rPr>
                <w:sz w:val="17"/>
                <w:szCs w:val="17"/>
                <w:color w:val="auto"/>
              </w:rPr>
            </w:pPr>
          </w:p>
        </w:tc>
        <w:tc>
          <w:tcPr>
            <w:tcW w:w="50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right"/>
              <w:ind w:right="611"/>
              <w:spacing w:after="0"/>
              <w:rPr>
                <w:sz w:val="20"/>
                <w:szCs w:val="20"/>
                <w:color w:val="auto"/>
              </w:rPr>
            </w:pPr>
            <w:r>
              <w:rPr>
                <w:rFonts w:ascii="Arial" w:cs="Arial" w:eastAsia="Arial" w:hAnsi="Arial"/>
                <w:sz w:val="14"/>
                <w:szCs w:val="14"/>
                <w:b w:val="1"/>
                <w:bCs w:val="1"/>
                <w:color w:val="FFFFFF"/>
              </w:rPr>
              <w:t>July 31,</w:t>
            </w:r>
          </w:p>
        </w:tc>
        <w:tc>
          <w:tcPr>
            <w:tcW w:w="750" w:type="dxa"/>
            <w:vAlign w:val="bottom"/>
            <w:shd w:val="clear" w:color="auto" w:fill="232F84"/>
          </w:tcPr>
          <w:p>
            <w:pPr>
              <w:spacing w:after="0"/>
              <w:rPr>
                <w:sz w:val="17"/>
                <w:szCs w:val="17"/>
                <w:color w:val="auto"/>
              </w:rPr>
            </w:pPr>
          </w:p>
        </w:tc>
        <w:tc>
          <w:tcPr>
            <w:tcW w:w="61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right"/>
              <w:ind w:right="591"/>
              <w:spacing w:after="0"/>
              <w:rPr>
                <w:sz w:val="20"/>
                <w:szCs w:val="20"/>
                <w:color w:val="auto"/>
              </w:rPr>
            </w:pPr>
            <w:r>
              <w:rPr>
                <w:rFonts w:ascii="Arial" w:cs="Arial" w:eastAsia="Arial" w:hAnsi="Arial"/>
                <w:sz w:val="14"/>
                <w:szCs w:val="14"/>
                <w:b w:val="1"/>
                <w:bCs w:val="1"/>
                <w:color w:val="FFFFFF"/>
              </w:rPr>
              <w:t>July 31,</w:t>
            </w:r>
          </w:p>
        </w:tc>
        <w:tc>
          <w:tcPr>
            <w:tcW w:w="700" w:type="dxa"/>
            <w:vAlign w:val="bottom"/>
            <w:shd w:val="clear" w:color="auto" w:fill="232F84"/>
          </w:tcPr>
          <w:p>
            <w:pPr>
              <w:spacing w:after="0"/>
              <w:rPr>
                <w:sz w:val="17"/>
                <w:szCs w:val="17"/>
                <w:color w:val="auto"/>
              </w:rPr>
            </w:pPr>
          </w:p>
        </w:tc>
      </w:tr>
      <w:tr>
        <w:trPr>
          <w:trHeight w:val="21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0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8"/>
                <w:szCs w:val="18"/>
                <w:color w:val="auto"/>
              </w:rPr>
            </w:pPr>
          </w:p>
        </w:tc>
        <w:tc>
          <w:tcPr>
            <w:tcW w:w="750" w:type="dxa"/>
            <w:vAlign w:val="bottom"/>
            <w:shd w:val="clear" w:color="auto" w:fill="232F84"/>
          </w:tcPr>
          <w:p>
            <w:pPr>
              <w:jc w:val="right"/>
              <w:ind w:right="121"/>
              <w:spacing w:after="0"/>
              <w:rPr>
                <w:sz w:val="20"/>
                <w:szCs w:val="20"/>
                <w:color w:val="auto"/>
              </w:rPr>
            </w:pPr>
            <w:r>
              <w:rPr>
                <w:rFonts w:ascii="Arial" w:cs="Arial" w:eastAsia="Arial" w:hAnsi="Arial"/>
                <w:sz w:val="14"/>
                <w:szCs w:val="14"/>
                <w:b w:val="1"/>
                <w:bCs w:val="1"/>
                <w:color w:val="FFFFFF"/>
              </w:rPr>
              <w:t>2020</w:t>
            </w:r>
          </w:p>
        </w:tc>
        <w:tc>
          <w:tcPr>
            <w:tcW w:w="610" w:type="dxa"/>
            <w:vAlign w:val="bottom"/>
            <w:shd w:val="clear" w:color="auto" w:fill="232F84"/>
          </w:tcPr>
          <w:p>
            <w:pPr>
              <w:spacing w:after="0"/>
              <w:rPr>
                <w:sz w:val="18"/>
                <w:szCs w:val="18"/>
                <w:color w:val="auto"/>
              </w:rPr>
            </w:pPr>
          </w:p>
        </w:tc>
        <w:tc>
          <w:tcPr>
            <w:tcW w:w="106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500" w:type="dxa"/>
            <w:vAlign w:val="bottom"/>
            <w:shd w:val="clear" w:color="auto" w:fill="43C0B9"/>
          </w:tcPr>
          <w:p>
            <w:pPr>
              <w:spacing w:after="0"/>
              <w:rPr>
                <w:sz w:val="17"/>
                <w:szCs w:val="17"/>
                <w:color w:val="auto"/>
              </w:rPr>
            </w:pPr>
          </w:p>
        </w:tc>
        <w:tc>
          <w:tcPr>
            <w:tcW w:w="1080" w:type="dxa"/>
            <w:vAlign w:val="bottom"/>
            <w:shd w:val="clear" w:color="auto" w:fill="43C0B9"/>
          </w:tcPr>
          <w:p>
            <w:pPr>
              <w:spacing w:after="0"/>
              <w:rPr>
                <w:sz w:val="17"/>
                <w:szCs w:val="17"/>
                <w:color w:val="auto"/>
              </w:rPr>
            </w:pPr>
          </w:p>
        </w:tc>
        <w:tc>
          <w:tcPr>
            <w:tcW w:w="960" w:type="dxa"/>
            <w:vAlign w:val="bottom"/>
            <w:shd w:val="clear" w:color="auto" w:fill="43C0B9"/>
          </w:tcPr>
          <w:p>
            <w:pPr>
              <w:spacing w:after="0"/>
              <w:rPr>
                <w:sz w:val="17"/>
                <w:szCs w:val="17"/>
                <w:color w:val="auto"/>
              </w:rPr>
            </w:pPr>
          </w:p>
        </w:tc>
        <w:tc>
          <w:tcPr>
            <w:tcW w:w="750" w:type="dxa"/>
            <w:vAlign w:val="bottom"/>
            <w:shd w:val="clear" w:color="auto" w:fill="43C0B9"/>
          </w:tcPr>
          <w:p>
            <w:pPr>
              <w:spacing w:after="0"/>
              <w:rPr>
                <w:sz w:val="17"/>
                <w:szCs w:val="17"/>
                <w:color w:val="auto"/>
              </w:rPr>
            </w:pPr>
          </w:p>
        </w:tc>
        <w:tc>
          <w:tcPr>
            <w:tcW w:w="610" w:type="dxa"/>
            <w:vAlign w:val="bottom"/>
            <w:shd w:val="clear" w:color="auto" w:fill="43C0B9"/>
          </w:tcPr>
          <w:p>
            <w:pPr>
              <w:spacing w:after="0"/>
              <w:rPr>
                <w:sz w:val="17"/>
                <w:szCs w:val="17"/>
                <w:color w:val="auto"/>
              </w:rPr>
            </w:pPr>
          </w:p>
        </w:tc>
        <w:tc>
          <w:tcPr>
            <w:tcW w:w="106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700" w:type="dxa"/>
            <w:vAlign w:val="bottom"/>
            <w:shd w:val="clear" w:color="auto" w:fill="43C0B9"/>
          </w:tcPr>
          <w:p>
            <w:pPr>
              <w:spacing w:after="0"/>
              <w:rPr>
                <w:sz w:val="17"/>
                <w:szCs w:val="17"/>
                <w:color w:val="auto"/>
              </w:rPr>
            </w:pPr>
          </w:p>
        </w:tc>
      </w:tr>
      <w:tr>
        <w:trPr>
          <w:trHeight w:val="200"/>
        </w:trPr>
        <w:tc>
          <w:tcPr>
            <w:tcW w:w="464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500" w:type="dxa"/>
            <w:vAlign w:val="bottom"/>
          </w:tcPr>
          <w:p>
            <w:pPr>
              <w:jc w:val="right"/>
              <w:ind w:right="35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239.6</w:t>
            </w:r>
          </w:p>
        </w:tc>
        <w:tc>
          <w:tcPr>
            <w:tcW w:w="96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61"/>
              <w:spacing w:after="0"/>
              <w:rPr>
                <w:sz w:val="20"/>
                <w:szCs w:val="20"/>
                <w:color w:val="auto"/>
              </w:rPr>
            </w:pPr>
            <w:r>
              <w:rPr>
                <w:rFonts w:ascii="Arial" w:cs="Arial" w:eastAsia="Arial" w:hAnsi="Arial"/>
                <w:sz w:val="14"/>
                <w:szCs w:val="14"/>
                <w:color w:val="auto"/>
              </w:rPr>
              <w:t>230.9</w:t>
            </w:r>
          </w:p>
        </w:tc>
        <w:tc>
          <w:tcPr>
            <w:tcW w:w="61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641.6</w:t>
            </w:r>
          </w:p>
        </w:tc>
        <w:tc>
          <w:tcPr>
            <w:tcW w:w="94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644.9</w:t>
            </w:r>
          </w:p>
        </w:tc>
      </w:tr>
      <w:tr>
        <w:trPr>
          <w:trHeight w:val="206"/>
        </w:trPr>
        <w:tc>
          <w:tcPr>
            <w:tcW w:w="4640" w:type="dxa"/>
            <w:vAlign w:val="bottom"/>
            <w:tcBorders>
              <w:bottom w:val="single" w:sz="8" w:color="auto"/>
            </w:tcBorders>
            <w:shd w:val="clear" w:color="auto" w:fill="43C0B9"/>
          </w:tcPr>
          <w:p>
            <w:pPr>
              <w:ind w:left="220"/>
              <w:spacing w:after="0"/>
              <w:rPr>
                <w:sz w:val="20"/>
                <w:szCs w:val="20"/>
                <w:color w:val="auto"/>
              </w:rPr>
            </w:pPr>
            <w:r>
              <w:rPr>
                <w:rFonts w:ascii="Arial" w:cs="Arial" w:eastAsia="Arial" w:hAnsi="Arial"/>
                <w:sz w:val="14"/>
                <w:szCs w:val="14"/>
                <w:color w:val="auto"/>
              </w:rPr>
              <w:t>International Farming</w:t>
            </w:r>
          </w:p>
        </w:tc>
        <w:tc>
          <w:tcPr>
            <w:tcW w:w="500" w:type="dxa"/>
            <w:vAlign w:val="bottom"/>
            <w:tcBorders>
              <w:bottom w:val="single" w:sz="8" w:color="auto"/>
            </w:tcBorders>
            <w:shd w:val="clear" w:color="auto" w:fill="43C0B9"/>
          </w:tcPr>
          <w:p>
            <w:pPr>
              <w:spacing w:after="0"/>
              <w:rPr>
                <w:sz w:val="17"/>
                <w:szCs w:val="17"/>
                <w:color w:val="auto"/>
              </w:rPr>
            </w:pPr>
          </w:p>
        </w:tc>
        <w:tc>
          <w:tcPr>
            <w:tcW w:w="10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7.2</w:t>
            </w:r>
          </w:p>
        </w:tc>
        <w:tc>
          <w:tcPr>
            <w:tcW w:w="960" w:type="dxa"/>
            <w:vAlign w:val="bottom"/>
            <w:tcBorders>
              <w:bottom w:val="single" w:sz="8" w:color="auto"/>
            </w:tcBorders>
            <w:shd w:val="clear" w:color="auto" w:fill="43C0B9"/>
          </w:tcPr>
          <w:p>
            <w:pPr>
              <w:spacing w:after="0"/>
              <w:rPr>
                <w:sz w:val="17"/>
                <w:szCs w:val="17"/>
                <w:color w:val="auto"/>
              </w:rPr>
            </w:pPr>
          </w:p>
        </w:tc>
        <w:tc>
          <w:tcPr>
            <w:tcW w:w="750" w:type="dxa"/>
            <w:vAlign w:val="bottom"/>
            <w:tcBorders>
              <w:bottom w:val="single" w:sz="8" w:color="auto"/>
            </w:tcBorders>
            <w:shd w:val="clear" w:color="auto" w:fill="43C0B9"/>
          </w:tcPr>
          <w:p>
            <w:pPr>
              <w:jc w:val="right"/>
              <w:ind w:right="61"/>
              <w:spacing w:after="0"/>
              <w:rPr>
                <w:sz w:val="20"/>
                <w:szCs w:val="20"/>
                <w:color w:val="auto"/>
              </w:rPr>
            </w:pPr>
            <w:r>
              <w:rPr>
                <w:rFonts w:ascii="Arial" w:cs="Arial" w:eastAsia="Arial" w:hAnsi="Arial"/>
                <w:sz w:val="14"/>
                <w:szCs w:val="14"/>
                <w:color w:val="auto"/>
              </w:rPr>
              <w:t>5.5</w:t>
            </w:r>
          </w:p>
        </w:tc>
        <w:tc>
          <w:tcPr>
            <w:tcW w:w="610" w:type="dxa"/>
            <w:vAlign w:val="bottom"/>
            <w:tcBorders>
              <w:bottom w:val="single" w:sz="8" w:color="auto"/>
            </w:tcBorders>
            <w:shd w:val="clear" w:color="auto" w:fill="43C0B9"/>
          </w:tcPr>
          <w:p>
            <w:pPr>
              <w:spacing w:after="0"/>
              <w:rPr>
                <w:sz w:val="17"/>
                <w:szCs w:val="17"/>
                <w:color w:val="auto"/>
              </w:rPr>
            </w:pPr>
          </w:p>
        </w:tc>
        <w:tc>
          <w:tcPr>
            <w:tcW w:w="106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13.1</w:t>
            </w:r>
          </w:p>
        </w:tc>
        <w:tc>
          <w:tcPr>
            <w:tcW w:w="94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10.6</w:t>
            </w:r>
          </w:p>
        </w:tc>
      </w:t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246.8</w:t>
            </w:r>
          </w:p>
        </w:tc>
        <w:tc>
          <w:tcPr>
            <w:tcW w:w="9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5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236.4</w:t>
            </w:r>
          </w:p>
        </w:tc>
        <w:tc>
          <w:tcPr>
            <w:tcW w:w="61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654.7</w:t>
            </w:r>
          </w:p>
        </w:tc>
        <w:tc>
          <w:tcPr>
            <w:tcW w:w="9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655.5</w:t>
            </w:r>
          </w:p>
        </w:tc>
      </w:tr>
    </w:tbl>
    <w:p>
      <w:pPr>
        <w:spacing w:after="0" w:line="298" w:lineRule="exact"/>
        <w:rPr>
          <w:sz w:val="20"/>
          <w:szCs w:val="20"/>
          <w:color w:val="auto"/>
        </w:rPr>
      </w:pPr>
    </w:p>
    <w:p>
      <w:pPr>
        <w:jc w:val="both"/>
        <w:ind w:right="120" w:firstLine="619"/>
        <w:spacing w:after="0" w:line="260" w:lineRule="auto"/>
        <w:rPr>
          <w:sz w:val="20"/>
          <w:szCs w:val="20"/>
          <w:color w:val="auto"/>
        </w:rPr>
      </w:pPr>
      <w:r>
        <w:rPr>
          <w:rFonts w:ascii="Arial" w:cs="Arial" w:eastAsia="Arial" w:hAnsi="Arial"/>
          <w:sz w:val="15"/>
          <w:szCs w:val="15"/>
          <w:color w:val="auto"/>
        </w:rPr>
        <w:t>Net sales increased $10.4 million or 4% in the three months ended July 31, 2021 compared to the same period last year primarily due to a 2% increase in avocado volume sold and 2% increase in average per-unit avocado sales prices. From a volume perspective, strength in industry supply out of Mexico was largely offset by a smaller California crop.</w:t>
      </w:r>
    </w:p>
    <w:p>
      <w:pPr>
        <w:spacing w:after="0" w:line="187" w:lineRule="exact"/>
        <w:rPr>
          <w:sz w:val="20"/>
          <w:szCs w:val="20"/>
          <w:color w:val="auto"/>
        </w:rPr>
      </w:pPr>
    </w:p>
    <w:p>
      <w:pPr>
        <w:ind w:right="140" w:firstLine="619"/>
        <w:spacing w:after="0" w:line="257" w:lineRule="auto"/>
        <w:rPr>
          <w:sz w:val="20"/>
          <w:szCs w:val="20"/>
          <w:color w:val="auto"/>
        </w:rPr>
      </w:pPr>
      <w:r>
        <w:rPr>
          <w:rFonts w:ascii="Arial" w:cs="Arial" w:eastAsia="Arial" w:hAnsi="Arial"/>
          <w:sz w:val="15"/>
          <w:szCs w:val="15"/>
          <w:color w:val="auto"/>
        </w:rPr>
        <w:t>Net sales were nearly flat in the nine months ended July 31, 2021 compared to the same period last year, as changes in volume and price largely offset each other. Average per-unit avocado sales prices decreased 11% and avocado volume sold increased 10% compared to the same period last year, both of which were driven by strong industry supply from Mexico. Lower pricing and higher volumes were concentrated in the first half of the fiscal year when Mexico was the country of origin for the majority of the fruit sold.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Gross profit</w:t>
      </w:r>
    </w:p>
    <w:p>
      <w:pPr>
        <w:spacing w:after="0" w:line="232" w:lineRule="exact"/>
        <w:rPr>
          <w:sz w:val="20"/>
          <w:szCs w:val="20"/>
          <w:color w:val="auto"/>
        </w:rPr>
      </w:pPr>
    </w:p>
    <w:p>
      <w:pPr>
        <w:ind w:right="100" w:firstLine="619"/>
        <w:spacing w:after="0" w:line="255" w:lineRule="auto"/>
        <w:rPr>
          <w:sz w:val="20"/>
          <w:szCs w:val="20"/>
          <w:color w:val="auto"/>
        </w:rPr>
      </w:pPr>
      <w:r>
        <w:rPr>
          <w:rFonts w:ascii="Arial" w:cs="Arial" w:eastAsia="Arial" w:hAnsi="Arial"/>
          <w:sz w:val="15"/>
          <w:szCs w:val="15"/>
          <w:color w:val="auto"/>
        </w:rPr>
        <w:t>Costs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92" w:lineRule="exact"/>
        <w:rPr>
          <w:sz w:val="20"/>
          <w:szCs w:val="20"/>
          <w:color w:val="auto"/>
        </w:rPr>
      </w:pPr>
    </w:p>
    <w:p>
      <w:pPr>
        <w:ind w:right="100" w:firstLine="619"/>
        <w:spacing w:after="0" w:line="255" w:lineRule="auto"/>
        <w:rPr>
          <w:sz w:val="20"/>
          <w:szCs w:val="20"/>
          <w:color w:val="auto"/>
        </w:rPr>
      </w:pPr>
      <w:r>
        <w:rPr>
          <w:rFonts w:ascii="Arial" w:cs="Arial" w:eastAsia="Arial" w:hAnsi="Arial"/>
          <w:sz w:val="15"/>
          <w:szCs w:val="15"/>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 cost of boxes and other packaging materials, and fuel prices can have an impact on our product cost and our profit margins. Variations in the production yields, and other input costs also affect our cost of sales.</w:t>
      </w:r>
    </w:p>
    <w:p>
      <w:pPr>
        <w:spacing w:after="0" w:line="192" w:lineRule="exact"/>
        <w:rPr>
          <w:sz w:val="20"/>
          <w:szCs w:val="20"/>
          <w:color w:val="auto"/>
        </w:rPr>
      </w:pPr>
    </w:p>
    <w:p>
      <w:pPr>
        <w:ind w:right="60" w:firstLine="619"/>
        <w:spacing w:after="0" w:line="257" w:lineRule="auto"/>
        <w:rPr>
          <w:sz w:val="20"/>
          <w:szCs w:val="20"/>
          <w:color w:val="auto"/>
        </w:rPr>
      </w:pPr>
      <w:r>
        <w:rPr>
          <w:rFonts w:ascii="Arial" w:cs="Arial" w:eastAsia="Arial" w:hAnsi="Arial"/>
          <w:sz w:val="15"/>
          <w:szCs w:val="15"/>
          <w:color w:val="auto"/>
        </w:rPr>
        <w:t>In general, changes in our volume of products sold can have a disproportionate effect on our gross profit. Within any particular year, a significant portion of our cost of products are fixed, particularly in our International Farming segment. Accordingly, higher volumes processed through packing and distribution facilities or produced on company-owned farms directly reduce the average cost per pound of fruit grown on company owned orchards, while lower volumes directly increase the average cost per pound of fruit grown on company owned orchards.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80" w:type="dxa"/>
            <w:vAlign w:val="bottom"/>
            <w:gridSpan w:val="2"/>
            <w:shd w:val="clear" w:color="auto" w:fill="232F84"/>
          </w:tcPr>
          <w:p>
            <w:pPr>
              <w:jc w:val="center"/>
              <w:ind w:left="131"/>
              <w:spacing w:after="0"/>
              <w:rPr>
                <w:sz w:val="20"/>
                <w:szCs w:val="20"/>
                <w:color w:val="auto"/>
              </w:rPr>
            </w:pPr>
            <w:r>
              <w:rPr>
                <w:rFonts w:ascii="Arial" w:cs="Arial" w:eastAsia="Arial" w:hAnsi="Arial"/>
                <w:sz w:val="14"/>
                <w:szCs w:val="14"/>
                <w:b w:val="1"/>
                <w:bCs w:val="1"/>
                <w:color w:val="FFFFFF"/>
                <w:w w:val="98"/>
              </w:rPr>
              <w:t>Three Months Ended</w:t>
            </w:r>
          </w:p>
        </w:tc>
        <w:tc>
          <w:tcPr>
            <w:tcW w:w="790" w:type="dxa"/>
            <w:vAlign w:val="bottom"/>
            <w:shd w:val="clear" w:color="auto" w:fill="232F84"/>
          </w:tcPr>
          <w:p>
            <w:pPr>
              <w:spacing w:after="0"/>
              <w:rPr>
                <w:sz w:val="14"/>
                <w:szCs w:val="14"/>
                <w:color w:val="auto"/>
              </w:rPr>
            </w:pPr>
          </w:p>
        </w:tc>
        <w:tc>
          <w:tcPr>
            <w:tcW w:w="63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center"/>
              <w:ind w:left="131"/>
              <w:spacing w:after="0"/>
              <w:rPr>
                <w:sz w:val="20"/>
                <w:szCs w:val="20"/>
                <w:color w:val="auto"/>
              </w:rPr>
            </w:pPr>
            <w:r>
              <w:rPr>
                <w:rFonts w:ascii="Arial" w:cs="Arial" w:eastAsia="Arial" w:hAnsi="Arial"/>
                <w:sz w:val="14"/>
                <w:szCs w:val="14"/>
                <w:b w:val="1"/>
                <w:bCs w:val="1"/>
                <w:color w:val="FFFFFF"/>
                <w:w w:val="97"/>
              </w:rPr>
              <w:t>Nine Months Ended</w:t>
            </w:r>
          </w:p>
        </w:tc>
        <w:tc>
          <w:tcPr>
            <w:tcW w:w="740" w:type="dxa"/>
            <w:vAlign w:val="bottom"/>
            <w:shd w:val="clear" w:color="auto" w:fill="232F84"/>
          </w:tcPr>
          <w:p>
            <w:pPr>
              <w:spacing w:after="0"/>
              <w:rPr>
                <w:sz w:val="14"/>
                <w:szCs w:val="14"/>
                <w:color w:val="auto"/>
              </w:rPr>
            </w:pPr>
          </w:p>
        </w:tc>
      </w:tr>
      <w:tr>
        <w:trPr>
          <w:trHeight w:val="195"/>
        </w:trPr>
        <w:tc>
          <w:tcPr>
            <w:tcW w:w="442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8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90" w:type="dxa"/>
            <w:vAlign w:val="bottom"/>
            <w:shd w:val="clear" w:color="auto" w:fill="232F84"/>
          </w:tcPr>
          <w:p>
            <w:pPr>
              <w:spacing w:after="0"/>
              <w:rPr>
                <w:sz w:val="17"/>
                <w:szCs w:val="17"/>
                <w:color w:val="auto"/>
              </w:rPr>
            </w:pPr>
          </w:p>
        </w:tc>
        <w:tc>
          <w:tcPr>
            <w:tcW w:w="63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40" w:type="dxa"/>
            <w:vAlign w:val="bottom"/>
            <w:shd w:val="clear" w:color="auto" w:fill="232F84"/>
          </w:tcPr>
          <w:p>
            <w:pPr>
              <w:spacing w:after="0"/>
              <w:rPr>
                <w:sz w:val="17"/>
                <w:szCs w:val="17"/>
                <w:color w:val="auto"/>
              </w:rPr>
            </w:pPr>
          </w:p>
        </w:tc>
      </w:tr>
      <w:tr>
        <w:trPr>
          <w:trHeight w:val="216"/>
        </w:trPr>
        <w:tc>
          <w:tcPr>
            <w:tcW w:w="4420" w:type="dxa"/>
            <w:vAlign w:val="bottom"/>
            <w:shd w:val="clear" w:color="auto" w:fill="232F84"/>
          </w:tcPr>
          <w:p>
            <w:pPr>
              <w:spacing w:after="0"/>
              <w:rPr>
                <w:sz w:val="18"/>
                <w:szCs w:val="18"/>
                <w:color w:val="auto"/>
              </w:rPr>
            </w:pPr>
          </w:p>
        </w:tc>
        <w:tc>
          <w:tcPr>
            <w:tcW w:w="540" w:type="dxa"/>
            <w:vAlign w:val="bottom"/>
            <w:shd w:val="clear" w:color="auto" w:fill="232F84"/>
          </w:tcPr>
          <w:p>
            <w:pPr>
              <w:spacing w:after="0"/>
              <w:rPr>
                <w:sz w:val="18"/>
                <w:szCs w:val="18"/>
                <w:color w:val="auto"/>
              </w:rPr>
            </w:pPr>
          </w:p>
        </w:tc>
        <w:tc>
          <w:tcPr>
            <w:tcW w:w="114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90" w:type="dxa"/>
            <w:vAlign w:val="bottom"/>
            <w:shd w:val="clear" w:color="auto" w:fill="232F84"/>
          </w:tcPr>
          <w:p>
            <w:pPr>
              <w:jc w:val="right"/>
              <w:ind w:right="121"/>
              <w:spacing w:after="0"/>
              <w:rPr>
                <w:sz w:val="20"/>
                <w:szCs w:val="20"/>
                <w:color w:val="auto"/>
              </w:rPr>
            </w:pPr>
            <w:r>
              <w:rPr>
                <w:rFonts w:ascii="Arial" w:cs="Arial" w:eastAsia="Arial" w:hAnsi="Arial"/>
                <w:sz w:val="14"/>
                <w:szCs w:val="14"/>
                <w:b w:val="1"/>
                <w:bCs w:val="1"/>
                <w:color w:val="FFFFFF"/>
              </w:rPr>
              <w:t>2020</w:t>
            </w:r>
          </w:p>
        </w:tc>
        <w:tc>
          <w:tcPr>
            <w:tcW w:w="630" w:type="dxa"/>
            <w:vAlign w:val="bottom"/>
            <w:shd w:val="clear" w:color="auto" w:fill="232F84"/>
          </w:tcPr>
          <w:p>
            <w:pPr>
              <w:spacing w:after="0"/>
              <w:rPr>
                <w:sz w:val="18"/>
                <w:szCs w:val="18"/>
                <w:color w:val="auto"/>
              </w:rPr>
            </w:pPr>
          </w:p>
        </w:tc>
        <w:tc>
          <w:tcPr>
            <w:tcW w:w="112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8"/>
                <w:szCs w:val="18"/>
                <w:color w:val="auto"/>
              </w:rPr>
            </w:pPr>
          </w:p>
        </w:tc>
        <w:tc>
          <w:tcPr>
            <w:tcW w:w="74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42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 (in millions)</w:t>
            </w:r>
          </w:p>
        </w:tc>
        <w:tc>
          <w:tcPr>
            <w:tcW w:w="540" w:type="dxa"/>
            <w:vAlign w:val="bottom"/>
            <w:shd w:val="clear" w:color="auto" w:fill="43C0B9"/>
          </w:tcPr>
          <w:p>
            <w:pPr>
              <w:jc w:val="right"/>
              <w:ind w:right="371"/>
              <w:spacing w:after="0"/>
              <w:rPr>
                <w:sz w:val="20"/>
                <w:szCs w:val="20"/>
                <w:color w:val="auto"/>
              </w:rPr>
            </w:pPr>
            <w:r>
              <w:rPr>
                <w:rFonts w:ascii="Arial" w:cs="Arial" w:eastAsia="Arial" w:hAnsi="Arial"/>
                <w:sz w:val="14"/>
                <w:szCs w:val="14"/>
                <w:color w:val="auto"/>
              </w:rPr>
              <w:t>$</w:t>
            </w:r>
          </w:p>
        </w:tc>
        <w:tc>
          <w:tcPr>
            <w:tcW w:w="1140" w:type="dxa"/>
            <w:vAlign w:val="bottom"/>
            <w:shd w:val="clear" w:color="auto" w:fill="43C0B9"/>
          </w:tcPr>
          <w:p>
            <w:pPr>
              <w:ind w:left="640"/>
              <w:spacing w:after="0"/>
              <w:rPr>
                <w:sz w:val="20"/>
                <w:szCs w:val="20"/>
                <w:color w:val="auto"/>
              </w:rPr>
            </w:pPr>
            <w:r>
              <w:rPr>
                <w:rFonts w:ascii="Arial" w:cs="Arial" w:eastAsia="Arial" w:hAnsi="Arial"/>
                <w:sz w:val="14"/>
                <w:szCs w:val="14"/>
                <w:color w:val="auto"/>
              </w:rPr>
              <w:t>40.9</w:t>
            </w:r>
          </w:p>
        </w:tc>
        <w:tc>
          <w:tcPr>
            <w:tcW w:w="940" w:type="dxa"/>
            <w:vAlign w:val="bottom"/>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790" w:type="dxa"/>
            <w:vAlign w:val="bottom"/>
            <w:shd w:val="clear" w:color="auto" w:fill="43C0B9"/>
          </w:tcPr>
          <w:p>
            <w:pPr>
              <w:ind w:left="280"/>
              <w:spacing w:after="0"/>
              <w:rPr>
                <w:sz w:val="20"/>
                <w:szCs w:val="20"/>
                <w:color w:val="auto"/>
              </w:rPr>
            </w:pPr>
            <w:r>
              <w:rPr>
                <w:rFonts w:ascii="Arial" w:cs="Arial" w:eastAsia="Arial" w:hAnsi="Arial"/>
                <w:sz w:val="14"/>
                <w:szCs w:val="14"/>
                <w:color w:val="auto"/>
              </w:rPr>
              <w:t>44.2</w:t>
            </w:r>
          </w:p>
        </w:tc>
        <w:tc>
          <w:tcPr>
            <w:tcW w:w="630" w:type="dxa"/>
            <w:vAlign w:val="bottom"/>
            <w:shd w:val="clear" w:color="auto" w:fill="43C0B9"/>
          </w:tcPr>
          <w:p>
            <w:pPr>
              <w:jc w:val="right"/>
              <w:ind w:right="391"/>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ind w:left="620"/>
              <w:spacing w:after="0"/>
              <w:rPr>
                <w:sz w:val="20"/>
                <w:szCs w:val="20"/>
                <w:color w:val="auto"/>
              </w:rPr>
            </w:pPr>
            <w:r>
              <w:rPr>
                <w:rFonts w:ascii="Arial" w:cs="Arial" w:eastAsia="Arial" w:hAnsi="Arial"/>
                <w:sz w:val="14"/>
                <w:szCs w:val="14"/>
                <w:color w:val="auto"/>
              </w:rPr>
              <w:t>90.7</w:t>
            </w:r>
          </w:p>
        </w:tc>
        <w:tc>
          <w:tcPr>
            <w:tcW w:w="92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ind w:left="300"/>
              <w:spacing w:after="0"/>
              <w:rPr>
                <w:sz w:val="20"/>
                <w:szCs w:val="20"/>
                <w:color w:val="auto"/>
              </w:rPr>
            </w:pPr>
            <w:r>
              <w:rPr>
                <w:rFonts w:ascii="Arial" w:cs="Arial" w:eastAsia="Arial" w:hAnsi="Arial"/>
                <w:sz w:val="14"/>
                <w:szCs w:val="14"/>
                <w:color w:val="auto"/>
              </w:rPr>
              <w:t>85.1</w:t>
            </w:r>
          </w:p>
        </w:tc>
      </w:tr>
      <w:tr>
        <w:trPr>
          <w:trHeight w:val="20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profit as a percentage of sales</w:t>
            </w: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16.6 %</w:t>
            </w:r>
          </w:p>
        </w:tc>
        <w:tc>
          <w:tcPr>
            <w:tcW w:w="940" w:type="dxa"/>
            <w:vAlign w:val="bottom"/>
            <w:tcBorders>
              <w:bottom w:val="single" w:sz="8" w:color="auto"/>
            </w:tcBorders>
          </w:tcPr>
          <w:p>
            <w:pPr>
              <w:spacing w:after="0"/>
              <w:rPr>
                <w:sz w:val="17"/>
                <w:szCs w:val="17"/>
                <w:color w:val="auto"/>
              </w:rPr>
            </w:pPr>
          </w:p>
        </w:tc>
        <w:tc>
          <w:tcPr>
            <w:tcW w:w="79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18.7 %</w:t>
            </w:r>
          </w:p>
        </w:tc>
        <w:tc>
          <w:tcPr>
            <w:tcW w:w="63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13.9 %</w:t>
            </w: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6"/>
              </w:rPr>
              <w:t>13.0 %</w:t>
            </w:r>
          </w:p>
        </w:tc>
      </w:tr>
    </w:tbl>
    <w:p>
      <w:pPr>
        <w:spacing w:after="0" w:line="285" w:lineRule="exact"/>
        <w:rPr>
          <w:sz w:val="20"/>
          <w:szCs w:val="20"/>
          <w:color w:val="auto"/>
        </w:rPr>
      </w:pPr>
    </w:p>
    <w:p>
      <w:pPr>
        <w:ind w:right="40" w:firstLine="619"/>
        <w:spacing w:after="0" w:line="254" w:lineRule="auto"/>
        <w:rPr>
          <w:sz w:val="20"/>
          <w:szCs w:val="20"/>
          <w:color w:val="auto"/>
        </w:rPr>
      </w:pPr>
      <w:r>
        <w:rPr>
          <w:rFonts w:ascii="Arial" w:cs="Arial" w:eastAsia="Arial" w:hAnsi="Arial"/>
          <w:sz w:val="15"/>
          <w:szCs w:val="15"/>
          <w:color w:val="auto"/>
        </w:rPr>
        <w:t>Gross profit decreased 7%, in the three months ended July 31, 2021 compared to the same period last year to $40.9 million, and gross profit percentage decreased 210 basis points to 16.6% of revenue. The declines were due to tighter per-unit margins related to sourcing of Californian and Mexican fruit, which were exacerbated by smaller industry volumes within the California market as well as smaller fruit sizes within the Mexican market. Additionally, gross margin was pressured by incremental infrastructure costs related to our new Laredo facility within the Marketing &amp; Distribution segment, which is still in the process of ramping up utilization. The impact was partially offset by higher volume of avocados sold from Company-owned farms within our International Farming segment compared to prior year, which had lower per-unit cost than fruit purchased from third-party growers.</w:t>
      </w:r>
    </w:p>
    <w:p>
      <w:pPr>
        <w:spacing w:after="0" w:line="194" w:lineRule="exact"/>
        <w:rPr>
          <w:sz w:val="20"/>
          <w:szCs w:val="20"/>
          <w:color w:val="auto"/>
        </w:rPr>
      </w:pPr>
    </w:p>
    <w:p>
      <w:pPr>
        <w:ind w:right="80" w:firstLine="619"/>
        <w:spacing w:after="0" w:line="257" w:lineRule="auto"/>
        <w:rPr>
          <w:sz w:val="20"/>
          <w:szCs w:val="20"/>
          <w:color w:val="auto"/>
        </w:rPr>
      </w:pPr>
      <w:r>
        <w:rPr>
          <w:rFonts w:ascii="Arial" w:cs="Arial" w:eastAsia="Arial" w:hAnsi="Arial"/>
          <w:sz w:val="15"/>
          <w:szCs w:val="15"/>
          <w:color w:val="auto"/>
        </w:rPr>
        <w:t>Gross profit increased 7% in the nine months ended July 31, 2021 compared to the same period last year to $90.7 million, and gross profit percentage increased by 90 basis points to 13.9% of revenue. The increase in gross profit is due primarily to higher avocado volume sold. The improvement in gross profit percentage was driven by lower per-unit sales prices, as our per-unit margins represent a higher proportion of the sales value. Gross profit percentage will fluctuate based upon per-unit sales price levels.</w:t>
      </w:r>
    </w:p>
    <w:p>
      <w:pPr>
        <w:spacing w:after="0" w:line="200" w:lineRule="exact"/>
        <w:rPr>
          <w:sz w:val="20"/>
          <w:szCs w:val="20"/>
          <w:color w:val="auto"/>
        </w:rPr>
      </w:pP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232F84"/>
        </w:rPr>
        <w:t>Selling, general and administrative expenses</w:t>
      </w:r>
    </w:p>
    <w:p>
      <w:pPr>
        <w:spacing w:after="0" w:line="232" w:lineRule="exact"/>
        <w:rPr>
          <w:sz w:val="20"/>
          <w:szCs w:val="20"/>
          <w:color w:val="auto"/>
        </w:rPr>
      </w:pPr>
    </w:p>
    <w:p>
      <w:pPr>
        <w:ind w:right="160" w:firstLine="619"/>
        <w:spacing w:after="0" w:line="269" w:lineRule="auto"/>
        <w:rPr>
          <w:sz w:val="20"/>
          <w:szCs w:val="20"/>
          <w:color w:val="auto"/>
        </w:rPr>
      </w:pPr>
      <w:r>
        <w:rPr>
          <w:rFonts w:ascii="Arial" w:cs="Arial" w:eastAsia="Arial" w:hAnsi="Arial"/>
          <w:sz w:val="15"/>
          <w:szCs w:val="15"/>
          <w:color w:val="auto"/>
        </w:rPr>
        <w:t>Selling, general and administrative expenses primarily include the costs associated with selling, advertising and promotional expenses, professional fees, general corporate overhead and other related administrative functions.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8"/>
              </w:rPr>
              <w:t>Three Months Ended</w:t>
            </w:r>
          </w:p>
        </w:tc>
        <w:tc>
          <w:tcPr>
            <w:tcW w:w="740" w:type="dxa"/>
            <w:vAlign w:val="bottom"/>
            <w:shd w:val="clear" w:color="auto" w:fill="232F84"/>
          </w:tcPr>
          <w:p>
            <w:pPr>
              <w:spacing w:after="0"/>
              <w:rPr>
                <w:sz w:val="14"/>
                <w:szCs w:val="14"/>
                <w:color w:val="auto"/>
              </w:rPr>
            </w:pPr>
          </w:p>
        </w:tc>
        <w:tc>
          <w:tcPr>
            <w:tcW w:w="600" w:type="dxa"/>
            <w:vAlign w:val="bottom"/>
            <w:shd w:val="clear" w:color="auto" w:fill="232F84"/>
          </w:tcPr>
          <w:p>
            <w:pPr>
              <w:spacing w:after="0"/>
              <w:rPr>
                <w:sz w:val="14"/>
                <w:szCs w:val="14"/>
                <w:color w:val="auto"/>
              </w:rPr>
            </w:pPr>
          </w:p>
        </w:tc>
        <w:tc>
          <w:tcPr>
            <w:tcW w:w="200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7"/>
              </w:rPr>
              <w:t>Nine Months Ended</w:t>
            </w:r>
          </w:p>
        </w:tc>
        <w:tc>
          <w:tcPr>
            <w:tcW w:w="700" w:type="dxa"/>
            <w:vAlign w:val="bottom"/>
            <w:shd w:val="clear" w:color="auto" w:fill="232F84"/>
          </w:tcPr>
          <w:p>
            <w:pPr>
              <w:spacing w:after="0"/>
              <w:rPr>
                <w:sz w:val="14"/>
                <w:szCs w:val="14"/>
                <w:color w:val="auto"/>
              </w:rPr>
            </w:pPr>
          </w:p>
        </w:tc>
      </w:tr>
      <w:tr>
        <w:trPr>
          <w:trHeight w:val="195"/>
        </w:trPr>
        <w:tc>
          <w:tcPr>
            <w:tcW w:w="46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40" w:type="dxa"/>
            <w:vAlign w:val="bottom"/>
            <w:shd w:val="clear" w:color="auto" w:fill="232F84"/>
          </w:tcPr>
          <w:p>
            <w:pPr>
              <w:spacing w:after="0"/>
              <w:rPr>
                <w:sz w:val="17"/>
                <w:szCs w:val="17"/>
                <w:color w:val="auto"/>
              </w:rPr>
            </w:pPr>
          </w:p>
        </w:tc>
        <w:tc>
          <w:tcPr>
            <w:tcW w:w="60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00" w:type="dxa"/>
            <w:vAlign w:val="bottom"/>
            <w:shd w:val="clear" w:color="auto" w:fill="232F84"/>
          </w:tcPr>
          <w:p>
            <w:pPr>
              <w:spacing w:after="0"/>
              <w:rPr>
                <w:sz w:val="17"/>
                <w:szCs w:val="17"/>
                <w:color w:val="auto"/>
              </w:rPr>
            </w:pPr>
          </w:p>
        </w:tc>
      </w:tr>
      <w:tr>
        <w:trPr>
          <w:trHeight w:val="21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8"/>
                <w:szCs w:val="18"/>
                <w:color w:val="auto"/>
              </w:rPr>
            </w:pPr>
          </w:p>
        </w:tc>
        <w:tc>
          <w:tcPr>
            <w:tcW w:w="74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2020</w:t>
            </w:r>
          </w:p>
        </w:tc>
        <w:tc>
          <w:tcPr>
            <w:tcW w:w="600" w:type="dxa"/>
            <w:vAlign w:val="bottom"/>
            <w:shd w:val="clear" w:color="auto" w:fill="232F84"/>
          </w:tcPr>
          <w:p>
            <w:pPr>
              <w:spacing w:after="0"/>
              <w:rPr>
                <w:sz w:val="18"/>
                <w:szCs w:val="18"/>
                <w:color w:val="auto"/>
              </w:rPr>
            </w:pPr>
          </w:p>
        </w:tc>
        <w:tc>
          <w:tcPr>
            <w:tcW w:w="106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0"/>
        </w:trPr>
        <w:tc>
          <w:tcPr>
            <w:tcW w:w="46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2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17.2</w:t>
            </w:r>
          </w:p>
        </w:tc>
        <w:tc>
          <w:tcPr>
            <w:tcW w:w="960" w:type="dxa"/>
            <w:vAlign w:val="bottom"/>
            <w:tcBorders>
              <w:bottom w:val="single" w:sz="8" w:color="auto"/>
            </w:tcBorders>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13.5</w:t>
            </w:r>
          </w:p>
        </w:tc>
        <w:tc>
          <w:tcPr>
            <w:tcW w:w="600" w:type="dxa"/>
            <w:vAlign w:val="bottom"/>
            <w:tcBorders>
              <w:bottom w:val="single" w:sz="8" w:color="auto"/>
            </w:tcBorders>
            <w:shd w:val="clear" w:color="auto" w:fill="43C0B9"/>
          </w:tcPr>
          <w:p>
            <w:pPr>
              <w:jc w:val="right"/>
              <w:ind w:right="3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48.1</w:t>
            </w:r>
          </w:p>
        </w:tc>
        <w:tc>
          <w:tcPr>
            <w:tcW w:w="940" w:type="dxa"/>
            <w:vAlign w:val="bottom"/>
            <w:tcBorders>
              <w:bottom w:val="single" w:sz="8" w:color="auto"/>
            </w:tcBorders>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39.4</w:t>
            </w:r>
          </w:p>
        </w:tc>
      </w:tr>
    </w:tbl>
    <w:p>
      <w:pPr>
        <w:spacing w:after="0" w:line="285" w:lineRule="exact"/>
        <w:rPr>
          <w:sz w:val="20"/>
          <w:szCs w:val="20"/>
          <w:color w:val="auto"/>
        </w:rPr>
      </w:pPr>
    </w:p>
    <w:p>
      <w:pPr>
        <w:ind w:right="340" w:firstLine="619"/>
        <w:spacing w:after="0" w:line="260" w:lineRule="auto"/>
        <w:rPr>
          <w:sz w:val="20"/>
          <w:szCs w:val="20"/>
          <w:color w:val="auto"/>
        </w:rPr>
      </w:pPr>
      <w:r>
        <w:rPr>
          <w:rFonts w:ascii="Arial" w:cs="Arial" w:eastAsia="Arial" w:hAnsi="Arial"/>
          <w:sz w:val="15"/>
          <w:szCs w:val="15"/>
          <w:color w:val="auto"/>
        </w:rPr>
        <w:t>Selling, general and administrative expenses increased $3.7 million or 27% in the three months ended July 31, 2021 compared to the same period last year due primarily to higher professional fees and higher liability insurance premiums associated with being a public company. Higher professional fees were primarily related to our anticipated change in SEC filer status from an emerging growth company to a large accelerated filer on October 31, 2021.</w:t>
      </w:r>
    </w:p>
    <w:p>
      <w:pPr>
        <w:spacing w:after="0" w:line="187" w:lineRule="exact"/>
        <w:rPr>
          <w:sz w:val="20"/>
          <w:szCs w:val="20"/>
          <w:color w:val="auto"/>
        </w:rPr>
      </w:pPr>
    </w:p>
    <w:p>
      <w:pPr>
        <w:ind w:right="60" w:firstLine="619"/>
        <w:spacing w:after="0" w:line="257" w:lineRule="auto"/>
        <w:rPr>
          <w:sz w:val="20"/>
          <w:szCs w:val="20"/>
          <w:color w:val="auto"/>
        </w:rPr>
      </w:pPr>
      <w:r>
        <w:rPr>
          <w:rFonts w:ascii="Arial" w:cs="Arial" w:eastAsia="Arial" w:hAnsi="Arial"/>
          <w:sz w:val="15"/>
          <w:szCs w:val="15"/>
          <w:color w:val="auto"/>
        </w:rPr>
        <w:t>Selling, general and administrative expenses increased $8.7 million or 22% in the nine months ended July 31, 2021 compared to the same period last year due primarily to higher professional fees and liability insurance premiums due to the same drivers noted above, and higher employee-related costs. We also experienced an increase in rent expense in conjunction with our move to our new corporate headquarters in February 2021 and we recorded a legal settlement contingency of $0.8 million.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Interest expense</w:t>
      </w:r>
    </w:p>
    <w:p>
      <w:pPr>
        <w:spacing w:after="0" w:line="232" w:lineRule="exact"/>
        <w:rPr>
          <w:sz w:val="20"/>
          <w:szCs w:val="20"/>
          <w:color w:val="auto"/>
        </w:rPr>
      </w:pPr>
    </w:p>
    <w:p>
      <w:pPr>
        <w:ind w:right="180" w:firstLine="619"/>
        <w:spacing w:after="0" w:line="269" w:lineRule="auto"/>
        <w:rPr>
          <w:sz w:val="20"/>
          <w:szCs w:val="20"/>
          <w:color w:val="auto"/>
        </w:rPr>
      </w:pPr>
      <w:r>
        <w:rPr>
          <w:rFonts w:ascii="Arial" w:cs="Arial" w:eastAsia="Arial" w:hAnsi="Arial"/>
          <w:sz w:val="15"/>
          <w:szCs w:val="15"/>
          <w:color w:val="auto"/>
        </w:rPr>
        <w:t>Interest expense consists primarily of interest on borrowings under working capital facilities that we maintain and interest on other long-term debt used to make capital and equity investments.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8"/>
              </w:rPr>
              <w:t>Three Months Ended</w:t>
            </w:r>
          </w:p>
        </w:tc>
        <w:tc>
          <w:tcPr>
            <w:tcW w:w="740" w:type="dxa"/>
            <w:vAlign w:val="bottom"/>
            <w:shd w:val="clear" w:color="auto" w:fill="232F84"/>
          </w:tcPr>
          <w:p>
            <w:pPr>
              <w:spacing w:after="0"/>
              <w:rPr>
                <w:sz w:val="14"/>
                <w:szCs w:val="14"/>
                <w:color w:val="auto"/>
              </w:rPr>
            </w:pPr>
          </w:p>
        </w:tc>
        <w:tc>
          <w:tcPr>
            <w:tcW w:w="600" w:type="dxa"/>
            <w:vAlign w:val="bottom"/>
            <w:shd w:val="clear" w:color="auto" w:fill="232F84"/>
          </w:tcPr>
          <w:p>
            <w:pPr>
              <w:spacing w:after="0"/>
              <w:rPr>
                <w:sz w:val="14"/>
                <w:szCs w:val="14"/>
                <w:color w:val="auto"/>
              </w:rPr>
            </w:pPr>
          </w:p>
        </w:tc>
        <w:tc>
          <w:tcPr>
            <w:tcW w:w="200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7"/>
              </w:rPr>
              <w:t>Nine Months Ended</w:t>
            </w:r>
          </w:p>
        </w:tc>
        <w:tc>
          <w:tcPr>
            <w:tcW w:w="700" w:type="dxa"/>
            <w:vAlign w:val="bottom"/>
            <w:shd w:val="clear" w:color="auto" w:fill="232F84"/>
          </w:tcPr>
          <w:p>
            <w:pPr>
              <w:spacing w:after="0"/>
              <w:rPr>
                <w:sz w:val="14"/>
                <w:szCs w:val="14"/>
                <w:color w:val="auto"/>
              </w:rPr>
            </w:pPr>
          </w:p>
        </w:tc>
      </w:tr>
      <w:tr>
        <w:trPr>
          <w:trHeight w:val="195"/>
        </w:trPr>
        <w:tc>
          <w:tcPr>
            <w:tcW w:w="46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40" w:type="dxa"/>
            <w:vAlign w:val="bottom"/>
            <w:shd w:val="clear" w:color="auto" w:fill="232F84"/>
          </w:tcPr>
          <w:p>
            <w:pPr>
              <w:spacing w:after="0"/>
              <w:rPr>
                <w:sz w:val="17"/>
                <w:szCs w:val="17"/>
                <w:color w:val="auto"/>
              </w:rPr>
            </w:pPr>
          </w:p>
        </w:tc>
        <w:tc>
          <w:tcPr>
            <w:tcW w:w="60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00" w:type="dxa"/>
            <w:vAlign w:val="bottom"/>
            <w:shd w:val="clear" w:color="auto" w:fill="232F84"/>
          </w:tcPr>
          <w:p>
            <w:pPr>
              <w:spacing w:after="0"/>
              <w:rPr>
                <w:sz w:val="17"/>
                <w:szCs w:val="17"/>
                <w:color w:val="auto"/>
              </w:rPr>
            </w:pPr>
          </w:p>
        </w:tc>
      </w:tr>
      <w:tr>
        <w:trPr>
          <w:trHeight w:val="21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8"/>
                <w:szCs w:val="18"/>
                <w:color w:val="auto"/>
              </w:rPr>
            </w:pPr>
          </w:p>
        </w:tc>
        <w:tc>
          <w:tcPr>
            <w:tcW w:w="74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2020</w:t>
            </w:r>
          </w:p>
        </w:tc>
        <w:tc>
          <w:tcPr>
            <w:tcW w:w="600" w:type="dxa"/>
            <w:vAlign w:val="bottom"/>
            <w:shd w:val="clear" w:color="auto" w:fill="232F84"/>
          </w:tcPr>
          <w:p>
            <w:pPr>
              <w:spacing w:after="0"/>
              <w:rPr>
                <w:sz w:val="18"/>
                <w:szCs w:val="18"/>
                <w:color w:val="auto"/>
              </w:rPr>
            </w:pPr>
          </w:p>
        </w:tc>
        <w:tc>
          <w:tcPr>
            <w:tcW w:w="106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0"/>
        </w:trPr>
        <w:tc>
          <w:tcPr>
            <w:tcW w:w="46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52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1.0</w:t>
            </w:r>
          </w:p>
        </w:tc>
        <w:tc>
          <w:tcPr>
            <w:tcW w:w="960" w:type="dxa"/>
            <w:vAlign w:val="bottom"/>
            <w:tcBorders>
              <w:bottom w:val="single" w:sz="8" w:color="auto"/>
            </w:tcBorders>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1.1</w:t>
            </w:r>
          </w:p>
        </w:tc>
        <w:tc>
          <w:tcPr>
            <w:tcW w:w="600" w:type="dxa"/>
            <w:vAlign w:val="bottom"/>
            <w:tcBorders>
              <w:bottom w:val="single" w:sz="8" w:color="auto"/>
            </w:tcBorders>
            <w:shd w:val="clear" w:color="auto" w:fill="43C0B9"/>
          </w:tcPr>
          <w:p>
            <w:pPr>
              <w:jc w:val="right"/>
              <w:ind w:right="3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2.7</w:t>
            </w:r>
          </w:p>
        </w:tc>
        <w:tc>
          <w:tcPr>
            <w:tcW w:w="940" w:type="dxa"/>
            <w:vAlign w:val="bottom"/>
            <w:tcBorders>
              <w:bottom w:val="single" w:sz="8" w:color="auto"/>
            </w:tcBorders>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5.5</w:t>
            </w:r>
          </w:p>
        </w:tc>
      </w:tr>
    </w:tbl>
    <w:p>
      <w:pPr>
        <w:spacing w:after="0" w:line="28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Interest expense was relatively flat in the three months ended July 31, 2021 compared to the same period last year as interest rates were comparable.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Average debt balances were lower reflecting principal payments of existing long-term debt.</w:t>
      </w:r>
    </w:p>
    <w:p>
      <w:pPr>
        <w:spacing w:after="0" w:line="214" w:lineRule="exact"/>
        <w:rPr>
          <w:sz w:val="20"/>
          <w:szCs w:val="20"/>
          <w:color w:val="auto"/>
        </w:rPr>
      </w:pPr>
    </w:p>
    <w:p>
      <w:pPr>
        <w:ind w:right="280" w:firstLine="619"/>
        <w:spacing w:after="0" w:line="260" w:lineRule="auto"/>
        <w:rPr>
          <w:sz w:val="20"/>
          <w:szCs w:val="20"/>
          <w:color w:val="auto"/>
        </w:rPr>
      </w:pPr>
      <w:r>
        <w:rPr>
          <w:rFonts w:ascii="Arial" w:cs="Arial" w:eastAsia="Arial" w:hAnsi="Arial"/>
          <w:sz w:val="15"/>
          <w:szCs w:val="15"/>
          <w:color w:val="auto"/>
        </w:rPr>
        <w:t>Interest expense decreased $2.8 million or 51% in the nine months ended July 31, 2021 compared to the same period last year due to a combination of lower interest rates and lower average debt balances. A substantial portion of our debt has variable interest rates that are based on LIBOR, which has declined significantly since the first half of fiscal year 2020.</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Equity method income</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material equity method investees include Henry Avocado (“HAC”), Mr. Avocado, Moruga, and Copaltas.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8"/>
              </w:rPr>
              <w:t>Three Months Ended</w:t>
            </w:r>
          </w:p>
        </w:tc>
        <w:tc>
          <w:tcPr>
            <w:tcW w:w="80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0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7"/>
              </w:rPr>
              <w:t>Nine Months Ended</w:t>
            </w:r>
          </w:p>
        </w:tc>
        <w:tc>
          <w:tcPr>
            <w:tcW w:w="700" w:type="dxa"/>
            <w:vAlign w:val="bottom"/>
            <w:shd w:val="clear" w:color="auto" w:fill="232F84"/>
          </w:tcPr>
          <w:p>
            <w:pPr>
              <w:spacing w:after="0"/>
              <w:rPr>
                <w:sz w:val="14"/>
                <w:szCs w:val="14"/>
                <w:color w:val="auto"/>
              </w:rPr>
            </w:pPr>
          </w:p>
        </w:tc>
      </w:tr>
      <w:tr>
        <w:trPr>
          <w:trHeight w:val="195"/>
        </w:trPr>
        <w:tc>
          <w:tcPr>
            <w:tcW w:w="46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80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00" w:type="dxa"/>
            <w:vAlign w:val="bottom"/>
            <w:shd w:val="clear" w:color="auto" w:fill="232F84"/>
          </w:tcPr>
          <w:p>
            <w:pPr>
              <w:spacing w:after="0"/>
              <w:rPr>
                <w:sz w:val="17"/>
                <w:szCs w:val="17"/>
                <w:color w:val="auto"/>
              </w:rPr>
            </w:pPr>
          </w:p>
        </w:tc>
      </w:tr>
      <w:tr>
        <w:trPr>
          <w:trHeight w:val="21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8"/>
                <w:szCs w:val="18"/>
                <w:color w:val="auto"/>
              </w:rPr>
            </w:pPr>
          </w:p>
        </w:tc>
        <w:tc>
          <w:tcPr>
            <w:tcW w:w="800" w:type="dxa"/>
            <w:vAlign w:val="bottom"/>
            <w:shd w:val="clear" w:color="auto" w:fill="232F84"/>
          </w:tcPr>
          <w:p>
            <w:pPr>
              <w:jc w:val="right"/>
              <w:ind w:right="171"/>
              <w:spacing w:after="0"/>
              <w:rPr>
                <w:sz w:val="20"/>
                <w:szCs w:val="20"/>
                <w:color w:val="auto"/>
              </w:rPr>
            </w:pPr>
            <w:r>
              <w:rPr>
                <w:rFonts w:ascii="Arial" w:cs="Arial" w:eastAsia="Arial" w:hAnsi="Arial"/>
                <w:sz w:val="14"/>
                <w:szCs w:val="14"/>
                <w:b w:val="1"/>
                <w:bCs w:val="1"/>
                <w:color w:val="FFFFFF"/>
              </w:rPr>
              <w:t>2020</w:t>
            </w:r>
          </w:p>
        </w:tc>
        <w:tc>
          <w:tcPr>
            <w:tcW w:w="540" w:type="dxa"/>
            <w:vAlign w:val="bottom"/>
            <w:shd w:val="clear" w:color="auto" w:fill="232F84"/>
          </w:tcPr>
          <w:p>
            <w:pPr>
              <w:spacing w:after="0"/>
              <w:rPr>
                <w:sz w:val="18"/>
                <w:szCs w:val="18"/>
                <w:color w:val="auto"/>
              </w:rPr>
            </w:pPr>
          </w:p>
        </w:tc>
        <w:tc>
          <w:tcPr>
            <w:tcW w:w="106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520" w:type="dxa"/>
            <w:vAlign w:val="bottom"/>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2.1</w:t>
            </w:r>
          </w:p>
        </w:tc>
        <w:tc>
          <w:tcPr>
            <w:tcW w:w="960" w:type="dxa"/>
            <w:vAlign w:val="bottom"/>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1.2</w:t>
            </w:r>
          </w:p>
        </w:tc>
        <w:tc>
          <w:tcPr>
            <w:tcW w:w="540" w:type="dxa"/>
            <w:vAlign w:val="bottom"/>
            <w:shd w:val="clear" w:color="auto" w:fill="43C0B9"/>
          </w:tcPr>
          <w:p>
            <w:pPr>
              <w:jc w:val="right"/>
              <w:ind w:right="371"/>
              <w:spacing w:after="0"/>
              <w:rPr>
                <w:sz w:val="20"/>
                <w:szCs w:val="20"/>
                <w:color w:val="auto"/>
              </w:rPr>
            </w:pPr>
            <w:r>
              <w:rPr>
                <w:rFonts w:ascii="Arial" w:cs="Arial" w:eastAsia="Arial" w:hAnsi="Arial"/>
                <w:sz w:val="14"/>
                <w:szCs w:val="14"/>
                <w:color w:val="auto"/>
              </w:rPr>
              <w:t>$</w:t>
            </w:r>
          </w:p>
        </w:tc>
        <w:tc>
          <w:tcPr>
            <w:tcW w:w="106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4.2</w:t>
            </w:r>
          </w:p>
        </w:tc>
        <w:tc>
          <w:tcPr>
            <w:tcW w:w="94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w:t>
            </w:r>
          </w:p>
        </w:tc>
      </w:tr>
      <w:tr>
        <w:trPr>
          <w:trHeight w:val="20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Impairment on equity method investment</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r>
    </w:tbl>
    <w:p>
      <w:pPr>
        <w:spacing w:after="0" w:line="298" w:lineRule="exact"/>
        <w:rPr>
          <w:sz w:val="20"/>
          <w:szCs w:val="20"/>
          <w:color w:val="auto"/>
        </w:rPr>
      </w:pPr>
    </w:p>
    <w:p>
      <w:pPr>
        <w:ind w:right="60" w:firstLine="619"/>
        <w:spacing w:after="0" w:line="255" w:lineRule="auto"/>
        <w:rPr>
          <w:sz w:val="20"/>
          <w:szCs w:val="20"/>
          <w:color w:val="auto"/>
        </w:rPr>
      </w:pPr>
      <w:r>
        <w:rPr>
          <w:rFonts w:ascii="Arial" w:cs="Arial" w:eastAsia="Arial" w:hAnsi="Arial"/>
          <w:sz w:val="15"/>
          <w:szCs w:val="15"/>
          <w:color w:val="auto"/>
        </w:rPr>
        <w:t>Equity method income increased $0.9 million or 75% in the three months ended July 31, 2021 compared to the same period last year, due to strong performance within HAC. Equity method income increased $2.6 million or 163% in the nine months ended July 31, 2021 compared to the same period last year, driven by higher earnings from investments in HAC and Moruga. HAC’s earnings increased due to higher per-unit margins. The impact of COVID-19 related stay at-home orders that went into effect in March 2020 were more profound to HAC due to their heavier concentration of foodservice customers. Moruga’s earnings increased due to improved yields and better pricing returns on the latter half of the 2020-21 blueberry harvest.</w:t>
      </w:r>
    </w:p>
    <w:p>
      <w:pPr>
        <w:spacing w:after="0" w:line="218" w:lineRule="exact"/>
        <w:rPr>
          <w:sz w:val="20"/>
          <w:szCs w:val="20"/>
          <w:color w:val="auto"/>
        </w:rPr>
      </w:pPr>
    </w:p>
    <w:p>
      <w:pPr>
        <w:ind w:firstLine="619"/>
        <w:spacing w:after="0" w:line="254" w:lineRule="auto"/>
        <w:rPr>
          <w:sz w:val="20"/>
          <w:szCs w:val="20"/>
          <w:color w:val="auto"/>
        </w:rPr>
      </w:pPr>
      <w:r>
        <w:rPr>
          <w:rFonts w:ascii="Arial" w:cs="Arial" w:eastAsia="Arial" w:hAnsi="Arial"/>
          <w:sz w:val="15"/>
          <w:szCs w:val="15"/>
          <w:color w:val="auto"/>
        </w:rPr>
        <w:t>During the second quarter of fiscal 2020, industry wide production information regarding the 2019-2020 blueberry harvest in Peru became available, indicating that there is greater competition and expansion by competitors than what we were previously expecting. We believe that the increase in supply due to expansion will result in a reduction in pricing over the long-term. As a result of this factor, among others, we lowered our long-term revenue and profitability forecasts of Moruga during the second quarter of fiscal 2020, and concluded that the reduction in the forecasted revenues was an indicator of impairment. As a result, we tested our investment in Moruga for impairment and concluded that the estimated fair value of the investment in Moruga was less than the carrying value of the investment. Due to the change in long-term pricing and</w:t>
      </w: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9" w:name="page20"/>
    <w:bookmarkEnd w:id="19"/>
    <w:p>
      <w:pPr>
        <w:ind w:right="20"/>
        <w:spacing w:after="0" w:line="269" w:lineRule="auto"/>
        <w:rPr>
          <w:sz w:val="20"/>
          <w:szCs w:val="20"/>
          <w:color w:val="auto"/>
        </w:rPr>
      </w:pPr>
      <w:r>
        <w:rPr>
          <w:rFonts w:ascii="Arial" w:cs="Arial" w:eastAsia="Arial" w:hAnsi="Arial"/>
          <w:sz w:val="15"/>
          <w:szCs w:val="15"/>
          <w:color w:val="auto"/>
        </w:rPr>
        <w:t>revenue expectations, we concluded that the impairment is other-than-temporary. We recorded an impairment charge of $21.2 million to reduce the carrying balance of the investment to its estimated fair value of $22.2 million during the second quarter of fiscal 2020.</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Other expense</w:t>
      </w:r>
    </w:p>
    <w:p>
      <w:pPr>
        <w:spacing w:after="0" w:line="232" w:lineRule="exact"/>
        <w:rPr>
          <w:sz w:val="20"/>
          <w:szCs w:val="20"/>
          <w:color w:val="auto"/>
        </w:rPr>
      </w:pPr>
    </w:p>
    <w:p>
      <w:pPr>
        <w:jc w:val="both"/>
        <w:ind w:right="20" w:firstLine="619"/>
        <w:spacing w:after="0" w:line="269" w:lineRule="auto"/>
        <w:rPr>
          <w:sz w:val="20"/>
          <w:szCs w:val="20"/>
          <w:color w:val="auto"/>
        </w:rPr>
      </w:pPr>
      <w:r>
        <w:rPr>
          <w:rFonts w:ascii="Arial" w:cs="Arial" w:eastAsia="Arial" w:hAnsi="Arial"/>
          <w:sz w:val="15"/>
          <w:szCs w:val="15"/>
          <w:color w:val="auto"/>
        </w:rPr>
        <w:t>Other expense consists of interest income, currency exchange gains or losses, interest rate derivative gains or losses and other miscellaneous income and expense items.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4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8"/>
              </w:rPr>
              <w:t>Three Months Ended</w:t>
            </w:r>
          </w:p>
        </w:tc>
        <w:tc>
          <w:tcPr>
            <w:tcW w:w="740" w:type="dxa"/>
            <w:vAlign w:val="bottom"/>
            <w:shd w:val="clear" w:color="auto" w:fill="232F84"/>
          </w:tcPr>
          <w:p>
            <w:pPr>
              <w:spacing w:after="0"/>
              <w:rPr>
                <w:sz w:val="14"/>
                <w:szCs w:val="14"/>
                <w:color w:val="auto"/>
              </w:rPr>
            </w:pPr>
          </w:p>
        </w:tc>
        <w:tc>
          <w:tcPr>
            <w:tcW w:w="600" w:type="dxa"/>
            <w:vAlign w:val="bottom"/>
            <w:shd w:val="clear" w:color="auto" w:fill="232F84"/>
          </w:tcPr>
          <w:p>
            <w:pPr>
              <w:spacing w:after="0"/>
              <w:rPr>
                <w:sz w:val="14"/>
                <w:szCs w:val="14"/>
                <w:color w:val="auto"/>
              </w:rPr>
            </w:pPr>
          </w:p>
        </w:tc>
        <w:tc>
          <w:tcPr>
            <w:tcW w:w="200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7"/>
              </w:rPr>
              <w:t>Nine Months Ended</w:t>
            </w:r>
          </w:p>
        </w:tc>
        <w:tc>
          <w:tcPr>
            <w:tcW w:w="700" w:type="dxa"/>
            <w:vAlign w:val="bottom"/>
            <w:shd w:val="clear" w:color="auto" w:fill="232F84"/>
          </w:tcPr>
          <w:p>
            <w:pPr>
              <w:spacing w:after="0"/>
              <w:rPr>
                <w:sz w:val="14"/>
                <w:szCs w:val="14"/>
                <w:color w:val="auto"/>
              </w:rPr>
            </w:pPr>
          </w:p>
        </w:tc>
      </w:tr>
      <w:tr>
        <w:trPr>
          <w:trHeight w:val="195"/>
        </w:trPr>
        <w:tc>
          <w:tcPr>
            <w:tcW w:w="46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40" w:type="dxa"/>
            <w:vAlign w:val="bottom"/>
            <w:shd w:val="clear" w:color="auto" w:fill="232F84"/>
          </w:tcPr>
          <w:p>
            <w:pPr>
              <w:spacing w:after="0"/>
              <w:rPr>
                <w:sz w:val="17"/>
                <w:szCs w:val="17"/>
                <w:color w:val="auto"/>
              </w:rPr>
            </w:pPr>
          </w:p>
        </w:tc>
        <w:tc>
          <w:tcPr>
            <w:tcW w:w="60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00" w:type="dxa"/>
            <w:vAlign w:val="bottom"/>
            <w:shd w:val="clear" w:color="auto" w:fill="232F84"/>
          </w:tcPr>
          <w:p>
            <w:pPr>
              <w:spacing w:after="0"/>
              <w:rPr>
                <w:sz w:val="17"/>
                <w:szCs w:val="17"/>
                <w:color w:val="auto"/>
              </w:rPr>
            </w:pPr>
          </w:p>
        </w:tc>
      </w:tr>
      <w:tr>
        <w:trPr>
          <w:trHeight w:val="21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8"/>
                <w:szCs w:val="18"/>
                <w:color w:val="auto"/>
              </w:rPr>
            </w:pPr>
          </w:p>
        </w:tc>
        <w:tc>
          <w:tcPr>
            <w:tcW w:w="74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2020</w:t>
            </w:r>
          </w:p>
        </w:tc>
        <w:tc>
          <w:tcPr>
            <w:tcW w:w="600" w:type="dxa"/>
            <w:vAlign w:val="bottom"/>
            <w:shd w:val="clear" w:color="auto" w:fill="232F84"/>
          </w:tcPr>
          <w:p>
            <w:pPr>
              <w:spacing w:after="0"/>
              <w:rPr>
                <w:sz w:val="18"/>
                <w:szCs w:val="18"/>
                <w:color w:val="auto"/>
              </w:rPr>
            </w:pPr>
          </w:p>
        </w:tc>
        <w:tc>
          <w:tcPr>
            <w:tcW w:w="1060" w:type="dxa"/>
            <w:vAlign w:val="bottom"/>
            <w:shd w:val="clear" w:color="auto" w:fill="232F84"/>
          </w:tcPr>
          <w:p>
            <w:pPr>
              <w:jc w:val="right"/>
              <w:ind w:right="7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0"/>
        </w:trPr>
        <w:tc>
          <w:tcPr>
            <w:tcW w:w="46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520" w:type="dxa"/>
            <w:vAlign w:val="bottom"/>
            <w:tcBorders>
              <w:bottom w:val="single" w:sz="8" w:color="auto"/>
            </w:tcBorders>
            <w:shd w:val="clear" w:color="auto" w:fill="43C0B9"/>
          </w:tcPr>
          <w:p>
            <w:pPr>
              <w:jc w:val="right"/>
              <w:ind w:right="3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0.5</w:t>
            </w:r>
          </w:p>
        </w:tc>
        <w:tc>
          <w:tcPr>
            <w:tcW w:w="960" w:type="dxa"/>
            <w:vAlign w:val="bottom"/>
            <w:tcBorders>
              <w:bottom w:val="single" w:sz="8" w:color="auto"/>
            </w:tcBorders>
            <w:shd w:val="clear" w:color="auto" w:fill="43C0B9"/>
          </w:tcPr>
          <w:p>
            <w:pPr>
              <w:jc w:val="right"/>
              <w:ind w:right="73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1.2</w:t>
            </w:r>
          </w:p>
        </w:tc>
        <w:tc>
          <w:tcPr>
            <w:tcW w:w="600" w:type="dxa"/>
            <w:vAlign w:val="bottom"/>
            <w:tcBorders>
              <w:bottom w:val="single" w:sz="8" w:color="auto"/>
            </w:tcBorders>
            <w:shd w:val="clear" w:color="auto" w:fill="43C0B9"/>
          </w:tcPr>
          <w:p>
            <w:pPr>
              <w:jc w:val="right"/>
              <w:ind w:right="3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0.8</w:t>
            </w:r>
          </w:p>
        </w:tc>
        <w:tc>
          <w:tcPr>
            <w:tcW w:w="940" w:type="dxa"/>
            <w:vAlign w:val="bottom"/>
            <w:tcBorders>
              <w:bottom w:val="single" w:sz="8" w:color="auto"/>
            </w:tcBorders>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0.2</w:t>
            </w:r>
          </w:p>
        </w:tc>
      </w:tr>
    </w:tbl>
    <w:p>
      <w:pPr>
        <w:spacing w:after="0" w:line="298"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Other expense decreased $0.7 million or 58% in the three months ended July 31, 2021 compared to the same period last year primarily due to lower losses on our interest rate swaps driven by market movements in short-term interest rates.</w:t>
      </w:r>
    </w:p>
    <w:p>
      <w:pPr>
        <w:spacing w:after="0" w:line="181" w:lineRule="exact"/>
        <w:rPr>
          <w:sz w:val="20"/>
          <w:szCs w:val="20"/>
          <w:color w:val="auto"/>
        </w:rPr>
      </w:pPr>
    </w:p>
    <w:p>
      <w:pPr>
        <w:jc w:val="both"/>
        <w:ind w:right="40" w:firstLine="619"/>
        <w:spacing w:after="0" w:line="257" w:lineRule="auto"/>
        <w:rPr>
          <w:sz w:val="20"/>
          <w:szCs w:val="20"/>
          <w:color w:val="auto"/>
        </w:rPr>
      </w:pPr>
      <w:r>
        <w:rPr>
          <w:rFonts w:ascii="Arial" w:cs="Arial" w:eastAsia="Arial" w:hAnsi="Arial"/>
          <w:sz w:val="15"/>
          <w:szCs w:val="15"/>
          <w:color w:val="auto"/>
        </w:rPr>
        <w:t>Other expense increased $0.6 million or 300% in the nine months ended July 31, 2021 compared to the same period last year, due to the effect of foreign currency loss in the current year compared to gains in the previous year, partially offset by losses on interest rate swaps in the prior year. The significant weakening of the Mexican peso relative to the U.S. dollar and the substantial reduction in LIBOR in fiscal 2020 were correlated with the COVID-19 pandemic. Losses and gains on interest rate swaps are driven by market movements in short-term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Provision for income taxes</w:t>
      </w:r>
    </w:p>
    <w:p>
      <w:pPr>
        <w:spacing w:after="0" w:line="232" w:lineRule="exact"/>
        <w:rPr>
          <w:sz w:val="20"/>
          <w:szCs w:val="20"/>
          <w:color w:val="auto"/>
        </w:rPr>
      </w:pPr>
    </w:p>
    <w:p>
      <w:pPr>
        <w:ind w:right="40" w:firstLine="619"/>
        <w:spacing w:after="0" w:line="255" w:lineRule="auto"/>
        <w:rPr>
          <w:sz w:val="20"/>
          <w:szCs w:val="20"/>
          <w:color w:val="auto"/>
        </w:rPr>
      </w:pPr>
      <w:r>
        <w:rPr>
          <w:rFonts w:ascii="Arial" w:cs="Arial" w:eastAsia="Arial" w:hAnsi="Arial"/>
          <w:sz w:val="15"/>
          <w:szCs w:val="15"/>
          <w:color w:val="auto"/>
        </w:rPr>
        <w:t>The provision for income taxes consists of the consolidation of tax provisions, computed on a separate entity basis, in each country in which we have operations. We use an estimated annual effective tax rate and adjust for discrete items that occur during the quarter.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92" w:lineRule="exact"/>
        <w:rPr>
          <w:sz w:val="20"/>
          <w:szCs w:val="20"/>
          <w:color w:val="auto"/>
        </w:rPr>
      </w:pPr>
    </w:p>
    <w:p>
      <w:pPr>
        <w:ind w:right="40" w:firstLine="619"/>
        <w:spacing w:after="0" w:line="257" w:lineRule="auto"/>
        <w:rPr>
          <w:sz w:val="20"/>
          <w:szCs w:val="20"/>
          <w:color w:val="auto"/>
        </w:rPr>
      </w:pPr>
      <w:r>
        <w:rPr>
          <w:rFonts w:ascii="Arial" w:cs="Arial" w:eastAsia="Arial" w:hAnsi="Arial"/>
          <w:sz w:val="15"/>
          <w:szCs w:val="15"/>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6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8"/>
              </w:rPr>
              <w:t>Three Months Ended</w:t>
            </w:r>
          </w:p>
        </w:tc>
        <w:tc>
          <w:tcPr>
            <w:tcW w:w="800" w:type="dxa"/>
            <w:vAlign w:val="bottom"/>
            <w:shd w:val="clear" w:color="auto" w:fill="232F84"/>
          </w:tcPr>
          <w:p>
            <w:pPr>
              <w:spacing w:after="0"/>
              <w:rPr>
                <w:sz w:val="14"/>
                <w:szCs w:val="14"/>
                <w:color w:val="auto"/>
              </w:rPr>
            </w:pPr>
          </w:p>
        </w:tc>
        <w:tc>
          <w:tcPr>
            <w:tcW w:w="640" w:type="dxa"/>
            <w:vAlign w:val="bottom"/>
            <w:shd w:val="clear" w:color="auto" w:fill="232F84"/>
          </w:tcPr>
          <w:p>
            <w:pPr>
              <w:spacing w:after="0"/>
              <w:rPr>
                <w:sz w:val="14"/>
                <w:szCs w:val="14"/>
                <w:color w:val="auto"/>
              </w:rPr>
            </w:pPr>
          </w:p>
        </w:tc>
        <w:tc>
          <w:tcPr>
            <w:tcW w:w="2040" w:type="dxa"/>
            <w:vAlign w:val="bottom"/>
            <w:gridSpan w:val="2"/>
            <w:shd w:val="clear" w:color="auto" w:fill="232F84"/>
          </w:tcPr>
          <w:p>
            <w:pPr>
              <w:jc w:val="center"/>
              <w:ind w:left="131"/>
              <w:spacing w:after="0"/>
              <w:rPr>
                <w:sz w:val="20"/>
                <w:szCs w:val="20"/>
                <w:color w:val="auto"/>
              </w:rPr>
            </w:pPr>
            <w:r>
              <w:rPr>
                <w:rFonts w:ascii="Arial" w:cs="Arial" w:eastAsia="Arial" w:hAnsi="Arial"/>
                <w:sz w:val="14"/>
                <w:szCs w:val="14"/>
                <w:b w:val="1"/>
                <w:bCs w:val="1"/>
                <w:color w:val="FFFFFF"/>
                <w:w w:val="97"/>
              </w:rPr>
              <w:t>Nine Months Ended</w:t>
            </w:r>
          </w:p>
        </w:tc>
        <w:tc>
          <w:tcPr>
            <w:tcW w:w="740" w:type="dxa"/>
            <w:vAlign w:val="bottom"/>
            <w:shd w:val="clear" w:color="auto" w:fill="232F84"/>
          </w:tcPr>
          <w:p>
            <w:pPr>
              <w:spacing w:after="0"/>
              <w:rPr>
                <w:sz w:val="14"/>
                <w:szCs w:val="14"/>
                <w:color w:val="auto"/>
              </w:rPr>
            </w:pPr>
          </w:p>
        </w:tc>
      </w:tr>
      <w:tr>
        <w:trPr>
          <w:trHeight w:val="195"/>
        </w:trPr>
        <w:tc>
          <w:tcPr>
            <w:tcW w:w="442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center"/>
              <w:ind w:left="91"/>
              <w:spacing w:after="0"/>
              <w:rPr>
                <w:sz w:val="20"/>
                <w:szCs w:val="20"/>
                <w:color w:val="auto"/>
              </w:rPr>
            </w:pPr>
            <w:r>
              <w:rPr>
                <w:rFonts w:ascii="Arial" w:cs="Arial" w:eastAsia="Arial" w:hAnsi="Arial"/>
                <w:sz w:val="14"/>
                <w:szCs w:val="14"/>
                <w:b w:val="1"/>
                <w:bCs w:val="1"/>
                <w:color w:val="FFFFFF"/>
                <w:w w:val="97"/>
              </w:rPr>
              <w:t>July 31,</w:t>
            </w:r>
          </w:p>
        </w:tc>
        <w:tc>
          <w:tcPr>
            <w:tcW w:w="80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center"/>
              <w:ind w:left="111"/>
              <w:spacing w:after="0"/>
              <w:rPr>
                <w:sz w:val="20"/>
                <w:szCs w:val="20"/>
                <w:color w:val="auto"/>
              </w:rPr>
            </w:pPr>
            <w:r>
              <w:rPr>
                <w:rFonts w:ascii="Arial" w:cs="Arial" w:eastAsia="Arial" w:hAnsi="Arial"/>
                <w:sz w:val="14"/>
                <w:szCs w:val="14"/>
                <w:b w:val="1"/>
                <w:bCs w:val="1"/>
                <w:color w:val="FFFFFF"/>
                <w:w w:val="97"/>
              </w:rPr>
              <w:t>July 31,</w:t>
            </w:r>
          </w:p>
        </w:tc>
        <w:tc>
          <w:tcPr>
            <w:tcW w:w="740" w:type="dxa"/>
            <w:vAlign w:val="bottom"/>
            <w:shd w:val="clear" w:color="auto" w:fill="232F84"/>
          </w:tcPr>
          <w:p>
            <w:pPr>
              <w:spacing w:after="0"/>
              <w:rPr>
                <w:sz w:val="17"/>
                <w:szCs w:val="17"/>
                <w:color w:val="auto"/>
              </w:rPr>
            </w:pPr>
          </w:p>
        </w:tc>
      </w:tr>
      <w:tr>
        <w:trPr>
          <w:trHeight w:val="216"/>
        </w:trPr>
        <w:tc>
          <w:tcPr>
            <w:tcW w:w="4420" w:type="dxa"/>
            <w:vAlign w:val="bottom"/>
            <w:shd w:val="clear" w:color="auto" w:fill="232F84"/>
          </w:tcPr>
          <w:p>
            <w:pPr>
              <w:spacing w:after="0"/>
              <w:rPr>
                <w:sz w:val="18"/>
                <w:szCs w:val="18"/>
                <w:color w:val="auto"/>
              </w:rPr>
            </w:pPr>
          </w:p>
        </w:tc>
        <w:tc>
          <w:tcPr>
            <w:tcW w:w="540" w:type="dxa"/>
            <w:vAlign w:val="bottom"/>
            <w:shd w:val="clear" w:color="auto" w:fill="232F84"/>
          </w:tcPr>
          <w:p>
            <w:pPr>
              <w:spacing w:after="0"/>
              <w:rPr>
                <w:sz w:val="18"/>
                <w:szCs w:val="18"/>
                <w:color w:val="auto"/>
              </w:rPr>
            </w:pPr>
          </w:p>
        </w:tc>
        <w:tc>
          <w:tcPr>
            <w:tcW w:w="110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8"/>
                <w:szCs w:val="18"/>
                <w:color w:val="auto"/>
              </w:rPr>
            </w:pPr>
          </w:p>
        </w:tc>
        <w:tc>
          <w:tcPr>
            <w:tcW w:w="800" w:type="dxa"/>
            <w:vAlign w:val="bottom"/>
            <w:shd w:val="clear" w:color="auto" w:fill="232F84"/>
          </w:tcPr>
          <w:p>
            <w:pPr>
              <w:jc w:val="right"/>
              <w:ind w:right="131"/>
              <w:spacing w:after="0"/>
              <w:rPr>
                <w:sz w:val="20"/>
                <w:szCs w:val="20"/>
                <w:color w:val="auto"/>
              </w:rPr>
            </w:pPr>
            <w:r>
              <w:rPr>
                <w:rFonts w:ascii="Arial" w:cs="Arial" w:eastAsia="Arial" w:hAnsi="Arial"/>
                <w:sz w:val="14"/>
                <w:szCs w:val="14"/>
                <w:b w:val="1"/>
                <w:bCs w:val="1"/>
                <w:color w:val="FFFFFF"/>
              </w:rPr>
              <w:t>2020</w:t>
            </w:r>
          </w:p>
        </w:tc>
        <w:tc>
          <w:tcPr>
            <w:tcW w:w="640" w:type="dxa"/>
            <w:vAlign w:val="bottom"/>
            <w:shd w:val="clear" w:color="auto" w:fill="232F84"/>
          </w:tcPr>
          <w:p>
            <w:pPr>
              <w:spacing w:after="0"/>
              <w:rPr>
                <w:sz w:val="18"/>
                <w:szCs w:val="18"/>
                <w:color w:val="auto"/>
              </w:rPr>
            </w:pPr>
          </w:p>
        </w:tc>
        <w:tc>
          <w:tcPr>
            <w:tcW w:w="1120" w:type="dxa"/>
            <w:vAlign w:val="bottom"/>
            <w:shd w:val="clear" w:color="auto" w:fill="232F84"/>
          </w:tcPr>
          <w:p>
            <w:pPr>
              <w:jc w:val="right"/>
              <w:ind w:right="91"/>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8"/>
                <w:szCs w:val="18"/>
                <w:color w:val="auto"/>
              </w:rPr>
            </w:pPr>
          </w:p>
        </w:tc>
        <w:tc>
          <w:tcPr>
            <w:tcW w:w="74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442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Provision for income taxes (in millions)</w:t>
            </w:r>
          </w:p>
        </w:tc>
        <w:tc>
          <w:tcPr>
            <w:tcW w:w="540" w:type="dxa"/>
            <w:vAlign w:val="bottom"/>
            <w:shd w:val="clear" w:color="auto" w:fill="43C0B9"/>
          </w:tcPr>
          <w:p>
            <w:pPr>
              <w:jc w:val="right"/>
              <w:ind w:right="39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43C0B9"/>
          </w:tcPr>
          <w:p>
            <w:pPr>
              <w:jc w:val="right"/>
              <w:ind w:right="151"/>
              <w:spacing w:after="0"/>
              <w:rPr>
                <w:sz w:val="20"/>
                <w:szCs w:val="20"/>
                <w:color w:val="auto"/>
              </w:rPr>
            </w:pPr>
            <w:r>
              <w:rPr>
                <w:rFonts w:ascii="Arial" w:cs="Arial" w:eastAsia="Arial" w:hAnsi="Arial"/>
                <w:sz w:val="14"/>
                <w:szCs w:val="14"/>
                <w:color w:val="auto"/>
              </w:rPr>
              <w:t>5.9</w:t>
            </w:r>
          </w:p>
        </w:tc>
        <w:tc>
          <w:tcPr>
            <w:tcW w:w="960" w:type="dxa"/>
            <w:vAlign w:val="bottom"/>
            <w:shd w:val="clear" w:color="auto" w:fill="43C0B9"/>
          </w:tcPr>
          <w:p>
            <w:pPr>
              <w:jc w:val="right"/>
              <w:ind w:right="751"/>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191"/>
              <w:spacing w:after="0"/>
              <w:rPr>
                <w:sz w:val="20"/>
                <w:szCs w:val="20"/>
                <w:color w:val="auto"/>
              </w:rPr>
            </w:pPr>
            <w:r>
              <w:rPr>
                <w:rFonts w:ascii="Arial" w:cs="Arial" w:eastAsia="Arial" w:hAnsi="Arial"/>
                <w:sz w:val="14"/>
                <w:szCs w:val="14"/>
                <w:color w:val="auto"/>
              </w:rPr>
              <w:t>6.2</w:t>
            </w:r>
          </w:p>
        </w:tc>
        <w:tc>
          <w:tcPr>
            <w:tcW w:w="640" w:type="dxa"/>
            <w:vAlign w:val="bottom"/>
            <w:shd w:val="clear" w:color="auto" w:fill="43C0B9"/>
          </w:tcPr>
          <w:p>
            <w:pPr>
              <w:jc w:val="right"/>
              <w:ind w:right="391"/>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ind w:left="620"/>
              <w:spacing w:after="0"/>
              <w:rPr>
                <w:sz w:val="20"/>
                <w:szCs w:val="20"/>
                <w:color w:val="auto"/>
              </w:rPr>
            </w:pPr>
            <w:r>
              <w:rPr>
                <w:rFonts w:ascii="Arial" w:cs="Arial" w:eastAsia="Arial" w:hAnsi="Arial"/>
                <w:sz w:val="14"/>
                <w:szCs w:val="14"/>
                <w:color w:val="auto"/>
              </w:rPr>
              <w:t>15.3</w:t>
            </w:r>
          </w:p>
        </w:tc>
        <w:tc>
          <w:tcPr>
            <w:tcW w:w="92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ind w:left="300"/>
              <w:spacing w:after="0"/>
              <w:rPr>
                <w:sz w:val="20"/>
                <w:szCs w:val="20"/>
                <w:color w:val="auto"/>
              </w:rPr>
            </w:pPr>
            <w:r>
              <w:rPr>
                <w:rFonts w:ascii="Arial" w:cs="Arial" w:eastAsia="Arial" w:hAnsi="Arial"/>
                <w:sz w:val="14"/>
                <w:szCs w:val="14"/>
                <w:color w:val="auto"/>
              </w:rPr>
              <w:t>10.4</w:t>
            </w:r>
          </w:p>
        </w:tc>
      </w:tr>
      <w:tr>
        <w:trPr>
          <w:trHeight w:val="20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24.3 %</w:t>
            </w:r>
          </w:p>
        </w:tc>
        <w:tc>
          <w:tcPr>
            <w:tcW w:w="9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20.9 %</w:t>
            </w: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35.3 %</w:t>
            </w: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6"/>
              </w:rPr>
              <w:t>51.0 %</w:t>
            </w:r>
          </w:p>
        </w:tc>
      </w:tr>
    </w:tbl>
    <w:p>
      <w:pPr>
        <w:spacing w:after="0" w:line="285" w:lineRule="exact"/>
        <w:rPr>
          <w:sz w:val="20"/>
          <w:szCs w:val="20"/>
          <w:color w:val="auto"/>
        </w:rPr>
      </w:pPr>
    </w:p>
    <w:p>
      <w:pPr>
        <w:jc w:val="both"/>
        <w:ind w:right="20" w:firstLine="619"/>
        <w:spacing w:after="0" w:line="260" w:lineRule="auto"/>
        <w:rPr>
          <w:sz w:val="20"/>
          <w:szCs w:val="20"/>
          <w:color w:val="auto"/>
        </w:rPr>
      </w:pPr>
      <w:r>
        <w:rPr>
          <w:rFonts w:ascii="Arial" w:cs="Arial" w:eastAsia="Arial" w:hAnsi="Arial"/>
          <w:sz w:val="15"/>
          <w:szCs w:val="15"/>
          <w:color w:val="auto"/>
        </w:rPr>
        <w:t>The provision for income taxes decreased $0.3 million or 5% in the three months ended July 31, 2021 compared to the same period last year, primarily due to lower pre-tax income. The impact was partially offset by foreign exchange losses recorded in our Mexico and Peru subsidiaries that are nondeductible for income tax purposes.</w:t>
      </w:r>
    </w:p>
    <w:p>
      <w:pPr>
        <w:spacing w:after="0" w:line="187" w:lineRule="exact"/>
        <w:rPr>
          <w:sz w:val="20"/>
          <w:szCs w:val="20"/>
          <w:color w:val="auto"/>
        </w:rPr>
      </w:pPr>
    </w:p>
    <w:p>
      <w:pPr>
        <w:ind w:right="20" w:firstLine="619"/>
        <w:spacing w:after="0" w:line="254" w:lineRule="auto"/>
        <w:rPr>
          <w:sz w:val="20"/>
          <w:szCs w:val="20"/>
          <w:color w:val="auto"/>
        </w:rPr>
      </w:pPr>
      <w:r>
        <w:rPr>
          <w:rFonts w:ascii="Arial" w:cs="Arial" w:eastAsia="Arial" w:hAnsi="Arial"/>
          <w:sz w:val="15"/>
          <w:szCs w:val="15"/>
          <w:color w:val="auto"/>
        </w:rPr>
        <w:t>The provision for income taxes increased $4.9 million or 47% in the nine months ended July 31, 2021 compared to the same period last year, primarily due to the impact of discrete items. During the nine months ended July 31, 2021, we recognized discrete deferred tax expense of $5.1 million related to the remeasurement of our deferred tax liabilities in Peru due to the enactment of tax rate changes for future years. During the nine months ended July 31, 2020, we recognized $1.6 million in discrete charges in relation to foreign exchange gains recorded in our Mexico subsidiary that are nondeductible for income tax purposes, partially offset by a discrete tax benefit of $1.2 million related to net operating loss carrybacks that can be applied to higher tax rate years as a result of enactment of the CARES Act. Our effective tax rate for both the nine months ended July 31, 2021 and 2020 was negatively impacted by the discrete items previously mentioned, as well as by a $21.2 million impairment of Moruga, which was nondeductible for income tax purposes.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232F84"/>
        </w:rPr>
        <w:t>Segment Results of Operations</w:t>
      </w:r>
    </w:p>
    <w:p>
      <w:pPr>
        <w:spacing w:after="0" w:line="236" w:lineRule="exact"/>
        <w:rPr>
          <w:sz w:val="20"/>
          <w:szCs w:val="20"/>
          <w:color w:val="auto"/>
        </w:rPr>
      </w:pPr>
    </w:p>
    <w:p>
      <w:pPr>
        <w:ind w:right="20" w:firstLine="619"/>
        <w:spacing w:after="0" w:line="257" w:lineRule="auto"/>
        <w:rPr>
          <w:sz w:val="20"/>
          <w:szCs w:val="20"/>
          <w:color w:val="auto"/>
        </w:rPr>
      </w:pPr>
      <w:r>
        <w:rPr>
          <w:rFonts w:ascii="Arial" w:cs="Arial" w:eastAsia="Arial" w:hAnsi="Arial"/>
          <w:sz w:val="15"/>
          <w:szCs w:val="15"/>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200" w:lineRule="exact"/>
        <w:rPr>
          <w:sz w:val="20"/>
          <w:szCs w:val="20"/>
          <w:color w:val="auto"/>
        </w:rPr>
      </w:pP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0" w:name="page21"/>
    <w:bookmarkEnd w:id="20"/>
    <w:p>
      <w:pPr>
        <w:ind w:right="220" w:firstLine="619"/>
        <w:spacing w:after="0" w:line="260" w:lineRule="auto"/>
        <w:rPr>
          <w:sz w:val="20"/>
          <w:szCs w:val="20"/>
          <w:color w:val="auto"/>
        </w:rPr>
      </w:pPr>
      <w:r>
        <w:rPr>
          <w:rFonts w:ascii="Arial" w:cs="Arial" w:eastAsia="Arial" w:hAnsi="Arial"/>
          <w:sz w:val="15"/>
          <w:szCs w:val="15"/>
          <w:color w:val="auto"/>
        </w:rPr>
        <w:t>Adjusted EBITDA refers to net income (loss), before interest expense, income taxes, depreciation and amortization expense, stock-based compensation expense, other income (expense), and income (loss) from equity method investees, further adjusted by any special, non-recurring, or one-time items (asset impairment and disposals, net of insurance recoveries, impairment of equity method investment and legal settlement) that are distortive to results.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Net sales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60" w:type="dxa"/>
            <w:vAlign w:val="bottom"/>
            <w:shd w:val="clear" w:color="auto" w:fill="232F84"/>
          </w:tcPr>
          <w:p>
            <w:pPr>
              <w:spacing w:after="0"/>
              <w:rPr>
                <w:sz w:val="14"/>
                <w:szCs w:val="14"/>
                <w:color w:val="auto"/>
              </w:rPr>
            </w:pPr>
          </w:p>
        </w:tc>
        <w:tc>
          <w:tcPr>
            <w:tcW w:w="240" w:type="dxa"/>
            <w:vAlign w:val="bottom"/>
            <w:shd w:val="clear" w:color="auto" w:fill="232F84"/>
          </w:tcPr>
          <w:p>
            <w:pPr>
              <w:spacing w:after="0"/>
              <w:rPr>
                <w:sz w:val="14"/>
                <w:szCs w:val="14"/>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160" w:type="dxa"/>
            <w:vAlign w:val="bottom"/>
            <w:shd w:val="clear" w:color="auto" w:fill="232F84"/>
          </w:tcPr>
          <w:p>
            <w:pPr>
              <w:spacing w:after="0"/>
              <w:rPr>
                <w:sz w:val="14"/>
                <w:szCs w:val="14"/>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320" w:type="dxa"/>
            <w:vAlign w:val="bottom"/>
            <w:shd w:val="clear" w:color="auto" w:fill="232F84"/>
          </w:tcPr>
          <w:p>
            <w:pPr>
              <w:spacing w:after="0"/>
              <w:rPr>
                <w:sz w:val="14"/>
                <w:szCs w:val="14"/>
                <w:color w:val="auto"/>
              </w:rPr>
            </w:pPr>
          </w:p>
        </w:tc>
        <w:tc>
          <w:tcPr>
            <w:tcW w:w="920" w:type="dxa"/>
            <w:vAlign w:val="bottom"/>
            <w:shd w:val="clear" w:color="auto" w:fill="232F84"/>
          </w:tcPr>
          <w:p>
            <w:pPr>
              <w:spacing w:after="0"/>
              <w:rPr>
                <w:sz w:val="14"/>
                <w:szCs w:val="14"/>
                <w:color w:val="auto"/>
              </w:rPr>
            </w:pPr>
          </w:p>
        </w:tc>
        <w:tc>
          <w:tcPr>
            <w:tcW w:w="520" w:type="dxa"/>
            <w:vAlign w:val="bottom"/>
            <w:shd w:val="clear" w:color="auto" w:fill="232F84"/>
          </w:tcPr>
          <w:p>
            <w:pPr>
              <w:spacing w:after="0"/>
              <w:rPr>
                <w:sz w:val="14"/>
                <w:szCs w:val="14"/>
                <w:color w:val="auto"/>
              </w:rPr>
            </w:pPr>
          </w:p>
        </w:tc>
        <w:tc>
          <w:tcPr>
            <w:tcW w:w="8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100" w:type="dxa"/>
            <w:vAlign w:val="bottom"/>
            <w:shd w:val="clear" w:color="auto" w:fill="232F84"/>
          </w:tcPr>
          <w:p>
            <w:pPr>
              <w:spacing w:after="0"/>
              <w:rPr>
                <w:sz w:val="14"/>
                <w:szCs w:val="14"/>
                <w:color w:val="auto"/>
              </w:rPr>
            </w:pPr>
          </w:p>
        </w:tc>
        <w:tc>
          <w:tcPr>
            <w:tcW w:w="1080" w:type="dxa"/>
            <w:vAlign w:val="bottom"/>
            <w:gridSpan w:val="2"/>
            <w:shd w:val="clear" w:color="auto" w:fill="232F84"/>
          </w:tcPr>
          <w:p>
            <w:pPr>
              <w:jc w:val="center"/>
              <w:ind w:left="151"/>
              <w:spacing w:after="0"/>
              <w:rPr>
                <w:sz w:val="20"/>
                <w:szCs w:val="20"/>
                <w:color w:val="auto"/>
              </w:rPr>
            </w:pPr>
            <w:r>
              <w:rPr>
                <w:rFonts w:ascii="Arial" w:cs="Arial" w:eastAsia="Arial" w:hAnsi="Arial"/>
                <w:sz w:val="14"/>
                <w:szCs w:val="14"/>
                <w:b w:val="1"/>
                <w:bCs w:val="1"/>
                <w:color w:val="FFFFFF"/>
                <w:w w:val="97"/>
              </w:rPr>
              <w:t>International</w:t>
            </w:r>
          </w:p>
        </w:tc>
        <w:tc>
          <w:tcPr>
            <w:tcW w:w="48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160" w:type="dxa"/>
            <w:vAlign w:val="bottom"/>
            <w:shd w:val="clear" w:color="auto" w:fill="232F84"/>
          </w:tcPr>
          <w:p>
            <w:pPr>
              <w:spacing w:after="0"/>
              <w:rPr>
                <w:sz w:val="17"/>
                <w:szCs w:val="17"/>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320" w:type="dxa"/>
            <w:vAlign w:val="bottom"/>
            <w:shd w:val="clear" w:color="auto" w:fill="232F84"/>
          </w:tcPr>
          <w:p>
            <w:pPr>
              <w:spacing w:after="0"/>
              <w:rPr>
                <w:sz w:val="17"/>
                <w:szCs w:val="17"/>
                <w:color w:val="auto"/>
              </w:rPr>
            </w:pPr>
          </w:p>
        </w:tc>
        <w:tc>
          <w:tcPr>
            <w:tcW w:w="920" w:type="dxa"/>
            <w:vAlign w:val="bottom"/>
            <w:shd w:val="clear" w:color="auto" w:fill="232F84"/>
          </w:tcPr>
          <w:p>
            <w:pPr>
              <w:jc w:val="right"/>
              <w:ind w:right="11"/>
              <w:spacing w:after="0"/>
              <w:rPr>
                <w:sz w:val="20"/>
                <w:szCs w:val="20"/>
                <w:color w:val="auto"/>
              </w:rPr>
            </w:pPr>
            <w:r>
              <w:rPr>
                <w:rFonts w:ascii="Arial" w:cs="Arial" w:eastAsia="Arial" w:hAnsi="Arial"/>
                <w:sz w:val="14"/>
                <w:szCs w:val="14"/>
                <w:b w:val="1"/>
                <w:bCs w:val="1"/>
                <w:color w:val="FFFFFF"/>
              </w:rPr>
              <w:t>Total</w:t>
            </w:r>
          </w:p>
        </w:tc>
        <w:tc>
          <w:tcPr>
            <w:tcW w:w="520" w:type="dxa"/>
            <w:vAlign w:val="bottom"/>
            <w:shd w:val="clear" w:color="auto" w:fill="232F84"/>
          </w:tcPr>
          <w:p>
            <w:pPr>
              <w:spacing w:after="0"/>
              <w:rPr>
                <w:sz w:val="17"/>
                <w:szCs w:val="17"/>
                <w:color w:val="auto"/>
              </w:rPr>
            </w:pPr>
          </w:p>
        </w:tc>
        <w:tc>
          <w:tcPr>
            <w:tcW w:w="8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100" w:type="dxa"/>
            <w:vAlign w:val="bottom"/>
            <w:shd w:val="clear" w:color="auto" w:fill="232F84"/>
          </w:tcPr>
          <w:p>
            <w:pPr>
              <w:spacing w:after="0"/>
              <w:rPr>
                <w:sz w:val="17"/>
                <w:szCs w:val="17"/>
                <w:color w:val="auto"/>
              </w:rPr>
            </w:pPr>
          </w:p>
        </w:tc>
        <w:tc>
          <w:tcPr>
            <w:tcW w:w="108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80" w:type="dxa"/>
            <w:vAlign w:val="bottom"/>
            <w:shd w:val="clear" w:color="auto" w:fill="232F84"/>
          </w:tcPr>
          <w:p>
            <w:pPr>
              <w:spacing w:after="0"/>
              <w:rPr>
                <w:sz w:val="17"/>
                <w:szCs w:val="17"/>
                <w:color w:val="auto"/>
              </w:rPr>
            </w:pPr>
          </w:p>
        </w:tc>
        <w:tc>
          <w:tcPr>
            <w:tcW w:w="7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4"/>
        </w:trPr>
        <w:tc>
          <w:tcPr>
            <w:tcW w:w="3860" w:type="dxa"/>
            <w:vAlign w:val="bottom"/>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160" w:type="dxa"/>
            <w:vAlign w:val="bottom"/>
            <w:shd w:val="clear" w:color="auto" w:fill="232F84"/>
          </w:tcPr>
          <w:p>
            <w:pPr>
              <w:spacing w:after="0"/>
              <w:rPr>
                <w:sz w:val="17"/>
                <w:szCs w:val="17"/>
                <w:color w:val="auto"/>
              </w:rPr>
            </w:pPr>
          </w:p>
        </w:tc>
        <w:tc>
          <w:tcPr>
            <w:tcW w:w="1040" w:type="dxa"/>
            <w:vAlign w:val="bottom"/>
            <w:shd w:val="clear" w:color="auto" w:fill="232F84"/>
          </w:tcPr>
          <w:p>
            <w:pPr>
              <w:spacing w:after="0"/>
              <w:rPr>
                <w:sz w:val="17"/>
                <w:szCs w:val="17"/>
                <w:color w:val="auto"/>
              </w:rPr>
            </w:pPr>
          </w:p>
        </w:tc>
        <w:tc>
          <w:tcPr>
            <w:tcW w:w="320" w:type="dxa"/>
            <w:vAlign w:val="bottom"/>
            <w:shd w:val="clear" w:color="auto" w:fill="232F84"/>
          </w:tcPr>
          <w:p>
            <w:pPr>
              <w:spacing w:after="0"/>
              <w:rPr>
                <w:sz w:val="17"/>
                <w:szCs w:val="17"/>
                <w:color w:val="auto"/>
              </w:rPr>
            </w:pPr>
          </w:p>
        </w:tc>
        <w:tc>
          <w:tcPr>
            <w:tcW w:w="2320" w:type="dxa"/>
            <w:vAlign w:val="bottom"/>
            <w:gridSpan w:val="3"/>
            <w:shd w:val="clear" w:color="auto" w:fill="232F84"/>
          </w:tcPr>
          <w:p>
            <w:pPr>
              <w:jc w:val="right"/>
              <w:ind w:right="311"/>
              <w:spacing w:after="0"/>
              <w:rPr>
                <w:sz w:val="20"/>
                <w:szCs w:val="20"/>
                <w:color w:val="auto"/>
              </w:rPr>
            </w:pPr>
            <w:r>
              <w:rPr>
                <w:rFonts w:ascii="Arial" w:cs="Arial" w:eastAsia="Arial" w:hAnsi="Arial"/>
                <w:sz w:val="14"/>
                <w:szCs w:val="14"/>
                <w:b w:val="1"/>
                <w:bCs w:val="1"/>
                <w:color w:val="FFFFFF"/>
                <w:w w:val="99"/>
              </w:rPr>
              <w:t>Three Months Ended July 31,</w:t>
            </w:r>
          </w:p>
        </w:tc>
        <w:tc>
          <w:tcPr>
            <w:tcW w:w="100" w:type="dxa"/>
            <w:vAlign w:val="bottom"/>
            <w:shd w:val="clear" w:color="auto" w:fill="232F84"/>
          </w:tcPr>
          <w:p>
            <w:pPr>
              <w:spacing w:after="0"/>
              <w:rPr>
                <w:sz w:val="17"/>
                <w:szCs w:val="17"/>
                <w:color w:val="auto"/>
              </w:rPr>
            </w:pPr>
          </w:p>
        </w:tc>
        <w:tc>
          <w:tcPr>
            <w:tcW w:w="660" w:type="dxa"/>
            <w:vAlign w:val="bottom"/>
            <w:shd w:val="clear" w:color="auto" w:fill="232F84"/>
          </w:tcPr>
          <w:p>
            <w:pPr>
              <w:spacing w:after="0"/>
              <w:rPr>
                <w:sz w:val="17"/>
                <w:szCs w:val="17"/>
                <w:color w:val="auto"/>
              </w:rPr>
            </w:pPr>
          </w:p>
        </w:tc>
        <w:tc>
          <w:tcPr>
            <w:tcW w:w="42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70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60" w:type="dxa"/>
            <w:vAlign w:val="bottom"/>
            <w:vMerge w:val="restart"/>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40" w:type="dxa"/>
            <w:vAlign w:val="bottom"/>
            <w:shd w:val="clear" w:color="auto" w:fill="232F84"/>
          </w:tcPr>
          <w:p>
            <w:pPr>
              <w:spacing w:after="0"/>
              <w:rPr>
                <w:sz w:val="2"/>
                <w:szCs w:val="2"/>
                <w:color w:val="auto"/>
              </w:rPr>
            </w:pPr>
          </w:p>
        </w:tc>
        <w:tc>
          <w:tcPr>
            <w:tcW w:w="940" w:type="dxa"/>
            <w:vAlign w:val="bottom"/>
            <w:shd w:val="clear" w:color="auto" w:fill="232F84"/>
          </w:tcPr>
          <w:p>
            <w:pPr>
              <w:spacing w:after="0"/>
              <w:rPr>
                <w:sz w:val="2"/>
                <w:szCs w:val="2"/>
                <w:color w:val="auto"/>
              </w:rPr>
            </w:pPr>
          </w:p>
        </w:tc>
        <w:tc>
          <w:tcPr>
            <w:tcW w:w="160" w:type="dxa"/>
            <w:vAlign w:val="bottom"/>
            <w:shd w:val="clear" w:color="auto" w:fill="232F84"/>
          </w:tcPr>
          <w:p>
            <w:pPr>
              <w:spacing w:after="0"/>
              <w:rPr>
                <w:sz w:val="2"/>
                <w:szCs w:val="2"/>
                <w:color w:val="auto"/>
              </w:rPr>
            </w:pPr>
          </w:p>
        </w:tc>
        <w:tc>
          <w:tcPr>
            <w:tcW w:w="1040" w:type="dxa"/>
            <w:vAlign w:val="bottom"/>
            <w:shd w:val="clear" w:color="auto" w:fill="232F84"/>
          </w:tcPr>
          <w:p>
            <w:pPr>
              <w:spacing w:after="0"/>
              <w:rPr>
                <w:sz w:val="2"/>
                <w:szCs w:val="2"/>
                <w:color w:val="auto"/>
              </w:rPr>
            </w:pPr>
          </w:p>
        </w:tc>
        <w:tc>
          <w:tcPr>
            <w:tcW w:w="320" w:type="dxa"/>
            <w:vAlign w:val="bottom"/>
            <w:shd w:val="clear" w:color="auto" w:fill="232F84"/>
          </w:tcPr>
          <w:p>
            <w:pPr>
              <w:spacing w:after="0"/>
              <w:rPr>
                <w:sz w:val="2"/>
                <w:szCs w:val="2"/>
                <w:color w:val="auto"/>
              </w:rPr>
            </w:pPr>
          </w:p>
        </w:tc>
        <w:tc>
          <w:tcPr>
            <w:tcW w:w="920" w:type="dxa"/>
            <w:vAlign w:val="bottom"/>
            <w:shd w:val="clear" w:color="auto" w:fill="232F84"/>
          </w:tcPr>
          <w:p>
            <w:pPr>
              <w:spacing w:after="0"/>
              <w:rPr>
                <w:sz w:val="2"/>
                <w:szCs w:val="2"/>
                <w:color w:val="auto"/>
              </w:rPr>
            </w:pPr>
          </w:p>
        </w:tc>
        <w:tc>
          <w:tcPr>
            <w:tcW w:w="520" w:type="dxa"/>
            <w:vAlign w:val="bottom"/>
            <w:shd w:val="clear" w:color="auto" w:fill="232F84"/>
          </w:tcPr>
          <w:p>
            <w:pPr>
              <w:spacing w:after="0"/>
              <w:rPr>
                <w:sz w:val="2"/>
                <w:szCs w:val="2"/>
                <w:color w:val="auto"/>
              </w:rPr>
            </w:pPr>
          </w:p>
        </w:tc>
        <w:tc>
          <w:tcPr>
            <w:tcW w:w="880" w:type="dxa"/>
            <w:vAlign w:val="bottom"/>
            <w:shd w:val="clear" w:color="auto" w:fill="232F84"/>
          </w:tcPr>
          <w:p>
            <w:pPr>
              <w:spacing w:after="0"/>
              <w:rPr>
                <w:sz w:val="2"/>
                <w:szCs w:val="2"/>
                <w:color w:val="auto"/>
              </w:rPr>
            </w:pPr>
          </w:p>
        </w:tc>
        <w:tc>
          <w:tcPr>
            <w:tcW w:w="100" w:type="dxa"/>
            <w:vAlign w:val="bottom"/>
            <w:shd w:val="clear" w:color="auto" w:fill="232F84"/>
          </w:tcPr>
          <w:p>
            <w:pPr>
              <w:spacing w:after="0"/>
              <w:rPr>
                <w:sz w:val="2"/>
                <w:szCs w:val="2"/>
                <w:color w:val="auto"/>
              </w:rPr>
            </w:pPr>
          </w:p>
        </w:tc>
        <w:tc>
          <w:tcPr>
            <w:tcW w:w="660" w:type="dxa"/>
            <w:vAlign w:val="bottom"/>
            <w:shd w:val="clear" w:color="auto" w:fill="232F84"/>
          </w:tcPr>
          <w:p>
            <w:pPr>
              <w:spacing w:after="0"/>
              <w:rPr>
                <w:sz w:val="2"/>
                <w:szCs w:val="2"/>
                <w:color w:val="auto"/>
              </w:rPr>
            </w:pPr>
          </w:p>
        </w:tc>
        <w:tc>
          <w:tcPr>
            <w:tcW w:w="420" w:type="dxa"/>
            <w:vAlign w:val="bottom"/>
            <w:shd w:val="clear" w:color="auto" w:fill="232F84"/>
          </w:tcPr>
          <w:p>
            <w:pPr>
              <w:spacing w:after="0"/>
              <w:rPr>
                <w:sz w:val="2"/>
                <w:szCs w:val="2"/>
                <w:color w:val="auto"/>
              </w:rPr>
            </w:pPr>
          </w:p>
        </w:tc>
        <w:tc>
          <w:tcPr>
            <w:tcW w:w="480" w:type="dxa"/>
            <w:vAlign w:val="bottom"/>
            <w:shd w:val="clear" w:color="auto" w:fill="232F84"/>
          </w:tcPr>
          <w:p>
            <w:pPr>
              <w:spacing w:after="0"/>
              <w:rPr>
                <w:sz w:val="2"/>
                <w:szCs w:val="2"/>
                <w:color w:val="auto"/>
              </w:rPr>
            </w:pPr>
          </w:p>
        </w:tc>
        <w:tc>
          <w:tcPr>
            <w:tcW w:w="700" w:type="dxa"/>
            <w:vAlign w:val="bottom"/>
            <w:shd w:val="clear" w:color="auto" w:fill="232F8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60" w:type="dxa"/>
            <w:vAlign w:val="bottom"/>
            <w:vMerge w:val="continue"/>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160" w:type="dxa"/>
            <w:vAlign w:val="bottom"/>
            <w:shd w:val="clear" w:color="auto" w:fill="232F84"/>
          </w:tcPr>
          <w:p>
            <w:pPr>
              <w:spacing w:after="0"/>
              <w:rPr>
                <w:sz w:val="17"/>
                <w:szCs w:val="17"/>
                <w:color w:val="auto"/>
              </w:rPr>
            </w:pPr>
          </w:p>
        </w:tc>
        <w:tc>
          <w:tcPr>
            <w:tcW w:w="1040" w:type="dxa"/>
            <w:vAlign w:val="bottom"/>
            <w:shd w:val="clear" w:color="auto" w:fill="232F84"/>
          </w:tcPr>
          <w:p>
            <w:pPr>
              <w:jc w:val="right"/>
              <w:ind w:right="391"/>
              <w:spacing w:after="0"/>
              <w:rPr>
                <w:sz w:val="20"/>
                <w:szCs w:val="20"/>
                <w:color w:val="auto"/>
              </w:rPr>
            </w:pPr>
            <w:r>
              <w:rPr>
                <w:rFonts w:ascii="Arial" w:cs="Arial" w:eastAsia="Arial" w:hAnsi="Arial"/>
                <w:sz w:val="14"/>
                <w:szCs w:val="14"/>
                <w:b w:val="1"/>
                <w:bCs w:val="1"/>
                <w:color w:val="FFFFFF"/>
              </w:rPr>
              <w:t>2021</w:t>
            </w:r>
          </w:p>
        </w:tc>
        <w:tc>
          <w:tcPr>
            <w:tcW w:w="320" w:type="dxa"/>
            <w:vAlign w:val="bottom"/>
            <w:shd w:val="clear" w:color="auto" w:fill="232F84"/>
          </w:tcPr>
          <w:p>
            <w:pPr>
              <w:spacing w:after="0"/>
              <w:rPr>
                <w:sz w:val="17"/>
                <w:szCs w:val="17"/>
                <w:color w:val="auto"/>
              </w:rPr>
            </w:pPr>
          </w:p>
        </w:tc>
        <w:tc>
          <w:tcPr>
            <w:tcW w:w="92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880" w:type="dxa"/>
            <w:vAlign w:val="bottom"/>
            <w:shd w:val="clear" w:color="auto" w:fill="232F84"/>
          </w:tcPr>
          <w:p>
            <w:pPr>
              <w:spacing w:after="0"/>
              <w:rPr>
                <w:sz w:val="17"/>
                <w:szCs w:val="17"/>
                <w:color w:val="auto"/>
              </w:rPr>
            </w:pPr>
          </w:p>
        </w:tc>
        <w:tc>
          <w:tcPr>
            <w:tcW w:w="100" w:type="dxa"/>
            <w:vAlign w:val="bottom"/>
            <w:shd w:val="clear" w:color="auto" w:fill="232F84"/>
          </w:tcPr>
          <w:p>
            <w:pPr>
              <w:spacing w:after="0"/>
              <w:rPr>
                <w:sz w:val="17"/>
                <w:szCs w:val="17"/>
                <w:color w:val="auto"/>
              </w:rPr>
            </w:pPr>
          </w:p>
        </w:tc>
        <w:tc>
          <w:tcPr>
            <w:tcW w:w="6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70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Third party sales</w:t>
            </w:r>
          </w:p>
        </w:tc>
        <w:tc>
          <w:tcPr>
            <w:tcW w:w="24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239.6</w:t>
            </w:r>
          </w:p>
        </w:tc>
        <w:tc>
          <w:tcPr>
            <w:tcW w:w="1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7.2</w:t>
            </w:r>
          </w:p>
        </w:tc>
        <w:tc>
          <w:tcPr>
            <w:tcW w:w="320" w:type="dxa"/>
            <w:vAlign w:val="bottom"/>
            <w:shd w:val="clear" w:color="auto" w:fill="43C0B9"/>
          </w:tcPr>
          <w:p>
            <w:pPr>
              <w:jc w:val="right"/>
              <w:ind w:right="1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246.8</w:t>
            </w:r>
          </w:p>
        </w:tc>
        <w:tc>
          <w:tcPr>
            <w:tcW w:w="520" w:type="dxa"/>
            <w:vAlign w:val="bottom"/>
            <w:shd w:val="clear" w:color="auto" w:fill="43C0B9"/>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43C0B9"/>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43C0B9"/>
          </w:tcPr>
          <w:p>
            <w:pPr>
              <w:spacing w:after="0"/>
              <w:rPr>
                <w:sz w:val="17"/>
                <w:szCs w:val="17"/>
                <w:color w:val="auto"/>
              </w:rPr>
            </w:pPr>
          </w:p>
        </w:tc>
        <w:tc>
          <w:tcPr>
            <w:tcW w:w="4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5.5</w:t>
            </w:r>
          </w:p>
        </w:tc>
        <w:tc>
          <w:tcPr>
            <w:tcW w:w="480" w:type="dxa"/>
            <w:vAlign w:val="bottom"/>
            <w:shd w:val="clear" w:color="auto" w:fill="43C0B9"/>
          </w:tcPr>
          <w:p>
            <w:pPr>
              <w:jc w:val="right"/>
              <w:ind w:right="3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58.9</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5"/>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segment sales</w:t>
            </w:r>
          </w:p>
        </w:tc>
        <w:tc>
          <w:tcPr>
            <w:tcW w:w="240" w:type="dxa"/>
            <w:vAlign w:val="bottom"/>
            <w:shd w:val="clear" w:color="auto" w:fill="43C0B9"/>
          </w:tcPr>
          <w:p>
            <w:pPr>
              <w:spacing w:after="0"/>
              <w:rPr>
                <w:sz w:val="17"/>
                <w:szCs w:val="17"/>
                <w:color w:val="auto"/>
              </w:rPr>
            </w:pPr>
          </w:p>
        </w:tc>
        <w:tc>
          <w:tcPr>
            <w:tcW w:w="9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239.6</w:t>
            </w:r>
          </w:p>
        </w:tc>
        <w:tc>
          <w:tcPr>
            <w:tcW w:w="160" w:type="dxa"/>
            <w:vAlign w:val="bottom"/>
            <w:shd w:val="clear" w:color="auto" w:fill="43C0B9"/>
          </w:tcPr>
          <w:p>
            <w:pPr>
              <w:spacing w:after="0"/>
              <w:rPr>
                <w:sz w:val="17"/>
                <w:szCs w:val="17"/>
                <w:color w:val="auto"/>
              </w:rPr>
            </w:pP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66.1</w:t>
            </w:r>
          </w:p>
        </w:tc>
        <w:tc>
          <w:tcPr>
            <w:tcW w:w="320" w:type="dxa"/>
            <w:vAlign w:val="bottom"/>
            <w:shd w:val="clear" w:color="auto" w:fill="43C0B9"/>
          </w:tcPr>
          <w:p>
            <w:pPr>
              <w:spacing w:after="0"/>
              <w:rPr>
                <w:sz w:val="17"/>
                <w:szCs w:val="17"/>
                <w:color w:val="auto"/>
              </w:rPr>
            </w:pPr>
          </w:p>
        </w:tc>
        <w:tc>
          <w:tcPr>
            <w:tcW w:w="92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305.7</w:t>
            </w:r>
          </w:p>
        </w:tc>
        <w:tc>
          <w:tcPr>
            <w:tcW w:w="520" w:type="dxa"/>
            <w:vAlign w:val="bottom"/>
            <w:shd w:val="clear" w:color="auto" w:fill="43C0B9"/>
          </w:tcPr>
          <w:p>
            <w:pPr>
              <w:spacing w:after="0"/>
              <w:rPr>
                <w:sz w:val="17"/>
                <w:szCs w:val="17"/>
                <w:color w:val="auto"/>
              </w:rPr>
            </w:pPr>
          </w:p>
        </w:tc>
        <w:tc>
          <w:tcPr>
            <w:tcW w:w="8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43C0B9"/>
          </w:tcPr>
          <w:p>
            <w:pPr>
              <w:spacing w:after="0"/>
              <w:rPr>
                <w:sz w:val="17"/>
                <w:szCs w:val="17"/>
                <w:color w:val="auto"/>
              </w:rPr>
            </w:pPr>
          </w:p>
        </w:tc>
        <w:tc>
          <w:tcPr>
            <w:tcW w:w="660" w:type="dxa"/>
            <w:vAlign w:val="bottom"/>
            <w:shd w:val="clear" w:color="auto" w:fill="43C0B9"/>
          </w:tcPr>
          <w:p>
            <w:pPr>
              <w:spacing w:after="0"/>
              <w:rPr>
                <w:sz w:val="17"/>
                <w:szCs w:val="17"/>
                <w:color w:val="auto"/>
              </w:rPr>
            </w:pPr>
          </w:p>
        </w:tc>
        <w:tc>
          <w:tcPr>
            <w:tcW w:w="4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54.4</w:t>
            </w:r>
          </w:p>
        </w:tc>
        <w:tc>
          <w:tcPr>
            <w:tcW w:w="480" w:type="dxa"/>
            <w:vAlign w:val="bottom"/>
            <w:shd w:val="clear" w:color="auto" w:fill="43C0B9"/>
          </w:tcPr>
          <w:p>
            <w:pPr>
              <w:spacing w:after="0"/>
              <w:rPr>
                <w:sz w:val="17"/>
                <w:szCs w:val="17"/>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(58.9)</w:t>
            </w: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8"/>
              </w:rPr>
              <w:t>(48.9)</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99"/>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net sales</w:t>
            </w:r>
          </w:p>
        </w:tc>
        <w:tc>
          <w:tcPr>
            <w:tcW w:w="240" w:type="dxa"/>
            <w:vAlign w:val="bottom"/>
            <w:shd w:val="clear" w:color="auto" w:fill="43C0B9"/>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239.6</w:t>
            </w:r>
          </w:p>
        </w:tc>
        <w:tc>
          <w:tcPr>
            <w:tcW w:w="1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7.2</w:t>
            </w:r>
          </w:p>
        </w:tc>
        <w:tc>
          <w:tcPr>
            <w:tcW w:w="320" w:type="dxa"/>
            <w:vAlign w:val="bottom"/>
            <w:shd w:val="clear" w:color="auto" w:fill="43C0B9"/>
          </w:tcPr>
          <w:p>
            <w:pPr>
              <w:jc w:val="right"/>
              <w:ind w:right="17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246.8</w:t>
            </w:r>
          </w:p>
        </w:tc>
        <w:tc>
          <w:tcPr>
            <w:tcW w:w="520" w:type="dxa"/>
            <w:vAlign w:val="bottom"/>
            <w:shd w:val="clear" w:color="auto" w:fill="43C0B9"/>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43C0B9"/>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43C0B9"/>
          </w:tcPr>
          <w:p>
            <w:pPr>
              <w:spacing w:after="0"/>
              <w:rPr>
                <w:sz w:val="17"/>
                <w:szCs w:val="17"/>
                <w:color w:val="auto"/>
              </w:rPr>
            </w:pPr>
          </w:p>
        </w:tc>
        <w:tc>
          <w:tcPr>
            <w:tcW w:w="4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5.5</w:t>
            </w:r>
          </w:p>
        </w:tc>
        <w:tc>
          <w:tcPr>
            <w:tcW w:w="480" w:type="dxa"/>
            <w:vAlign w:val="bottom"/>
            <w:shd w:val="clear" w:color="auto" w:fill="43C0B9"/>
          </w:tcPr>
          <w:p>
            <w:pPr>
              <w:jc w:val="right"/>
              <w:ind w:right="3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16"/>
        </w:trPr>
        <w:tc>
          <w:tcPr>
            <w:tcW w:w="3860" w:type="dxa"/>
            <w:vAlign w:val="bottom"/>
            <w:shd w:val="clear" w:color="auto" w:fill="232F84"/>
          </w:tcPr>
          <w:p>
            <w:pPr>
              <w:spacing w:after="0"/>
              <w:rPr>
                <w:sz w:val="18"/>
                <w:szCs w:val="18"/>
                <w:color w:val="auto"/>
              </w:rPr>
            </w:pPr>
          </w:p>
        </w:tc>
        <w:tc>
          <w:tcPr>
            <w:tcW w:w="24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160" w:type="dxa"/>
            <w:vAlign w:val="bottom"/>
            <w:shd w:val="clear" w:color="auto" w:fill="232F84"/>
          </w:tcPr>
          <w:p>
            <w:pPr>
              <w:spacing w:after="0"/>
              <w:rPr>
                <w:sz w:val="18"/>
                <w:szCs w:val="18"/>
                <w:color w:val="auto"/>
              </w:rPr>
            </w:pPr>
          </w:p>
        </w:tc>
        <w:tc>
          <w:tcPr>
            <w:tcW w:w="1040" w:type="dxa"/>
            <w:vAlign w:val="bottom"/>
            <w:shd w:val="clear" w:color="auto" w:fill="232F84"/>
          </w:tcPr>
          <w:p>
            <w:pPr>
              <w:spacing w:after="0"/>
              <w:rPr>
                <w:sz w:val="18"/>
                <w:szCs w:val="18"/>
                <w:color w:val="auto"/>
              </w:rPr>
            </w:pPr>
          </w:p>
        </w:tc>
        <w:tc>
          <w:tcPr>
            <w:tcW w:w="320" w:type="dxa"/>
            <w:vAlign w:val="bottom"/>
            <w:shd w:val="clear" w:color="auto" w:fill="232F84"/>
          </w:tcPr>
          <w:p>
            <w:pPr>
              <w:spacing w:after="0"/>
              <w:rPr>
                <w:sz w:val="18"/>
                <w:szCs w:val="18"/>
                <w:color w:val="auto"/>
              </w:rPr>
            </w:pPr>
          </w:p>
        </w:tc>
        <w:tc>
          <w:tcPr>
            <w:tcW w:w="2320" w:type="dxa"/>
            <w:vAlign w:val="bottom"/>
            <w:gridSpan w:val="3"/>
            <w:shd w:val="clear" w:color="auto" w:fill="232F84"/>
          </w:tcPr>
          <w:p>
            <w:pPr>
              <w:jc w:val="right"/>
              <w:ind w:right="351"/>
              <w:spacing w:after="0"/>
              <w:rPr>
                <w:sz w:val="20"/>
                <w:szCs w:val="20"/>
                <w:color w:val="auto"/>
              </w:rPr>
            </w:pPr>
            <w:r>
              <w:rPr>
                <w:rFonts w:ascii="Arial" w:cs="Arial" w:eastAsia="Arial" w:hAnsi="Arial"/>
                <w:sz w:val="14"/>
                <w:szCs w:val="14"/>
                <w:b w:val="1"/>
                <w:bCs w:val="1"/>
                <w:color w:val="FFFFFF"/>
              </w:rPr>
              <w:t>Nine Months Ended July 31,</w:t>
            </w:r>
          </w:p>
        </w:tc>
        <w:tc>
          <w:tcPr>
            <w:tcW w:w="100" w:type="dxa"/>
            <w:vAlign w:val="bottom"/>
            <w:shd w:val="clear" w:color="auto" w:fill="232F84"/>
          </w:tcPr>
          <w:p>
            <w:pPr>
              <w:spacing w:after="0"/>
              <w:rPr>
                <w:sz w:val="18"/>
                <w:szCs w:val="18"/>
                <w:color w:val="auto"/>
              </w:rPr>
            </w:pPr>
          </w:p>
        </w:tc>
        <w:tc>
          <w:tcPr>
            <w:tcW w:w="660" w:type="dxa"/>
            <w:vAlign w:val="bottom"/>
            <w:shd w:val="clear" w:color="auto" w:fill="232F84"/>
          </w:tcPr>
          <w:p>
            <w:pPr>
              <w:spacing w:after="0"/>
              <w:rPr>
                <w:sz w:val="18"/>
                <w:szCs w:val="18"/>
                <w:color w:val="auto"/>
              </w:rPr>
            </w:pPr>
          </w:p>
        </w:tc>
        <w:tc>
          <w:tcPr>
            <w:tcW w:w="420" w:type="dxa"/>
            <w:vAlign w:val="bottom"/>
            <w:shd w:val="clear" w:color="auto" w:fill="232F84"/>
          </w:tcPr>
          <w:p>
            <w:pPr>
              <w:spacing w:after="0"/>
              <w:rPr>
                <w:sz w:val="18"/>
                <w:szCs w:val="18"/>
                <w:color w:val="auto"/>
              </w:rPr>
            </w:pPr>
          </w:p>
        </w:tc>
        <w:tc>
          <w:tcPr>
            <w:tcW w:w="480" w:type="dxa"/>
            <w:vAlign w:val="bottom"/>
            <w:shd w:val="clear" w:color="auto" w:fill="232F84"/>
          </w:tcPr>
          <w:p>
            <w:pPr>
              <w:spacing w:after="0"/>
              <w:rPr>
                <w:sz w:val="18"/>
                <w:szCs w:val="18"/>
                <w:color w:val="auto"/>
              </w:rPr>
            </w:pPr>
          </w:p>
        </w:tc>
        <w:tc>
          <w:tcPr>
            <w:tcW w:w="70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232F84"/>
          </w:tcPr>
          <w:p>
            <w:pPr>
              <w:spacing w:after="0"/>
              <w:rPr>
                <w:sz w:val="18"/>
                <w:szCs w:val="18"/>
                <w:color w:val="auto"/>
              </w:rPr>
            </w:pPr>
          </w:p>
        </w:tc>
        <w:tc>
          <w:tcPr>
            <w:tcW w:w="24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160" w:type="dxa"/>
            <w:vAlign w:val="bottom"/>
            <w:shd w:val="clear" w:color="auto" w:fill="232F84"/>
          </w:tcPr>
          <w:p>
            <w:pPr>
              <w:spacing w:after="0"/>
              <w:rPr>
                <w:sz w:val="18"/>
                <w:szCs w:val="18"/>
                <w:color w:val="auto"/>
              </w:rPr>
            </w:pPr>
          </w:p>
        </w:tc>
        <w:tc>
          <w:tcPr>
            <w:tcW w:w="1040" w:type="dxa"/>
            <w:vAlign w:val="bottom"/>
            <w:shd w:val="clear" w:color="auto" w:fill="232F84"/>
          </w:tcPr>
          <w:p>
            <w:pPr>
              <w:jc w:val="right"/>
              <w:ind w:right="391"/>
              <w:spacing w:after="0"/>
              <w:rPr>
                <w:sz w:val="20"/>
                <w:szCs w:val="20"/>
                <w:color w:val="auto"/>
              </w:rPr>
            </w:pPr>
            <w:r>
              <w:rPr>
                <w:rFonts w:ascii="Arial" w:cs="Arial" w:eastAsia="Arial" w:hAnsi="Arial"/>
                <w:sz w:val="14"/>
                <w:szCs w:val="14"/>
                <w:b w:val="1"/>
                <w:bCs w:val="1"/>
                <w:color w:val="FFFFFF"/>
              </w:rPr>
              <w:t>2021</w:t>
            </w:r>
          </w:p>
        </w:tc>
        <w:tc>
          <w:tcPr>
            <w:tcW w:w="320" w:type="dxa"/>
            <w:vAlign w:val="bottom"/>
            <w:shd w:val="clear" w:color="auto" w:fill="232F84"/>
          </w:tcPr>
          <w:p>
            <w:pPr>
              <w:spacing w:after="0"/>
              <w:rPr>
                <w:sz w:val="18"/>
                <w:szCs w:val="18"/>
                <w:color w:val="auto"/>
              </w:rPr>
            </w:pPr>
          </w:p>
        </w:tc>
        <w:tc>
          <w:tcPr>
            <w:tcW w:w="920" w:type="dxa"/>
            <w:vAlign w:val="bottom"/>
            <w:shd w:val="clear" w:color="auto" w:fill="232F84"/>
          </w:tcPr>
          <w:p>
            <w:pPr>
              <w:spacing w:after="0"/>
              <w:rPr>
                <w:sz w:val="18"/>
                <w:szCs w:val="18"/>
                <w:color w:val="auto"/>
              </w:rPr>
            </w:pPr>
          </w:p>
        </w:tc>
        <w:tc>
          <w:tcPr>
            <w:tcW w:w="520" w:type="dxa"/>
            <w:vAlign w:val="bottom"/>
            <w:shd w:val="clear" w:color="auto" w:fill="232F84"/>
          </w:tcPr>
          <w:p>
            <w:pPr>
              <w:spacing w:after="0"/>
              <w:rPr>
                <w:sz w:val="18"/>
                <w:szCs w:val="18"/>
                <w:color w:val="auto"/>
              </w:rPr>
            </w:pPr>
          </w:p>
        </w:tc>
        <w:tc>
          <w:tcPr>
            <w:tcW w:w="880" w:type="dxa"/>
            <w:vAlign w:val="bottom"/>
            <w:shd w:val="clear" w:color="auto" w:fill="232F84"/>
          </w:tcPr>
          <w:p>
            <w:pPr>
              <w:spacing w:after="0"/>
              <w:rPr>
                <w:sz w:val="18"/>
                <w:szCs w:val="18"/>
                <w:color w:val="auto"/>
              </w:rPr>
            </w:pPr>
          </w:p>
        </w:tc>
        <w:tc>
          <w:tcPr>
            <w:tcW w:w="100" w:type="dxa"/>
            <w:vAlign w:val="bottom"/>
            <w:shd w:val="clear" w:color="auto" w:fill="232F84"/>
          </w:tcPr>
          <w:p>
            <w:pPr>
              <w:spacing w:after="0"/>
              <w:rPr>
                <w:sz w:val="18"/>
                <w:szCs w:val="18"/>
                <w:color w:val="auto"/>
              </w:rPr>
            </w:pPr>
          </w:p>
        </w:tc>
        <w:tc>
          <w:tcPr>
            <w:tcW w:w="6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232F84"/>
          </w:tcPr>
          <w:p>
            <w:pPr>
              <w:spacing w:after="0"/>
              <w:rPr>
                <w:sz w:val="18"/>
                <w:szCs w:val="18"/>
                <w:color w:val="auto"/>
              </w:rPr>
            </w:pPr>
          </w:p>
        </w:tc>
        <w:tc>
          <w:tcPr>
            <w:tcW w:w="480" w:type="dxa"/>
            <w:vAlign w:val="bottom"/>
            <w:shd w:val="clear" w:color="auto" w:fill="232F84"/>
          </w:tcPr>
          <w:p>
            <w:pPr>
              <w:spacing w:after="0"/>
              <w:rPr>
                <w:sz w:val="18"/>
                <w:szCs w:val="18"/>
                <w:color w:val="auto"/>
              </w:rPr>
            </w:pPr>
          </w:p>
        </w:tc>
        <w:tc>
          <w:tcPr>
            <w:tcW w:w="70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Pr>
          <w:p>
            <w:pPr>
              <w:ind w:left="20"/>
              <w:spacing w:after="0"/>
              <w:rPr>
                <w:sz w:val="20"/>
                <w:szCs w:val="20"/>
                <w:color w:val="auto"/>
              </w:rPr>
            </w:pPr>
            <w:r>
              <w:rPr>
                <w:rFonts w:ascii="Arial" w:cs="Arial" w:eastAsia="Arial" w:hAnsi="Arial"/>
                <w:sz w:val="14"/>
                <w:szCs w:val="14"/>
                <w:color w:val="auto"/>
              </w:rPr>
              <w:t>Third party sales</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13.1</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654.7</w:t>
            </w:r>
          </w:p>
        </w:tc>
        <w:tc>
          <w:tcPr>
            <w:tcW w:w="5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644.9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10.6</w:t>
            </w: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655.5</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Affiliated sales</w:t>
            </w:r>
          </w:p>
        </w:tc>
        <w:tc>
          <w:tcPr>
            <w:tcW w:w="24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61.1</w:t>
            </w:r>
          </w:p>
        </w:tc>
        <w:tc>
          <w:tcPr>
            <w:tcW w:w="320" w:type="dxa"/>
            <w:vAlign w:val="bottom"/>
            <w:tcBorders>
              <w:bottom w:val="single" w:sz="8" w:color="auto"/>
            </w:tcBorders>
            <w:shd w:val="clear" w:color="auto" w:fill="43C0B9"/>
          </w:tcPr>
          <w:p>
            <w:pPr>
              <w:spacing w:after="0"/>
              <w:rPr>
                <w:sz w:val="17"/>
                <w:szCs w:val="17"/>
                <w:color w:val="auto"/>
              </w:rPr>
            </w:pPr>
          </w:p>
        </w:tc>
        <w:tc>
          <w:tcPr>
            <w:tcW w:w="92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61.1</w:t>
            </w:r>
          </w:p>
        </w:tc>
        <w:tc>
          <w:tcPr>
            <w:tcW w:w="520" w:type="dxa"/>
            <w:vAlign w:val="bottom"/>
            <w:tcBorders>
              <w:bottom w:val="single" w:sz="8" w:color="auto"/>
            </w:tcBorders>
            <w:shd w:val="clear" w:color="auto" w:fill="43C0B9"/>
          </w:tcPr>
          <w:p>
            <w:pPr>
              <w:spacing w:after="0"/>
              <w:rPr>
                <w:sz w:val="17"/>
                <w:szCs w:val="17"/>
                <w:color w:val="auto"/>
              </w:rPr>
            </w:pPr>
          </w:p>
        </w:tc>
        <w:tc>
          <w:tcPr>
            <w:tcW w:w="8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43C0B9"/>
          </w:tcPr>
          <w:p>
            <w:pPr>
              <w:spacing w:after="0"/>
              <w:rPr>
                <w:sz w:val="17"/>
                <w:szCs w:val="17"/>
                <w:color w:val="auto"/>
              </w:rPr>
            </w:pPr>
          </w:p>
        </w:tc>
        <w:tc>
          <w:tcPr>
            <w:tcW w:w="660" w:type="dxa"/>
            <w:vAlign w:val="bottom"/>
            <w:tcBorders>
              <w:bottom w:val="single" w:sz="8" w:color="auto"/>
            </w:tcBorders>
            <w:shd w:val="clear" w:color="auto" w:fill="43C0B9"/>
          </w:tcPr>
          <w:p>
            <w:pPr>
              <w:spacing w:after="0"/>
              <w:rPr>
                <w:sz w:val="17"/>
                <w:szCs w:val="17"/>
                <w:color w:val="auto"/>
              </w:rPr>
            </w:pPr>
          </w:p>
        </w:tc>
        <w:tc>
          <w:tcPr>
            <w:tcW w:w="4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48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9"/>
        </w:trPr>
        <w:tc>
          <w:tcPr>
            <w:tcW w:w="3860" w:type="dxa"/>
            <w:vAlign w:val="bottom"/>
          </w:tcPr>
          <w:p>
            <w:pPr>
              <w:ind w:left="20"/>
              <w:spacing w:after="0"/>
              <w:rPr>
                <w:sz w:val="20"/>
                <w:szCs w:val="20"/>
                <w:color w:val="auto"/>
              </w:rPr>
            </w:pPr>
            <w:r>
              <w:rPr>
                <w:rFonts w:ascii="Arial" w:cs="Arial" w:eastAsia="Arial" w:hAnsi="Arial"/>
                <w:sz w:val="14"/>
                <w:szCs w:val="14"/>
                <w:color w:val="auto"/>
              </w:rPr>
              <w:t>Total segment sales</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641.6</w:t>
            </w:r>
          </w:p>
        </w:tc>
        <w:tc>
          <w:tcPr>
            <w:tcW w:w="16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74.2</w:t>
            </w:r>
          </w:p>
        </w:tc>
        <w:tc>
          <w:tcPr>
            <w:tcW w:w="320" w:type="dxa"/>
            <w:vAlign w:val="bottom"/>
          </w:tcPr>
          <w:p>
            <w:pPr>
              <w:spacing w:after="0"/>
              <w:rPr>
                <w:sz w:val="17"/>
                <w:szCs w:val="17"/>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715.8</w:t>
            </w:r>
          </w:p>
        </w:tc>
        <w:tc>
          <w:tcPr>
            <w:tcW w:w="52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59.8</w:t>
            </w: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704.7</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Intercompany eliminations</w:t>
            </w:r>
          </w:p>
        </w:tc>
        <w:tc>
          <w:tcPr>
            <w:tcW w:w="24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(61.1)</w:t>
            </w:r>
          </w:p>
        </w:tc>
        <w:tc>
          <w:tcPr>
            <w:tcW w:w="320" w:type="dxa"/>
            <w:vAlign w:val="bottom"/>
            <w:tcBorders>
              <w:bottom w:val="single" w:sz="8" w:color="auto"/>
            </w:tcBorders>
            <w:shd w:val="clear" w:color="auto" w:fill="43C0B9"/>
          </w:tcPr>
          <w:p>
            <w:pPr>
              <w:spacing w:after="0"/>
              <w:rPr>
                <w:sz w:val="17"/>
                <w:szCs w:val="17"/>
                <w:color w:val="auto"/>
              </w:rPr>
            </w:pPr>
          </w:p>
        </w:tc>
        <w:tc>
          <w:tcPr>
            <w:tcW w:w="92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(61.1)</w:t>
            </w:r>
          </w:p>
        </w:tc>
        <w:tc>
          <w:tcPr>
            <w:tcW w:w="520" w:type="dxa"/>
            <w:vAlign w:val="bottom"/>
            <w:tcBorders>
              <w:bottom w:val="single" w:sz="8" w:color="auto"/>
            </w:tcBorders>
            <w:shd w:val="clear" w:color="auto" w:fill="43C0B9"/>
          </w:tcPr>
          <w:p>
            <w:pPr>
              <w:spacing w:after="0"/>
              <w:rPr>
                <w:sz w:val="17"/>
                <w:szCs w:val="17"/>
                <w:color w:val="auto"/>
              </w:rPr>
            </w:pPr>
          </w:p>
        </w:tc>
        <w:tc>
          <w:tcPr>
            <w:tcW w:w="8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43C0B9"/>
          </w:tcPr>
          <w:p>
            <w:pPr>
              <w:spacing w:after="0"/>
              <w:rPr>
                <w:sz w:val="17"/>
                <w:szCs w:val="17"/>
                <w:color w:val="auto"/>
              </w:rPr>
            </w:pPr>
          </w:p>
        </w:tc>
        <w:tc>
          <w:tcPr>
            <w:tcW w:w="660" w:type="dxa"/>
            <w:vAlign w:val="bottom"/>
            <w:tcBorders>
              <w:bottom w:val="single" w:sz="8" w:color="auto"/>
            </w:tcBorders>
            <w:shd w:val="clear" w:color="auto" w:fill="43C0B9"/>
          </w:tcPr>
          <w:p>
            <w:pPr>
              <w:spacing w:after="0"/>
              <w:rPr>
                <w:sz w:val="17"/>
                <w:szCs w:val="17"/>
                <w:color w:val="auto"/>
              </w:rPr>
            </w:pPr>
          </w:p>
        </w:tc>
        <w:tc>
          <w:tcPr>
            <w:tcW w:w="420" w:type="dxa"/>
            <w:vAlign w:val="bottom"/>
            <w:tcBorders>
              <w:bottom w:val="single" w:sz="8" w:color="auto"/>
            </w:tcBorders>
            <w:shd w:val="clear" w:color="auto" w:fill="43C0B9"/>
          </w:tcPr>
          <w:p>
            <w:pPr>
              <w:ind w:left="40"/>
              <w:spacing w:after="0"/>
              <w:rPr>
                <w:sz w:val="20"/>
                <w:szCs w:val="20"/>
                <w:color w:val="auto"/>
              </w:rPr>
            </w:pPr>
            <w:r>
              <w:rPr>
                <w:rFonts w:ascii="Arial" w:cs="Arial" w:eastAsia="Arial" w:hAnsi="Arial"/>
                <w:sz w:val="14"/>
                <w:szCs w:val="14"/>
                <w:color w:val="auto"/>
                <w:w w:val="98"/>
              </w:rPr>
              <w:t>(49.2)</w:t>
            </w:r>
          </w:p>
        </w:tc>
        <w:tc>
          <w:tcPr>
            <w:tcW w:w="48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13.1</w:t>
            </w: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654.7</w:t>
            </w: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644.9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4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655.5</w:t>
            </w:r>
          </w:p>
        </w:tc>
        <w:tc>
          <w:tcPr>
            <w:tcW w:w="0" w:type="dxa"/>
            <w:vAlign w:val="bottom"/>
          </w:tcPr>
          <w:p>
            <w:pPr>
              <w:spacing w:after="0"/>
              <w:rPr>
                <w:sz w:val="1"/>
                <w:szCs w:val="1"/>
                <w:color w:val="auto"/>
              </w:rPr>
            </w:pPr>
          </w:p>
        </w:tc>
      </w:tr>
      <w:tr>
        <w:trPr>
          <w:trHeight w:val="483"/>
        </w:trPr>
        <w:tc>
          <w:tcPr>
            <w:tcW w:w="3860" w:type="dxa"/>
            <w:vAlign w:val="bottom"/>
          </w:tcPr>
          <w:p>
            <w:pPr>
              <w:spacing w:after="0"/>
              <w:rPr>
                <w:sz w:val="20"/>
                <w:szCs w:val="20"/>
                <w:color w:val="auto"/>
              </w:rPr>
            </w:pPr>
            <w:r>
              <w:rPr>
                <w:rFonts w:ascii="Arial" w:cs="Arial" w:eastAsia="Arial" w:hAnsi="Arial"/>
                <w:sz w:val="15"/>
                <w:szCs w:val="15"/>
                <w:b w:val="1"/>
                <w:bCs w:val="1"/>
                <w:i w:val="1"/>
                <w:iCs w:val="1"/>
                <w:color w:val="232F84"/>
              </w:rPr>
              <w:t>Adjusted EBITDA</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232F84"/>
          </w:tcPr>
          <w:p>
            <w:pPr>
              <w:spacing w:after="0"/>
              <w:rPr>
                <w:sz w:val="14"/>
                <w:szCs w:val="14"/>
                <w:color w:val="auto"/>
              </w:rPr>
            </w:pPr>
          </w:p>
        </w:tc>
        <w:tc>
          <w:tcPr>
            <w:tcW w:w="240" w:type="dxa"/>
            <w:vAlign w:val="bottom"/>
            <w:shd w:val="clear" w:color="auto" w:fill="232F84"/>
          </w:tcPr>
          <w:p>
            <w:pPr>
              <w:spacing w:after="0"/>
              <w:rPr>
                <w:sz w:val="14"/>
                <w:szCs w:val="14"/>
                <w:color w:val="auto"/>
              </w:rPr>
            </w:pPr>
          </w:p>
        </w:tc>
        <w:tc>
          <w:tcPr>
            <w:tcW w:w="940" w:type="dxa"/>
            <w:vAlign w:val="bottom"/>
            <w:shd w:val="clear" w:color="auto" w:fill="232F84"/>
          </w:tcPr>
          <w:p>
            <w:pPr>
              <w:spacing w:after="0"/>
              <w:rPr>
                <w:sz w:val="14"/>
                <w:szCs w:val="14"/>
                <w:color w:val="auto"/>
              </w:rPr>
            </w:pPr>
          </w:p>
        </w:tc>
        <w:tc>
          <w:tcPr>
            <w:tcW w:w="160" w:type="dxa"/>
            <w:vAlign w:val="bottom"/>
            <w:shd w:val="clear" w:color="auto" w:fill="232F84"/>
          </w:tcPr>
          <w:p>
            <w:pPr>
              <w:spacing w:after="0"/>
              <w:rPr>
                <w:sz w:val="14"/>
                <w:szCs w:val="14"/>
                <w:color w:val="auto"/>
              </w:rPr>
            </w:pPr>
          </w:p>
        </w:tc>
        <w:tc>
          <w:tcPr>
            <w:tcW w:w="2280" w:type="dxa"/>
            <w:vAlign w:val="bottom"/>
            <w:gridSpan w:val="3"/>
            <w:shd w:val="clear" w:color="auto" w:fill="232F84"/>
          </w:tcPr>
          <w:p>
            <w:pPr>
              <w:jc w:val="right"/>
              <w:ind w:right="471"/>
              <w:spacing w:after="0"/>
              <w:rPr>
                <w:sz w:val="20"/>
                <w:szCs w:val="20"/>
                <w:color w:val="auto"/>
              </w:rPr>
            </w:pPr>
            <w:r>
              <w:rPr>
                <w:rFonts w:ascii="Arial" w:cs="Arial" w:eastAsia="Arial" w:hAnsi="Arial"/>
                <w:sz w:val="14"/>
                <w:szCs w:val="14"/>
                <w:b w:val="1"/>
                <w:bCs w:val="1"/>
                <w:color w:val="FFFFFF"/>
              </w:rPr>
              <w:t>Three Months Ended</w:t>
            </w:r>
          </w:p>
        </w:tc>
        <w:tc>
          <w:tcPr>
            <w:tcW w:w="520" w:type="dxa"/>
            <w:vAlign w:val="bottom"/>
            <w:shd w:val="clear" w:color="auto" w:fill="232F84"/>
          </w:tcPr>
          <w:p>
            <w:pPr>
              <w:spacing w:after="0"/>
              <w:rPr>
                <w:sz w:val="14"/>
                <w:szCs w:val="14"/>
                <w:color w:val="auto"/>
              </w:rPr>
            </w:pPr>
          </w:p>
        </w:tc>
        <w:tc>
          <w:tcPr>
            <w:tcW w:w="880" w:type="dxa"/>
            <w:vAlign w:val="bottom"/>
            <w:shd w:val="clear" w:color="auto" w:fill="232F84"/>
          </w:tcPr>
          <w:p>
            <w:pPr>
              <w:spacing w:after="0"/>
              <w:rPr>
                <w:sz w:val="14"/>
                <w:szCs w:val="14"/>
                <w:color w:val="auto"/>
              </w:rPr>
            </w:pPr>
          </w:p>
        </w:tc>
        <w:tc>
          <w:tcPr>
            <w:tcW w:w="100" w:type="dxa"/>
            <w:vAlign w:val="bottom"/>
            <w:shd w:val="clear" w:color="auto" w:fill="232F84"/>
          </w:tcPr>
          <w:p>
            <w:pPr>
              <w:spacing w:after="0"/>
              <w:rPr>
                <w:sz w:val="14"/>
                <w:szCs w:val="14"/>
                <w:color w:val="auto"/>
              </w:rPr>
            </w:pPr>
          </w:p>
        </w:tc>
        <w:tc>
          <w:tcPr>
            <w:tcW w:w="1560" w:type="dxa"/>
            <w:vAlign w:val="bottom"/>
            <w:gridSpan w:val="3"/>
            <w:shd w:val="clear" w:color="auto" w:fill="232F84"/>
          </w:tcPr>
          <w:p>
            <w:pPr>
              <w:jc w:val="center"/>
              <w:ind w:right="211"/>
              <w:spacing w:after="0"/>
              <w:rPr>
                <w:sz w:val="20"/>
                <w:szCs w:val="20"/>
                <w:color w:val="auto"/>
              </w:rPr>
            </w:pPr>
            <w:r>
              <w:rPr>
                <w:rFonts w:ascii="Arial" w:cs="Arial" w:eastAsia="Arial" w:hAnsi="Arial"/>
                <w:sz w:val="14"/>
                <w:szCs w:val="14"/>
                <w:b w:val="1"/>
                <w:bCs w:val="1"/>
                <w:color w:val="FFFFFF"/>
                <w:w w:val="97"/>
              </w:rPr>
              <w:t>Nine Months Ended</w:t>
            </w:r>
          </w:p>
        </w:tc>
        <w:tc>
          <w:tcPr>
            <w:tcW w:w="700" w:type="dxa"/>
            <w:vAlign w:val="bottom"/>
            <w:shd w:val="clear" w:color="auto" w:fill="232F84"/>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shd w:val="clear" w:color="auto" w:fill="232F84"/>
          </w:tcPr>
          <w:p>
            <w:pPr>
              <w:spacing w:after="0"/>
              <w:rPr>
                <w:sz w:val="17"/>
                <w:szCs w:val="17"/>
                <w:color w:val="auto"/>
              </w:rPr>
            </w:pPr>
          </w:p>
        </w:tc>
        <w:tc>
          <w:tcPr>
            <w:tcW w:w="240" w:type="dxa"/>
            <w:vAlign w:val="bottom"/>
            <w:shd w:val="clear" w:color="auto" w:fill="232F84"/>
          </w:tcPr>
          <w:p>
            <w:pPr>
              <w:spacing w:after="0"/>
              <w:rPr>
                <w:sz w:val="17"/>
                <w:szCs w:val="17"/>
                <w:color w:val="auto"/>
              </w:rPr>
            </w:pPr>
          </w:p>
        </w:tc>
        <w:tc>
          <w:tcPr>
            <w:tcW w:w="940" w:type="dxa"/>
            <w:vAlign w:val="bottom"/>
            <w:shd w:val="clear" w:color="auto" w:fill="232F84"/>
          </w:tcPr>
          <w:p>
            <w:pPr>
              <w:spacing w:after="0"/>
              <w:rPr>
                <w:sz w:val="17"/>
                <w:szCs w:val="17"/>
                <w:color w:val="auto"/>
              </w:rPr>
            </w:pPr>
          </w:p>
        </w:tc>
        <w:tc>
          <w:tcPr>
            <w:tcW w:w="160" w:type="dxa"/>
            <w:vAlign w:val="bottom"/>
            <w:shd w:val="clear" w:color="auto" w:fill="232F84"/>
          </w:tcPr>
          <w:p>
            <w:pPr>
              <w:spacing w:after="0"/>
              <w:rPr>
                <w:sz w:val="17"/>
                <w:szCs w:val="17"/>
                <w:color w:val="auto"/>
              </w:rPr>
            </w:pPr>
          </w:p>
        </w:tc>
        <w:tc>
          <w:tcPr>
            <w:tcW w:w="136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July 31,</w:t>
            </w:r>
          </w:p>
        </w:tc>
        <w:tc>
          <w:tcPr>
            <w:tcW w:w="92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880" w:type="dxa"/>
            <w:vAlign w:val="bottom"/>
            <w:shd w:val="clear" w:color="auto" w:fill="232F84"/>
          </w:tcPr>
          <w:p>
            <w:pPr>
              <w:spacing w:after="0"/>
              <w:rPr>
                <w:sz w:val="17"/>
                <w:szCs w:val="17"/>
                <w:color w:val="auto"/>
              </w:rPr>
            </w:pPr>
          </w:p>
        </w:tc>
        <w:tc>
          <w:tcPr>
            <w:tcW w:w="100" w:type="dxa"/>
            <w:vAlign w:val="bottom"/>
            <w:shd w:val="clear" w:color="auto" w:fill="232F84"/>
          </w:tcPr>
          <w:p>
            <w:pPr>
              <w:spacing w:after="0"/>
              <w:rPr>
                <w:sz w:val="17"/>
                <w:szCs w:val="17"/>
                <w:color w:val="auto"/>
              </w:rPr>
            </w:pPr>
          </w:p>
        </w:tc>
        <w:tc>
          <w:tcPr>
            <w:tcW w:w="1080" w:type="dxa"/>
            <w:vAlign w:val="bottom"/>
            <w:gridSpan w:val="2"/>
            <w:shd w:val="clear" w:color="auto" w:fill="232F84"/>
          </w:tcPr>
          <w:p>
            <w:pPr>
              <w:jc w:val="center"/>
              <w:ind w:left="151"/>
              <w:spacing w:after="0"/>
              <w:rPr>
                <w:sz w:val="20"/>
                <w:szCs w:val="20"/>
                <w:color w:val="auto"/>
              </w:rPr>
            </w:pPr>
            <w:r>
              <w:rPr>
                <w:rFonts w:ascii="Arial" w:cs="Arial" w:eastAsia="Arial" w:hAnsi="Arial"/>
                <w:sz w:val="14"/>
                <w:szCs w:val="14"/>
                <w:b w:val="1"/>
                <w:bCs w:val="1"/>
                <w:color w:val="FFFFFF"/>
                <w:w w:val="97"/>
              </w:rPr>
              <w:t>July 31,</w:t>
            </w:r>
          </w:p>
        </w:tc>
        <w:tc>
          <w:tcPr>
            <w:tcW w:w="480" w:type="dxa"/>
            <w:vAlign w:val="bottom"/>
            <w:shd w:val="clear" w:color="auto" w:fill="232F84"/>
          </w:tcPr>
          <w:p>
            <w:pPr>
              <w:spacing w:after="0"/>
              <w:rPr>
                <w:sz w:val="17"/>
                <w:szCs w:val="17"/>
                <w:color w:val="auto"/>
              </w:rPr>
            </w:pPr>
          </w:p>
        </w:tc>
        <w:tc>
          <w:tcPr>
            <w:tcW w:w="70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4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160" w:type="dxa"/>
            <w:vAlign w:val="bottom"/>
            <w:shd w:val="clear" w:color="auto" w:fill="232F84"/>
          </w:tcPr>
          <w:p>
            <w:pPr>
              <w:spacing w:after="0"/>
              <w:rPr>
                <w:sz w:val="18"/>
                <w:szCs w:val="18"/>
                <w:color w:val="auto"/>
              </w:rPr>
            </w:pPr>
          </w:p>
        </w:tc>
        <w:tc>
          <w:tcPr>
            <w:tcW w:w="1040" w:type="dxa"/>
            <w:vAlign w:val="bottom"/>
            <w:shd w:val="clear" w:color="auto" w:fill="232F84"/>
          </w:tcPr>
          <w:p>
            <w:pPr>
              <w:jc w:val="right"/>
              <w:ind w:right="591"/>
              <w:spacing w:after="0"/>
              <w:rPr>
                <w:sz w:val="20"/>
                <w:szCs w:val="20"/>
                <w:color w:val="auto"/>
              </w:rPr>
            </w:pPr>
            <w:r>
              <w:rPr>
                <w:rFonts w:ascii="Arial" w:cs="Arial" w:eastAsia="Arial" w:hAnsi="Arial"/>
                <w:sz w:val="14"/>
                <w:szCs w:val="14"/>
                <w:b w:val="1"/>
                <w:bCs w:val="1"/>
                <w:color w:val="FFFFFF"/>
              </w:rPr>
              <w:t>2021</w:t>
            </w:r>
          </w:p>
        </w:tc>
        <w:tc>
          <w:tcPr>
            <w:tcW w:w="320" w:type="dxa"/>
            <w:vAlign w:val="bottom"/>
            <w:shd w:val="clear" w:color="auto" w:fill="232F84"/>
          </w:tcPr>
          <w:p>
            <w:pPr>
              <w:spacing w:after="0"/>
              <w:rPr>
                <w:sz w:val="18"/>
                <w:szCs w:val="18"/>
                <w:color w:val="auto"/>
              </w:rPr>
            </w:pPr>
          </w:p>
        </w:tc>
        <w:tc>
          <w:tcPr>
            <w:tcW w:w="920" w:type="dxa"/>
            <w:vAlign w:val="bottom"/>
            <w:shd w:val="clear" w:color="auto" w:fill="232F84"/>
          </w:tcPr>
          <w:p>
            <w:pPr>
              <w:jc w:val="right"/>
              <w:ind w:right="171"/>
              <w:spacing w:after="0"/>
              <w:rPr>
                <w:sz w:val="20"/>
                <w:szCs w:val="20"/>
                <w:color w:val="auto"/>
              </w:rPr>
            </w:pPr>
            <w:r>
              <w:rPr>
                <w:rFonts w:ascii="Arial" w:cs="Arial" w:eastAsia="Arial" w:hAnsi="Arial"/>
                <w:sz w:val="14"/>
                <w:szCs w:val="14"/>
                <w:b w:val="1"/>
                <w:bCs w:val="1"/>
                <w:color w:val="FFFFFF"/>
              </w:rPr>
              <w:t>2020</w:t>
            </w:r>
          </w:p>
        </w:tc>
        <w:tc>
          <w:tcPr>
            <w:tcW w:w="520" w:type="dxa"/>
            <w:vAlign w:val="bottom"/>
            <w:shd w:val="clear" w:color="auto" w:fill="232F84"/>
          </w:tcPr>
          <w:p>
            <w:pPr>
              <w:spacing w:after="0"/>
              <w:rPr>
                <w:sz w:val="18"/>
                <w:szCs w:val="18"/>
                <w:color w:val="auto"/>
              </w:rPr>
            </w:pPr>
          </w:p>
        </w:tc>
        <w:tc>
          <w:tcPr>
            <w:tcW w:w="880" w:type="dxa"/>
            <w:vAlign w:val="bottom"/>
            <w:shd w:val="clear" w:color="auto" w:fill="232F84"/>
          </w:tcPr>
          <w:p>
            <w:pPr>
              <w:spacing w:after="0"/>
              <w:rPr>
                <w:sz w:val="18"/>
                <w:szCs w:val="18"/>
                <w:color w:val="auto"/>
              </w:rPr>
            </w:pPr>
          </w:p>
        </w:tc>
        <w:tc>
          <w:tcPr>
            <w:tcW w:w="100" w:type="dxa"/>
            <w:vAlign w:val="bottom"/>
            <w:shd w:val="clear" w:color="auto" w:fill="232F84"/>
          </w:tcPr>
          <w:p>
            <w:pPr>
              <w:spacing w:after="0"/>
              <w:rPr>
                <w:sz w:val="18"/>
                <w:szCs w:val="18"/>
                <w:color w:val="auto"/>
              </w:rPr>
            </w:pPr>
          </w:p>
        </w:tc>
        <w:tc>
          <w:tcPr>
            <w:tcW w:w="66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232F84"/>
          </w:tcPr>
          <w:p>
            <w:pPr>
              <w:spacing w:after="0"/>
              <w:rPr>
                <w:sz w:val="18"/>
                <w:szCs w:val="18"/>
                <w:color w:val="auto"/>
              </w:rPr>
            </w:pPr>
          </w:p>
        </w:tc>
        <w:tc>
          <w:tcPr>
            <w:tcW w:w="48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06"/>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240" w:type="dxa"/>
            <w:vAlign w:val="bottom"/>
            <w:shd w:val="clear" w:color="auto" w:fill="43C0B9"/>
          </w:tcPr>
          <w:p>
            <w:pPr>
              <w:spacing w:after="0"/>
              <w:rPr>
                <w:sz w:val="17"/>
                <w:szCs w:val="17"/>
                <w:color w:val="auto"/>
              </w:rPr>
            </w:pPr>
          </w:p>
        </w:tc>
        <w:tc>
          <w:tcPr>
            <w:tcW w:w="940" w:type="dxa"/>
            <w:vAlign w:val="bottom"/>
            <w:shd w:val="clear" w:color="auto" w:fill="43C0B9"/>
          </w:tcPr>
          <w:p>
            <w:pPr>
              <w:jc w:val="right"/>
              <w:ind w:right="231"/>
              <w:spacing w:after="0"/>
              <w:rPr>
                <w:sz w:val="20"/>
                <w:szCs w:val="20"/>
                <w:color w:val="auto"/>
              </w:rPr>
            </w:pPr>
            <w:r>
              <w:rPr>
                <w:rFonts w:ascii="Arial" w:cs="Arial" w:eastAsia="Arial" w:hAnsi="Arial"/>
                <w:sz w:val="14"/>
                <w:szCs w:val="14"/>
                <w:color w:val="auto"/>
              </w:rPr>
              <w:t>$</w:t>
            </w:r>
          </w:p>
        </w:tc>
        <w:tc>
          <w:tcPr>
            <w:tcW w:w="160" w:type="dxa"/>
            <w:vAlign w:val="bottom"/>
            <w:shd w:val="clear" w:color="auto" w:fill="43C0B9"/>
          </w:tcPr>
          <w:p>
            <w:pPr>
              <w:spacing w:after="0"/>
              <w:rPr>
                <w:sz w:val="17"/>
                <w:szCs w:val="17"/>
                <w:color w:val="auto"/>
              </w:rPr>
            </w:pP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13.1</w:t>
            </w:r>
          </w:p>
        </w:tc>
        <w:tc>
          <w:tcPr>
            <w:tcW w:w="320" w:type="dxa"/>
            <w:vAlign w:val="bottom"/>
            <w:shd w:val="clear" w:color="auto" w:fill="43C0B9"/>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7"/>
                <w:szCs w:val="17"/>
                <w:color w:val="auto"/>
              </w:rPr>
            </w:pPr>
          </w:p>
        </w:tc>
        <w:tc>
          <w:tcPr>
            <w:tcW w:w="5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21.0</w:t>
            </w:r>
          </w:p>
        </w:tc>
        <w:tc>
          <w:tcPr>
            <w:tcW w:w="88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100" w:type="dxa"/>
            <w:vAlign w:val="bottom"/>
            <w:shd w:val="clear" w:color="auto" w:fill="43C0B9"/>
          </w:tcPr>
          <w:p>
            <w:pPr>
              <w:spacing w:after="0"/>
              <w:rPr>
                <w:sz w:val="17"/>
                <w:szCs w:val="17"/>
                <w:color w:val="auto"/>
              </w:rPr>
            </w:pPr>
          </w:p>
        </w:tc>
        <w:tc>
          <w:tcPr>
            <w:tcW w:w="66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43.0</w:t>
            </w:r>
          </w:p>
        </w:tc>
        <w:tc>
          <w:tcPr>
            <w:tcW w:w="420" w:type="dxa"/>
            <w:vAlign w:val="bottom"/>
            <w:shd w:val="clear" w:color="auto" w:fill="43C0B9"/>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43C0B9"/>
          </w:tcPr>
          <w:p>
            <w:pPr>
              <w:spacing w:after="0"/>
              <w:rPr>
                <w:sz w:val="17"/>
                <w:szCs w:val="17"/>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15.6</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15.9</w:t>
            </w:r>
          </w:p>
        </w:tc>
        <w:tc>
          <w:tcPr>
            <w:tcW w:w="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24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spacing w:after="0"/>
              <w:rPr>
                <w:sz w:val="17"/>
                <w:szCs w:val="17"/>
                <w:color w:val="auto"/>
              </w:rPr>
            </w:pPr>
          </w:p>
        </w:tc>
        <w:tc>
          <w:tcPr>
            <w:tcW w:w="16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30.1</w:t>
            </w:r>
          </w:p>
        </w:tc>
        <w:tc>
          <w:tcPr>
            <w:tcW w:w="320" w:type="dxa"/>
            <w:vAlign w:val="bottom"/>
            <w:tcBorders>
              <w:bottom w:val="single" w:sz="8" w:color="auto"/>
            </w:tcBorders>
            <w:shd w:val="clear" w:color="auto" w:fill="43C0B9"/>
          </w:tcPr>
          <w:p>
            <w:pPr>
              <w:spacing w:after="0"/>
              <w:rPr>
                <w:sz w:val="17"/>
                <w:szCs w:val="17"/>
                <w:color w:val="auto"/>
              </w:rPr>
            </w:pPr>
          </w:p>
        </w:tc>
        <w:tc>
          <w:tcPr>
            <w:tcW w:w="920" w:type="dxa"/>
            <w:vAlign w:val="bottom"/>
            <w:tcBorders>
              <w:bottom w:val="single" w:sz="8" w:color="auto"/>
            </w:tcBorders>
            <w:shd w:val="clear" w:color="auto" w:fill="43C0B9"/>
          </w:tcPr>
          <w:p>
            <w:pPr>
              <w:spacing w:after="0"/>
              <w:rPr>
                <w:sz w:val="17"/>
                <w:szCs w:val="17"/>
                <w:color w:val="auto"/>
              </w:rPr>
            </w:pPr>
          </w:p>
        </w:tc>
        <w:tc>
          <w:tcPr>
            <w:tcW w:w="52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36.6</w:t>
            </w:r>
          </w:p>
        </w:tc>
        <w:tc>
          <w:tcPr>
            <w:tcW w:w="880" w:type="dxa"/>
            <w:vAlign w:val="bottom"/>
            <w:tcBorders>
              <w:bottom w:val="single" w:sz="8" w:color="auto"/>
            </w:tcBorders>
            <w:shd w:val="clear" w:color="auto" w:fill="43C0B9"/>
          </w:tcPr>
          <w:p>
            <w:pPr>
              <w:spacing w:after="0"/>
              <w:rPr>
                <w:sz w:val="17"/>
                <w:szCs w:val="17"/>
                <w:color w:val="auto"/>
              </w:rPr>
            </w:pPr>
          </w:p>
        </w:tc>
        <w:tc>
          <w:tcPr>
            <w:tcW w:w="100" w:type="dxa"/>
            <w:vAlign w:val="bottom"/>
            <w:tcBorders>
              <w:bottom w:val="single" w:sz="8" w:color="auto"/>
            </w:tcBorders>
            <w:shd w:val="clear" w:color="auto" w:fill="43C0B9"/>
          </w:tcPr>
          <w:p>
            <w:pPr>
              <w:spacing w:after="0"/>
              <w:rPr>
                <w:sz w:val="17"/>
                <w:szCs w:val="17"/>
                <w:color w:val="auto"/>
              </w:rPr>
            </w:pPr>
          </w:p>
        </w:tc>
        <w:tc>
          <w:tcPr>
            <w:tcW w:w="66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58.9</w:t>
            </w:r>
          </w:p>
        </w:tc>
        <w:tc>
          <w:tcPr>
            <w:tcW w:w="420" w:type="dxa"/>
            <w:vAlign w:val="bottom"/>
            <w:tcBorders>
              <w:bottom w:val="single" w:sz="8" w:color="auto"/>
            </w:tcBorders>
            <w:shd w:val="clear" w:color="auto" w:fill="43C0B9"/>
          </w:tcPr>
          <w:p>
            <w:pPr>
              <w:spacing w:after="0"/>
              <w:rPr>
                <w:sz w:val="17"/>
                <w:szCs w:val="17"/>
                <w:color w:val="auto"/>
              </w:rPr>
            </w:pPr>
          </w:p>
        </w:tc>
        <w:tc>
          <w:tcPr>
            <w:tcW w:w="48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99"/>
        </w:trPr>
        <w:tc>
          <w:tcPr>
            <w:tcW w:w="3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18.4</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23.4</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28.0</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2"/>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1.0</w:t>
            </w: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5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1.1</w:t>
            </w:r>
          </w:p>
        </w:tc>
        <w:tc>
          <w:tcPr>
            <w:tcW w:w="880" w:type="dxa"/>
            <w:vAlign w:val="bottom"/>
            <w:shd w:val="clear" w:color="auto" w:fill="43C0B9"/>
          </w:tcPr>
          <w:p>
            <w:pPr>
              <w:spacing w:after="0"/>
              <w:rPr>
                <w:sz w:val="18"/>
                <w:szCs w:val="18"/>
                <w:color w:val="auto"/>
              </w:rPr>
            </w:pPr>
          </w:p>
        </w:tc>
        <w:tc>
          <w:tcPr>
            <w:tcW w:w="10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2.7</w:t>
            </w:r>
          </w:p>
        </w:tc>
        <w:tc>
          <w:tcPr>
            <w:tcW w:w="42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0"/>
        </w:trPr>
        <w:tc>
          <w:tcPr>
            <w:tcW w:w="38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5.9</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6.2</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15.3</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12"/>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6.1</w:t>
            </w: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5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5.5</w:t>
            </w:r>
          </w:p>
        </w:tc>
        <w:tc>
          <w:tcPr>
            <w:tcW w:w="880" w:type="dxa"/>
            <w:vAlign w:val="bottom"/>
            <w:shd w:val="clear" w:color="auto" w:fill="43C0B9"/>
          </w:tcPr>
          <w:p>
            <w:pPr>
              <w:spacing w:after="0"/>
              <w:rPr>
                <w:sz w:val="18"/>
                <w:szCs w:val="18"/>
                <w:color w:val="auto"/>
              </w:rPr>
            </w:pPr>
          </w:p>
        </w:tc>
        <w:tc>
          <w:tcPr>
            <w:tcW w:w="10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13.7</w:t>
            </w:r>
          </w:p>
        </w:tc>
        <w:tc>
          <w:tcPr>
            <w:tcW w:w="42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0"/>
        </w:trPr>
        <w:tc>
          <w:tcPr>
            <w:tcW w:w="386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(4.2)</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2"/>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Impairment on equity method investment</w:t>
            </w:r>
          </w:p>
        </w:tc>
        <w:tc>
          <w:tcPr>
            <w:tcW w:w="24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w:t>
            </w: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5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43C0B9"/>
          </w:tcPr>
          <w:p>
            <w:pPr>
              <w:spacing w:after="0"/>
              <w:rPr>
                <w:sz w:val="18"/>
                <w:szCs w:val="18"/>
                <w:color w:val="auto"/>
              </w:rPr>
            </w:pPr>
          </w:p>
        </w:tc>
        <w:tc>
          <w:tcPr>
            <w:tcW w:w="10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w:t>
            </w:r>
          </w:p>
        </w:tc>
        <w:tc>
          <w:tcPr>
            <w:tcW w:w="42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0"/>
        </w:trPr>
        <w:tc>
          <w:tcPr>
            <w:tcW w:w="3860" w:type="dxa"/>
            <w:vAlign w:val="bottom"/>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(0.2)</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Legal settlement</w:t>
            </w:r>
          </w:p>
        </w:tc>
        <w:tc>
          <w:tcPr>
            <w:tcW w:w="24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w:t>
            </w: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5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43C0B9"/>
          </w:tcPr>
          <w:p>
            <w:pPr>
              <w:spacing w:after="0"/>
              <w:rPr>
                <w:sz w:val="18"/>
                <w:szCs w:val="18"/>
                <w:color w:val="auto"/>
              </w:rPr>
            </w:pPr>
          </w:p>
        </w:tc>
        <w:tc>
          <w:tcPr>
            <w:tcW w:w="10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0.8</w:t>
            </w:r>
          </w:p>
        </w:tc>
        <w:tc>
          <w:tcPr>
            <w:tcW w:w="42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8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0.5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1.2</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0.8</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spacing w:after="0"/>
              <w:rPr>
                <w:sz w:val="17"/>
                <w:szCs w:val="17"/>
                <w:color w:val="auto"/>
              </w:rPr>
            </w:pPr>
          </w:p>
        </w:tc>
        <w:tc>
          <w:tcPr>
            <w:tcW w:w="160" w:type="dxa"/>
            <w:vAlign w:val="bottom"/>
            <w:tcBorders>
              <w:bottom w:val="single" w:sz="8" w:color="auto"/>
            </w:tcBorders>
            <w:shd w:val="clear" w:color="auto" w:fill="43C0B9"/>
          </w:tcPr>
          <w:p>
            <w:pPr>
              <w:spacing w:after="0"/>
              <w:rPr>
                <w:sz w:val="17"/>
                <w:szCs w:val="17"/>
                <w:color w:val="auto"/>
              </w:rPr>
            </w:pPr>
          </w:p>
        </w:tc>
        <w:tc>
          <w:tcPr>
            <w:tcW w:w="104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0.5</w:t>
            </w:r>
          </w:p>
        </w:tc>
        <w:tc>
          <w:tcPr>
            <w:tcW w:w="320" w:type="dxa"/>
            <w:vAlign w:val="bottom"/>
            <w:tcBorders>
              <w:bottom w:val="single" w:sz="8" w:color="auto"/>
            </w:tcBorders>
            <w:shd w:val="clear" w:color="auto" w:fill="43C0B9"/>
          </w:tcPr>
          <w:p>
            <w:pPr>
              <w:spacing w:after="0"/>
              <w:rPr>
                <w:sz w:val="17"/>
                <w:szCs w:val="17"/>
                <w:color w:val="auto"/>
              </w:rPr>
            </w:pPr>
          </w:p>
        </w:tc>
        <w:tc>
          <w:tcPr>
            <w:tcW w:w="920" w:type="dxa"/>
            <w:vAlign w:val="bottom"/>
            <w:tcBorders>
              <w:bottom w:val="single" w:sz="8" w:color="auto"/>
            </w:tcBorders>
            <w:shd w:val="clear" w:color="auto" w:fill="43C0B9"/>
          </w:tcPr>
          <w:p>
            <w:pPr>
              <w:spacing w:after="0"/>
              <w:rPr>
                <w:sz w:val="17"/>
                <w:szCs w:val="17"/>
                <w:color w:val="auto"/>
              </w:rPr>
            </w:pPr>
          </w:p>
        </w:tc>
        <w:tc>
          <w:tcPr>
            <w:tcW w:w="520" w:type="dxa"/>
            <w:vAlign w:val="bottom"/>
            <w:tcBorders>
              <w:bottom w:val="single" w:sz="8" w:color="auto"/>
            </w:tcBorders>
            <w:shd w:val="clear" w:color="auto" w:fill="43C0B9"/>
          </w:tcPr>
          <w:p>
            <w:pPr>
              <w:jc w:val="right"/>
              <w:ind w:right="111"/>
              <w:spacing w:after="0"/>
              <w:rPr>
                <w:sz w:val="20"/>
                <w:szCs w:val="20"/>
                <w:color w:val="auto"/>
              </w:rPr>
            </w:pPr>
            <w:r>
              <w:rPr>
                <w:rFonts w:ascii="Arial" w:cs="Arial" w:eastAsia="Arial" w:hAnsi="Arial"/>
                <w:sz w:val="14"/>
                <w:szCs w:val="14"/>
                <w:color w:val="auto"/>
              </w:rPr>
              <w:t>0.4</w:t>
            </w:r>
          </w:p>
        </w:tc>
        <w:tc>
          <w:tcPr>
            <w:tcW w:w="880" w:type="dxa"/>
            <w:vAlign w:val="bottom"/>
            <w:tcBorders>
              <w:bottom w:val="single" w:sz="8" w:color="auto"/>
            </w:tcBorders>
            <w:shd w:val="clear" w:color="auto" w:fill="43C0B9"/>
          </w:tcPr>
          <w:p>
            <w:pPr>
              <w:spacing w:after="0"/>
              <w:rPr>
                <w:sz w:val="17"/>
                <w:szCs w:val="17"/>
                <w:color w:val="auto"/>
              </w:rPr>
            </w:pPr>
          </w:p>
        </w:tc>
        <w:tc>
          <w:tcPr>
            <w:tcW w:w="100" w:type="dxa"/>
            <w:vAlign w:val="bottom"/>
            <w:tcBorders>
              <w:bottom w:val="single" w:sz="8" w:color="auto"/>
            </w:tcBorders>
            <w:shd w:val="clear" w:color="auto" w:fill="43C0B9"/>
          </w:tcPr>
          <w:p>
            <w:pPr>
              <w:spacing w:after="0"/>
              <w:rPr>
                <w:sz w:val="17"/>
                <w:szCs w:val="17"/>
                <w:color w:val="auto"/>
              </w:rPr>
            </w:pPr>
          </w:p>
        </w:tc>
        <w:tc>
          <w:tcPr>
            <w:tcW w:w="66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2.0</w:t>
            </w:r>
          </w:p>
        </w:tc>
        <w:tc>
          <w:tcPr>
            <w:tcW w:w="420" w:type="dxa"/>
            <w:vAlign w:val="bottom"/>
            <w:tcBorders>
              <w:bottom w:val="single" w:sz="8" w:color="auto"/>
            </w:tcBorders>
            <w:shd w:val="clear" w:color="auto" w:fill="43C0B9"/>
          </w:tcPr>
          <w:p>
            <w:pPr>
              <w:spacing w:after="0"/>
              <w:rPr>
                <w:sz w:val="17"/>
                <w:szCs w:val="17"/>
                <w:color w:val="auto"/>
              </w:rPr>
            </w:pPr>
          </w:p>
        </w:tc>
        <w:tc>
          <w:tcPr>
            <w:tcW w:w="48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adjusted EBITDA</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30.1</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36.6</w:t>
            </w:r>
          </w:p>
        </w:tc>
        <w:tc>
          <w:tcPr>
            <w:tcW w:w="8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58.9</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Marketing and Distribution</w:t>
      </w:r>
    </w:p>
    <w:p>
      <w:pPr>
        <w:spacing w:after="0" w:line="230" w:lineRule="exact"/>
        <w:rPr>
          <w:sz w:val="20"/>
          <w:szCs w:val="20"/>
          <w:color w:val="auto"/>
        </w:rPr>
      </w:pPr>
    </w:p>
    <w:p>
      <w:pPr>
        <w:ind w:right="220" w:firstLine="619"/>
        <w:spacing w:after="0" w:line="269" w:lineRule="auto"/>
        <w:rPr>
          <w:sz w:val="20"/>
          <w:szCs w:val="20"/>
          <w:color w:val="auto"/>
        </w:rPr>
      </w:pPr>
      <w:r>
        <w:rPr>
          <w:rFonts w:ascii="Arial" w:cs="Arial" w:eastAsia="Arial" w:hAnsi="Arial"/>
          <w:sz w:val="15"/>
          <w:szCs w:val="15"/>
          <w:color w:val="auto"/>
        </w:rPr>
        <w:t>Net sales in our Marketing and Distribution segment increased $8.7 million or 4% in the three months ended July 31, 2021 compared to the same period last year, due to the same drivers impacting consolidated revenue.</w:t>
      </w:r>
    </w:p>
    <w:p>
      <w:pPr>
        <w:spacing w:after="0" w:line="181" w:lineRule="exact"/>
        <w:rPr>
          <w:sz w:val="20"/>
          <w:szCs w:val="20"/>
          <w:color w:val="auto"/>
        </w:rPr>
      </w:pPr>
    </w:p>
    <w:p>
      <w:pPr>
        <w:ind w:right="560" w:firstLine="619"/>
        <w:spacing w:after="0" w:line="269" w:lineRule="auto"/>
        <w:rPr>
          <w:sz w:val="20"/>
          <w:szCs w:val="20"/>
          <w:color w:val="auto"/>
        </w:rPr>
      </w:pPr>
      <w:r>
        <w:rPr>
          <w:rFonts w:ascii="Arial" w:cs="Arial" w:eastAsia="Arial" w:hAnsi="Arial"/>
          <w:sz w:val="15"/>
          <w:szCs w:val="15"/>
          <w:color w:val="auto"/>
        </w:rPr>
        <w:t>Segment adjusted EBITDA decreased $7.9 million or 38% in the three months ended July 31, 2021 compared to the same period last year due to a combination of lower per-unit contribution margins, higher infrastructure costs, and higher selling, general and administrative expenses as described above.</w:t>
      </w:r>
    </w:p>
    <w:p>
      <w:pPr>
        <w:spacing w:after="0" w:line="181" w:lineRule="exact"/>
        <w:rPr>
          <w:sz w:val="20"/>
          <w:szCs w:val="20"/>
          <w:color w:val="auto"/>
        </w:rPr>
      </w:pPr>
    </w:p>
    <w:p>
      <w:pPr>
        <w:ind w:right="20" w:firstLine="619"/>
        <w:spacing w:after="0" w:line="257" w:lineRule="auto"/>
        <w:rPr>
          <w:sz w:val="20"/>
          <w:szCs w:val="20"/>
          <w:color w:val="auto"/>
        </w:rPr>
      </w:pPr>
      <w:r>
        <w:rPr>
          <w:rFonts w:ascii="Arial" w:cs="Arial" w:eastAsia="Arial" w:hAnsi="Arial"/>
          <w:sz w:val="15"/>
          <w:szCs w:val="15"/>
          <w:color w:val="auto"/>
        </w:rPr>
        <w:t>Net sales in our Marketing and Distribution segment were nearly flat in the nine months ended July 31, 2021 compared to the same period last year, as changes in volume and price nearly offset each other. Average per-unit avocado sales prices decreased 11% and avocado volume sold increased 10% compared to the same period last year, both of which were driven by strong industry supply from Mexico. Lower pricing and higher volumes were concentrated in the first half of the fiscal year when Mexico was the country of origin for the vast majority of the fruit sold.</w:t>
      </w:r>
    </w:p>
    <w:p>
      <w:pPr>
        <w:spacing w:after="0" w:line="200" w:lineRule="exact"/>
        <w:rPr>
          <w:sz w:val="20"/>
          <w:szCs w:val="20"/>
          <w:color w:val="auto"/>
        </w:rPr>
      </w:pP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1" w:name="page22"/>
    <w:bookmarkEnd w:id="21"/>
    <w:p>
      <w:pPr>
        <w:ind w:right="280" w:firstLine="619"/>
        <w:spacing w:after="0" w:line="269" w:lineRule="auto"/>
        <w:rPr>
          <w:sz w:val="20"/>
          <w:szCs w:val="20"/>
          <w:color w:val="auto"/>
        </w:rPr>
      </w:pPr>
      <w:r>
        <w:rPr>
          <w:rFonts w:ascii="Arial" w:cs="Arial" w:eastAsia="Arial" w:hAnsi="Arial"/>
          <w:sz w:val="15"/>
          <w:szCs w:val="15"/>
          <w:color w:val="auto"/>
        </w:rPr>
        <w:t>Segment adjusted EBITDA decreased $5.8 million or 12% in the nine months ended July 31, 2021 compared to the same period last year due to higher selling, general and administrative expenses as mentioned above.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International Farming</w:t>
      </w:r>
    </w:p>
    <w:p>
      <w:pPr>
        <w:spacing w:after="0" w:line="230" w:lineRule="exact"/>
        <w:rPr>
          <w:sz w:val="20"/>
          <w:szCs w:val="20"/>
          <w:color w:val="auto"/>
        </w:rPr>
      </w:pPr>
    </w:p>
    <w:p>
      <w:pPr>
        <w:ind w:right="200" w:firstLine="619"/>
        <w:spacing w:after="0" w:line="257" w:lineRule="auto"/>
        <w:rPr>
          <w:sz w:val="20"/>
          <w:szCs w:val="20"/>
          <w:color w:val="auto"/>
        </w:rPr>
      </w:pPr>
      <w:r>
        <w:rPr>
          <w:rFonts w:ascii="Arial" w:cs="Arial" w:eastAsia="Arial" w:hAnsi="Arial"/>
          <w:sz w:val="15"/>
          <w:szCs w:val="15"/>
          <w:color w:val="auto"/>
        </w:rPr>
        <w:t>Substantially all sales of fruit from the Company’s International Farming segment are to the Marketing and Distribution segment, with the remainder of revenue largely derived from services provided to independent third parties. Affiliated sales are concentrated in the second half of the fiscal year in alignment with the Peruvian avocado harvest season, which typically runs from April through August of each year. As a result, adjusted EBITDA for International Farming is generally concentrated in the third and fourth quarters of the fiscal year in alignment with sales.</w:t>
      </w:r>
    </w:p>
    <w:p>
      <w:pPr>
        <w:spacing w:after="0" w:line="189" w:lineRule="exact"/>
        <w:rPr>
          <w:sz w:val="20"/>
          <w:szCs w:val="20"/>
          <w:color w:val="auto"/>
        </w:rPr>
      </w:pPr>
    </w:p>
    <w:p>
      <w:pPr>
        <w:ind w:right="420" w:firstLine="619"/>
        <w:spacing w:after="0" w:line="269" w:lineRule="auto"/>
        <w:rPr>
          <w:sz w:val="20"/>
          <w:szCs w:val="20"/>
          <w:color w:val="auto"/>
        </w:rPr>
      </w:pPr>
      <w:r>
        <w:rPr>
          <w:rFonts w:ascii="Arial" w:cs="Arial" w:eastAsia="Arial" w:hAnsi="Arial"/>
          <w:sz w:val="15"/>
          <w:szCs w:val="15"/>
          <w:color w:val="auto"/>
        </w:rPr>
        <w:t>Total segment sales in our International Farming segment increased $11.7 million or 22% in the three months ended July 31, 2021, due to higher fruit volumes resulting from improved harvest yields at the maturing orchards.</w:t>
      </w:r>
    </w:p>
    <w:p>
      <w:pPr>
        <w:spacing w:after="0" w:line="181" w:lineRule="exact"/>
        <w:rPr>
          <w:sz w:val="20"/>
          <w:szCs w:val="20"/>
          <w:color w:val="auto"/>
        </w:rPr>
      </w:pPr>
    </w:p>
    <w:p>
      <w:pPr>
        <w:ind w:right="240" w:firstLine="619"/>
        <w:spacing w:after="0" w:line="269" w:lineRule="auto"/>
        <w:rPr>
          <w:sz w:val="20"/>
          <w:szCs w:val="20"/>
          <w:color w:val="auto"/>
        </w:rPr>
      </w:pPr>
      <w:r>
        <w:rPr>
          <w:rFonts w:ascii="Arial" w:cs="Arial" w:eastAsia="Arial" w:hAnsi="Arial"/>
          <w:sz w:val="15"/>
          <w:szCs w:val="15"/>
          <w:color w:val="auto"/>
        </w:rPr>
        <w:t>Segment adjusted EBITDA improved by $1.4 million in the three months ended July 31, 2021 to $17.0 million, primarily due to the revenue drivers noted above, partially offset by higher costs associated with strategic initiatives in farming maintenance and operations that are intended to drive yield enhancements.</w:t>
      </w:r>
    </w:p>
    <w:p>
      <w:pPr>
        <w:spacing w:after="0" w:line="181" w:lineRule="exact"/>
        <w:rPr>
          <w:sz w:val="20"/>
          <w:szCs w:val="20"/>
          <w:color w:val="auto"/>
        </w:rPr>
      </w:pPr>
    </w:p>
    <w:p>
      <w:pPr>
        <w:ind w:right="480" w:firstLine="619"/>
        <w:spacing w:after="0" w:line="269" w:lineRule="auto"/>
        <w:rPr>
          <w:sz w:val="20"/>
          <w:szCs w:val="20"/>
          <w:color w:val="auto"/>
        </w:rPr>
      </w:pPr>
      <w:r>
        <w:rPr>
          <w:rFonts w:ascii="Arial" w:cs="Arial" w:eastAsia="Arial" w:hAnsi="Arial"/>
          <w:sz w:val="15"/>
          <w:szCs w:val="15"/>
          <w:color w:val="auto"/>
        </w:rPr>
        <w:t>Total segment sales in our International Farming segment increased $14.4 million or 24% in the nine months ended July 31, 2021, due to higher fruit volumes resulting from improved harvest yields at our maturing orchards.</w:t>
      </w:r>
    </w:p>
    <w:p>
      <w:pPr>
        <w:spacing w:after="0" w:line="181" w:lineRule="exact"/>
        <w:rPr>
          <w:sz w:val="20"/>
          <w:szCs w:val="20"/>
          <w:color w:val="auto"/>
        </w:rPr>
      </w:pPr>
    </w:p>
    <w:p>
      <w:pPr>
        <w:ind w:right="460" w:firstLine="619"/>
        <w:spacing w:after="0" w:line="269" w:lineRule="auto"/>
        <w:rPr>
          <w:sz w:val="20"/>
          <w:szCs w:val="20"/>
          <w:color w:val="auto"/>
        </w:rPr>
      </w:pPr>
      <w:r>
        <w:rPr>
          <w:rFonts w:ascii="Arial" w:cs="Arial" w:eastAsia="Arial" w:hAnsi="Arial"/>
          <w:sz w:val="15"/>
          <w:szCs w:val="15"/>
          <w:color w:val="auto"/>
        </w:rPr>
        <w:t>Segment adjusted EBITDA improved by $5.3 million in the nine months ended July 31, 2021 to $15.9 million primarily due to the revenue and margin drivers noted above.</w:t>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color w:val="232F84"/>
        </w:rPr>
        <w:t>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Operating activities</w:t>
      </w:r>
    </w:p>
    <w:p>
      <w:pPr>
        <w:spacing w:after="0" w:line="232" w:lineRule="exact"/>
        <w:rPr>
          <w:sz w:val="20"/>
          <w:szCs w:val="20"/>
          <w:color w:val="auto"/>
        </w:rPr>
      </w:pPr>
    </w:p>
    <w:p>
      <w:pPr>
        <w:ind w:right="100" w:firstLine="619"/>
        <w:spacing w:after="0" w:line="255" w:lineRule="auto"/>
        <w:rPr>
          <w:sz w:val="20"/>
          <w:szCs w:val="20"/>
          <w:color w:val="auto"/>
        </w:rPr>
      </w:pPr>
      <w:r>
        <w:rPr>
          <w:rFonts w:ascii="Arial" w:cs="Arial" w:eastAsia="Arial" w:hAnsi="Arial"/>
          <w:sz w:val="15"/>
          <w:szCs w:val="15"/>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8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20" w:type="dxa"/>
            <w:vAlign w:val="bottom"/>
            <w:gridSpan w:val="2"/>
            <w:shd w:val="clear" w:color="auto" w:fill="232F84"/>
          </w:tcPr>
          <w:p>
            <w:pPr>
              <w:jc w:val="right"/>
              <w:ind w:right="231"/>
              <w:spacing w:after="0"/>
              <w:rPr>
                <w:sz w:val="20"/>
                <w:szCs w:val="20"/>
                <w:color w:val="auto"/>
              </w:rPr>
            </w:pPr>
            <w:r>
              <w:rPr>
                <w:rFonts w:ascii="Arial" w:cs="Arial" w:eastAsia="Arial" w:hAnsi="Arial"/>
                <w:sz w:val="14"/>
                <w:szCs w:val="14"/>
                <w:b w:val="1"/>
                <w:bCs w:val="1"/>
                <w:color w:val="FFFFFF"/>
              </w:rPr>
              <w:t>Nine Months Ended</w:t>
            </w:r>
          </w:p>
        </w:tc>
        <w:tc>
          <w:tcPr>
            <w:tcW w:w="700" w:type="dxa"/>
            <w:vAlign w:val="bottom"/>
            <w:shd w:val="clear" w:color="auto" w:fill="232F84"/>
          </w:tcPr>
          <w:p>
            <w:pPr>
              <w:spacing w:after="0"/>
              <w:rPr>
                <w:sz w:val="14"/>
                <w:szCs w:val="14"/>
                <w:color w:val="auto"/>
              </w:rPr>
            </w:pPr>
          </w:p>
        </w:tc>
      </w:tr>
      <w:tr>
        <w:trPr>
          <w:trHeight w:val="195"/>
        </w:trPr>
        <w:tc>
          <w:tcPr>
            <w:tcW w:w="798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20" w:type="dxa"/>
            <w:vAlign w:val="bottom"/>
            <w:gridSpan w:val="2"/>
            <w:shd w:val="clear" w:color="auto" w:fill="232F84"/>
          </w:tcPr>
          <w:p>
            <w:pPr>
              <w:jc w:val="right"/>
              <w:ind w:right="611"/>
              <w:spacing w:after="0"/>
              <w:rPr>
                <w:sz w:val="20"/>
                <w:szCs w:val="20"/>
                <w:color w:val="auto"/>
              </w:rPr>
            </w:pPr>
            <w:r>
              <w:rPr>
                <w:rFonts w:ascii="Arial" w:cs="Arial" w:eastAsia="Arial" w:hAnsi="Arial"/>
                <w:sz w:val="14"/>
                <w:szCs w:val="14"/>
                <w:b w:val="1"/>
                <w:bCs w:val="1"/>
                <w:color w:val="FFFFFF"/>
              </w:rPr>
              <w:t>July 31,</w:t>
            </w:r>
          </w:p>
        </w:tc>
        <w:tc>
          <w:tcPr>
            <w:tcW w:w="700" w:type="dxa"/>
            <w:vAlign w:val="bottom"/>
            <w:shd w:val="clear" w:color="auto" w:fill="232F84"/>
          </w:tcPr>
          <w:p>
            <w:pPr>
              <w:spacing w:after="0"/>
              <w:rPr>
                <w:sz w:val="17"/>
                <w:szCs w:val="17"/>
                <w:color w:val="auto"/>
              </w:rPr>
            </w:pPr>
          </w:p>
        </w:tc>
      </w:tr>
      <w:tr>
        <w:trPr>
          <w:trHeight w:val="216"/>
        </w:trPr>
        <w:tc>
          <w:tcPr>
            <w:tcW w:w="79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4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income</w:t>
            </w:r>
          </w:p>
        </w:tc>
        <w:tc>
          <w:tcPr>
            <w:tcW w:w="540" w:type="dxa"/>
            <w:vAlign w:val="bottom"/>
            <w:shd w:val="clear" w:color="auto" w:fill="43C0B9"/>
          </w:tcPr>
          <w:p>
            <w:pPr>
              <w:jc w:val="right"/>
              <w:ind w:right="3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28.0</w:t>
            </w:r>
          </w:p>
        </w:tc>
        <w:tc>
          <w:tcPr>
            <w:tcW w:w="94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10.0</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54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13.7</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12"/>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(4.2)</w:t>
            </w:r>
          </w:p>
        </w:tc>
        <w:tc>
          <w:tcPr>
            <w:tcW w:w="94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Impairment on equity method investment</w:t>
            </w:r>
          </w:p>
        </w:tc>
        <w:tc>
          <w:tcPr>
            <w:tcW w:w="54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12"/>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2.0</w:t>
            </w:r>
          </w:p>
        </w:tc>
        <w:tc>
          <w:tcPr>
            <w:tcW w:w="94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4.8</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12"/>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Dividends received from equity method investees</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1.7</w:t>
            </w:r>
          </w:p>
        </w:tc>
        <w:tc>
          <w:tcPr>
            <w:tcW w:w="94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Other</w:t>
            </w:r>
          </w:p>
        </w:tc>
        <w:tc>
          <w:tcPr>
            <w:tcW w:w="54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6"/>
        </w:trPr>
        <w:tc>
          <w:tcPr>
            <w:tcW w:w="79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Changes in working capital</w:t>
            </w:r>
          </w:p>
        </w:tc>
        <w:tc>
          <w:tcPr>
            <w:tcW w:w="540" w:type="dxa"/>
            <w:vAlign w:val="bottom"/>
            <w:tcBorders>
              <w:bottom w:val="single" w:sz="8" w:color="auto"/>
            </w:tcBorders>
            <w:shd w:val="clear" w:color="auto" w:fill="43C0B9"/>
          </w:tcPr>
          <w:p>
            <w:pPr>
              <w:spacing w:after="0"/>
              <w:rPr>
                <w:sz w:val="17"/>
                <w:szCs w:val="17"/>
                <w:color w:val="auto"/>
              </w:rPr>
            </w:pPr>
          </w:p>
        </w:tc>
        <w:tc>
          <w:tcPr>
            <w:tcW w:w="1080" w:type="dxa"/>
            <w:vAlign w:val="bottom"/>
            <w:tcBorders>
              <w:bottom w:val="single" w:sz="8" w:color="auto"/>
            </w:tcBorders>
            <w:shd w:val="clear" w:color="auto" w:fill="43C0B9"/>
          </w:tcPr>
          <w:p>
            <w:pPr>
              <w:jc w:val="right"/>
              <w:ind w:right="11"/>
              <w:spacing w:after="0"/>
              <w:rPr>
                <w:sz w:val="20"/>
                <w:szCs w:val="20"/>
                <w:color w:val="auto"/>
              </w:rPr>
            </w:pPr>
            <w:r>
              <w:rPr>
                <w:rFonts w:ascii="Arial" w:cs="Arial" w:eastAsia="Arial" w:hAnsi="Arial"/>
                <w:sz w:val="14"/>
                <w:szCs w:val="14"/>
                <w:color w:val="auto"/>
              </w:rPr>
              <w:t>(30.9)</w:t>
            </w:r>
          </w:p>
        </w:tc>
        <w:tc>
          <w:tcPr>
            <w:tcW w:w="94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(12.7)</w:t>
            </w:r>
          </w:p>
        </w:tc>
      </w:tr>
      <w:tr>
        <w:trPr>
          <w:trHeight w:val="19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15.2</w:t>
            </w:r>
          </w:p>
        </w:tc>
        <w:tc>
          <w:tcPr>
            <w:tcW w:w="9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r>
    </w:tbl>
    <w:p>
      <w:pPr>
        <w:spacing w:after="0" w:line="298" w:lineRule="exact"/>
        <w:rPr>
          <w:sz w:val="20"/>
          <w:szCs w:val="20"/>
          <w:color w:val="auto"/>
        </w:rPr>
      </w:pPr>
    </w:p>
    <w:p>
      <w:pPr>
        <w:ind w:right="40" w:firstLine="619"/>
        <w:spacing w:after="0" w:line="254" w:lineRule="auto"/>
        <w:rPr>
          <w:sz w:val="20"/>
          <w:szCs w:val="20"/>
          <w:color w:val="auto"/>
        </w:rPr>
      </w:pPr>
      <w:r>
        <w:rPr>
          <w:rFonts w:ascii="Arial" w:cs="Arial" w:eastAsia="Arial" w:hAnsi="Arial"/>
          <w:sz w:val="15"/>
          <w:szCs w:val="15"/>
          <w:color w:val="auto"/>
        </w:rPr>
        <w:t>Net cash provided by operating activities decreased $17.7 million for the nine months ended July 31, 2021 compared to the respective period last year, reflecting unfavorable net change in working capital. Within working capital, unfavorable changes in inventory and accounts receivable were partially offset by favorable changes in grower payables. Changes in inventory were driven by a combination of a build-up of growing crop inventory in Peru, as well as higher per-unit cost of Mexican fruit on-hand compared to prior year. The growing crop increases were due primarily to higher per-acre farming costs to drive higher production yields. Additionally contributing to the build-up of crop inventory, a lower percentage of the estimated seasonal crop was harvested and sold as of July 31, 2021. Accounts receivable increases were due to a combination of higher sales volumes and rising sales prices during the period. Favorable changes in grower payables were correlated with the pricing increases experienced with Mexican inventory.</w:t>
      </w:r>
    </w:p>
    <w:p>
      <w:pPr>
        <w:spacing w:after="0" w:line="200" w:lineRule="exact"/>
        <w:rPr>
          <w:sz w:val="20"/>
          <w:szCs w:val="20"/>
          <w:color w:val="auto"/>
        </w:rPr>
      </w:pP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232F84"/>
        </w:rPr>
        <w:t>Investing activities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8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20" w:type="dxa"/>
            <w:vAlign w:val="bottom"/>
            <w:gridSpan w:val="2"/>
            <w:shd w:val="clear" w:color="auto" w:fill="232F84"/>
          </w:tcPr>
          <w:p>
            <w:pPr>
              <w:jc w:val="right"/>
              <w:ind w:right="231"/>
              <w:spacing w:after="0"/>
              <w:rPr>
                <w:sz w:val="20"/>
                <w:szCs w:val="20"/>
                <w:color w:val="auto"/>
              </w:rPr>
            </w:pPr>
            <w:r>
              <w:rPr>
                <w:rFonts w:ascii="Arial" w:cs="Arial" w:eastAsia="Arial" w:hAnsi="Arial"/>
                <w:sz w:val="14"/>
                <w:szCs w:val="14"/>
                <w:b w:val="1"/>
                <w:bCs w:val="1"/>
                <w:color w:val="FFFFFF"/>
              </w:rPr>
              <w:t>Nine Months Ended</w:t>
            </w:r>
          </w:p>
        </w:tc>
        <w:tc>
          <w:tcPr>
            <w:tcW w:w="700" w:type="dxa"/>
            <w:vAlign w:val="bottom"/>
            <w:shd w:val="clear" w:color="auto" w:fill="232F84"/>
          </w:tcPr>
          <w:p>
            <w:pPr>
              <w:spacing w:after="0"/>
              <w:rPr>
                <w:sz w:val="14"/>
                <w:szCs w:val="14"/>
                <w:color w:val="auto"/>
              </w:rPr>
            </w:pPr>
          </w:p>
        </w:tc>
      </w:tr>
      <w:tr>
        <w:trPr>
          <w:trHeight w:val="195"/>
        </w:trPr>
        <w:tc>
          <w:tcPr>
            <w:tcW w:w="798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20" w:type="dxa"/>
            <w:vAlign w:val="bottom"/>
            <w:gridSpan w:val="2"/>
            <w:shd w:val="clear" w:color="auto" w:fill="232F84"/>
          </w:tcPr>
          <w:p>
            <w:pPr>
              <w:jc w:val="right"/>
              <w:ind w:right="611"/>
              <w:spacing w:after="0"/>
              <w:rPr>
                <w:sz w:val="20"/>
                <w:szCs w:val="20"/>
                <w:color w:val="auto"/>
              </w:rPr>
            </w:pPr>
            <w:r>
              <w:rPr>
                <w:rFonts w:ascii="Arial" w:cs="Arial" w:eastAsia="Arial" w:hAnsi="Arial"/>
                <w:sz w:val="14"/>
                <w:szCs w:val="14"/>
                <w:b w:val="1"/>
                <w:bCs w:val="1"/>
                <w:color w:val="FFFFFF"/>
              </w:rPr>
              <w:t>July 31,</w:t>
            </w:r>
          </w:p>
        </w:tc>
        <w:tc>
          <w:tcPr>
            <w:tcW w:w="700" w:type="dxa"/>
            <w:vAlign w:val="bottom"/>
            <w:shd w:val="clear" w:color="auto" w:fill="232F84"/>
          </w:tcPr>
          <w:p>
            <w:pPr>
              <w:spacing w:after="0"/>
              <w:rPr>
                <w:sz w:val="17"/>
                <w:szCs w:val="17"/>
                <w:color w:val="auto"/>
              </w:rPr>
            </w:pPr>
          </w:p>
        </w:tc>
      </w:tr>
      <w:tr>
        <w:trPr>
          <w:trHeight w:val="216"/>
        </w:trPr>
        <w:tc>
          <w:tcPr>
            <w:tcW w:w="79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4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Purchases of property and equipment</w:t>
            </w:r>
          </w:p>
        </w:tc>
        <w:tc>
          <w:tcPr>
            <w:tcW w:w="540" w:type="dxa"/>
            <w:vAlign w:val="bottom"/>
            <w:shd w:val="clear" w:color="auto" w:fill="43C0B9"/>
          </w:tcPr>
          <w:p>
            <w:pPr>
              <w:jc w:val="right"/>
              <w:ind w:right="3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(61.3)</w:t>
            </w:r>
          </w:p>
        </w:tc>
        <w:tc>
          <w:tcPr>
            <w:tcW w:w="94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(40.4)</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54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2.3</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Insurance proceeds for the replacement of property, plant and equipment</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0.8</w:t>
            </w:r>
          </w:p>
        </w:tc>
        <w:tc>
          <w:tcPr>
            <w:tcW w:w="94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Investment in equity method investees</w:t>
            </w:r>
          </w:p>
        </w:tc>
        <w:tc>
          <w:tcPr>
            <w:tcW w:w="540" w:type="dxa"/>
            <w:vAlign w:val="bottom"/>
          </w:tcPr>
          <w:p>
            <w:pPr>
              <w:spacing w:after="0"/>
              <w:rPr>
                <w:sz w:val="17"/>
                <w:szCs w:val="17"/>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(0.2)</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12"/>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54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51"/>
              <w:spacing w:after="0"/>
              <w:rPr>
                <w:sz w:val="20"/>
                <w:szCs w:val="20"/>
                <w:color w:val="auto"/>
              </w:rPr>
            </w:pPr>
            <w:r>
              <w:rPr>
                <w:rFonts w:ascii="Arial" w:cs="Arial" w:eastAsia="Arial" w:hAnsi="Arial"/>
                <w:sz w:val="14"/>
                <w:szCs w:val="14"/>
                <w:color w:val="auto"/>
              </w:rPr>
              <w:t>1.5</w:t>
            </w:r>
          </w:p>
        </w:tc>
        <w:tc>
          <w:tcPr>
            <w:tcW w:w="940" w:type="dxa"/>
            <w:vAlign w:val="bottom"/>
            <w:shd w:val="clear" w:color="auto" w:fill="43C0B9"/>
          </w:tcPr>
          <w:p>
            <w:pPr>
              <w:spacing w:after="0"/>
              <w:rPr>
                <w:sz w:val="18"/>
                <w:szCs w:val="18"/>
                <w:color w:val="auto"/>
              </w:rPr>
            </w:pP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Loans to equity method investees</w:t>
            </w:r>
          </w:p>
        </w:tc>
        <w:tc>
          <w:tcPr>
            <w:tcW w:w="540" w:type="dxa"/>
            <w:vAlign w:val="bottom"/>
          </w:tcPr>
          <w:p>
            <w:pPr>
              <w:spacing w:after="0"/>
              <w:rPr>
                <w:sz w:val="17"/>
                <w:szCs w:val="17"/>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(2.0)</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9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shd w:val="clear" w:color="auto" w:fill="43C0B9"/>
          </w:tcPr>
          <w:p>
            <w:pPr>
              <w:spacing w:after="0"/>
              <w:rPr>
                <w:sz w:val="17"/>
                <w:szCs w:val="17"/>
                <w:color w:val="auto"/>
              </w:rPr>
            </w:pPr>
          </w:p>
        </w:tc>
        <w:tc>
          <w:tcPr>
            <w:tcW w:w="108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(0.2)</w:t>
            </w:r>
          </w:p>
        </w:tc>
      </w:tr>
      <w:tr>
        <w:trPr>
          <w:trHeight w:val="19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(58.9)</w:t>
            </w:r>
          </w:p>
        </w:tc>
        <w:tc>
          <w:tcPr>
            <w:tcW w:w="9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Property, plant and equipment</w:t>
      </w:r>
    </w:p>
    <w:p>
      <w:pPr>
        <w:spacing w:after="0" w:line="230" w:lineRule="exact"/>
        <w:rPr>
          <w:sz w:val="20"/>
          <w:szCs w:val="20"/>
          <w:color w:val="auto"/>
        </w:rPr>
      </w:pPr>
    </w:p>
    <w:p>
      <w:pPr>
        <w:ind w:right="120" w:firstLine="619"/>
        <w:spacing w:after="0" w:line="257" w:lineRule="auto"/>
        <w:rPr>
          <w:sz w:val="20"/>
          <w:szCs w:val="20"/>
          <w:color w:val="auto"/>
        </w:rPr>
      </w:pPr>
      <w:r>
        <w:rPr>
          <w:rFonts w:ascii="Arial" w:cs="Arial" w:eastAsia="Arial" w:hAnsi="Arial"/>
          <w:sz w:val="15"/>
          <w:szCs w:val="15"/>
          <w:color w:val="auto"/>
        </w:rPr>
        <w:t>In the nine months ended July 31, 2021, capital expenditures were concentrated in land improvements and orchard development in Peru and Guatemala, as well as finishing construction related to our new distribution and ripening facility in Laredo, Texas, which opened in May 2021. In the nine months ended July 31, 2020, capital expenditures were for farm development and packinghouse expansion in Peru, the purchase of farmland in California and early-stage construction costs for the Laredo facility.</w:t>
      </w:r>
    </w:p>
    <w:p>
      <w:pPr>
        <w:spacing w:after="0" w:line="189" w:lineRule="exact"/>
        <w:rPr>
          <w:sz w:val="20"/>
          <w:szCs w:val="20"/>
          <w:color w:val="auto"/>
        </w:rPr>
      </w:pPr>
    </w:p>
    <w:p>
      <w:pPr>
        <w:ind w:right="60" w:firstLine="619"/>
        <w:spacing w:after="0" w:line="260" w:lineRule="auto"/>
        <w:rPr>
          <w:sz w:val="20"/>
          <w:szCs w:val="20"/>
          <w:color w:val="auto"/>
        </w:rPr>
      </w:pPr>
      <w:r>
        <w:rPr>
          <w:rFonts w:ascii="Arial" w:cs="Arial" w:eastAsia="Arial" w:hAnsi="Arial"/>
          <w:sz w:val="15"/>
          <w:szCs w:val="15"/>
          <w:color w:val="auto"/>
        </w:rPr>
        <w:t>In the nine months ended July 31, 2021, proceeds from the sale of property, plant and equipment were primarily from the sale of two multi-unit housing properties in California that had been used for housing seasonal avocado labor contractors. We also received insurance proceeds for property, plant and equipment damage sustained in our Dallas facility from a cold weather storm in February 2021. The proceeds have been reinvested in the rebuilding of the equipment.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Equity method investees</w:t>
      </w:r>
    </w:p>
    <w:p>
      <w:pPr>
        <w:spacing w:after="0" w:line="230" w:lineRule="exact"/>
        <w:rPr>
          <w:sz w:val="20"/>
          <w:szCs w:val="20"/>
          <w:color w:val="auto"/>
        </w:rPr>
      </w:pPr>
    </w:p>
    <w:p>
      <w:pPr>
        <w:ind w:right="80" w:firstLine="619"/>
        <w:spacing w:after="0" w:line="259" w:lineRule="auto"/>
        <w:rPr>
          <w:sz w:val="20"/>
          <w:szCs w:val="20"/>
          <w:color w:val="auto"/>
        </w:rPr>
      </w:pPr>
      <w:r>
        <w:rPr>
          <w:rFonts w:ascii="Arial" w:cs="Arial" w:eastAsia="Arial" w:hAnsi="Arial"/>
          <w:sz w:val="15"/>
          <w:szCs w:val="15"/>
          <w:color w:val="auto"/>
        </w:rPr>
        <w:t>In the nine months ended July 31, 2021 and 2020, capital contributions to equity method investees were to our joint venture, Copaltas S.A.S., to support the purchase of additional farmland in Colombia. During the nine months ended July 31, 2021, we issued $2.0 million in loans to Copaltas to support the working capital needs of the entity. In addition, we received an installment payment of $1.5 million on our outstanding loan to Moruga during the nine months ended July 31, 2021.</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Financing activities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8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2020" w:type="dxa"/>
            <w:vAlign w:val="bottom"/>
            <w:gridSpan w:val="2"/>
            <w:shd w:val="clear" w:color="auto" w:fill="232F84"/>
          </w:tcPr>
          <w:p>
            <w:pPr>
              <w:ind w:left="440"/>
              <w:spacing w:after="0"/>
              <w:rPr>
                <w:sz w:val="20"/>
                <w:szCs w:val="20"/>
                <w:color w:val="auto"/>
              </w:rPr>
            </w:pPr>
            <w:r>
              <w:rPr>
                <w:rFonts w:ascii="Arial" w:cs="Arial" w:eastAsia="Arial" w:hAnsi="Arial"/>
                <w:sz w:val="14"/>
                <w:szCs w:val="14"/>
                <w:b w:val="1"/>
                <w:bCs w:val="1"/>
                <w:color w:val="FFFFFF"/>
              </w:rPr>
              <w:t>Nine Months Ended</w:t>
            </w:r>
          </w:p>
        </w:tc>
        <w:tc>
          <w:tcPr>
            <w:tcW w:w="700" w:type="dxa"/>
            <w:vAlign w:val="bottom"/>
            <w:shd w:val="clear" w:color="auto" w:fill="232F84"/>
          </w:tcPr>
          <w:p>
            <w:pPr>
              <w:spacing w:after="0"/>
              <w:rPr>
                <w:sz w:val="14"/>
                <w:szCs w:val="14"/>
                <w:color w:val="auto"/>
              </w:rPr>
            </w:pPr>
          </w:p>
        </w:tc>
      </w:tr>
      <w:tr>
        <w:trPr>
          <w:trHeight w:val="195"/>
        </w:trPr>
        <w:tc>
          <w:tcPr>
            <w:tcW w:w="798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020" w:type="dxa"/>
            <w:vAlign w:val="bottom"/>
            <w:gridSpan w:val="2"/>
            <w:shd w:val="clear" w:color="auto" w:fill="232F84"/>
          </w:tcPr>
          <w:p>
            <w:pPr>
              <w:ind w:left="840"/>
              <w:spacing w:after="0"/>
              <w:rPr>
                <w:sz w:val="20"/>
                <w:szCs w:val="20"/>
                <w:color w:val="auto"/>
              </w:rPr>
            </w:pPr>
            <w:r>
              <w:rPr>
                <w:rFonts w:ascii="Arial" w:cs="Arial" w:eastAsia="Arial" w:hAnsi="Arial"/>
                <w:sz w:val="14"/>
                <w:szCs w:val="14"/>
                <w:b w:val="1"/>
                <w:bCs w:val="1"/>
                <w:color w:val="FFFFFF"/>
              </w:rPr>
              <w:t>July 31,</w:t>
            </w:r>
          </w:p>
        </w:tc>
        <w:tc>
          <w:tcPr>
            <w:tcW w:w="700" w:type="dxa"/>
            <w:vAlign w:val="bottom"/>
            <w:shd w:val="clear" w:color="auto" w:fill="232F84"/>
          </w:tcPr>
          <w:p>
            <w:pPr>
              <w:spacing w:after="0"/>
              <w:rPr>
                <w:sz w:val="17"/>
                <w:szCs w:val="17"/>
                <w:color w:val="auto"/>
              </w:rPr>
            </w:pPr>
          </w:p>
        </w:tc>
      </w:tr>
      <w:tr>
        <w:trPr>
          <w:trHeight w:val="216"/>
        </w:trPr>
        <w:tc>
          <w:tcPr>
            <w:tcW w:w="79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40" w:type="dxa"/>
            <w:vAlign w:val="bottom"/>
            <w:shd w:val="clear" w:color="auto" w:fill="232F84"/>
          </w:tcPr>
          <w:p>
            <w:pPr>
              <w:spacing w:after="0"/>
              <w:rPr>
                <w:sz w:val="18"/>
                <w:szCs w:val="18"/>
                <w:color w:val="auto"/>
              </w:rPr>
            </w:pPr>
          </w:p>
        </w:tc>
        <w:tc>
          <w:tcPr>
            <w:tcW w:w="1080" w:type="dxa"/>
            <w:vAlign w:val="bottom"/>
            <w:shd w:val="clear" w:color="auto" w:fill="232F84"/>
          </w:tcPr>
          <w:p>
            <w:pPr>
              <w:jc w:val="right"/>
              <w:ind w:right="111"/>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8"/>
                <w:szCs w:val="18"/>
                <w:color w:val="auto"/>
              </w:rPr>
            </w:pPr>
          </w:p>
        </w:tc>
        <w:tc>
          <w:tcPr>
            <w:tcW w:w="700" w:type="dxa"/>
            <w:vAlign w:val="bottom"/>
            <w:shd w:val="clear" w:color="auto" w:fill="232F84"/>
          </w:tcPr>
          <w:p>
            <w:pPr>
              <w:jc w:val="right"/>
              <w:ind w:right="51"/>
              <w:spacing w:after="0"/>
              <w:rPr>
                <w:sz w:val="20"/>
                <w:szCs w:val="20"/>
                <w:color w:val="auto"/>
              </w:rPr>
            </w:pPr>
            <w:r>
              <w:rPr>
                <w:rFonts w:ascii="Arial" w:cs="Arial" w:eastAsia="Arial" w:hAnsi="Arial"/>
                <w:sz w:val="14"/>
                <w:szCs w:val="14"/>
                <w:b w:val="1"/>
                <w:bCs w:val="1"/>
                <w:color w:val="FFFFFF"/>
              </w:rPr>
              <w:t>2020</w:t>
            </w:r>
          </w:p>
        </w:tc>
      </w:tr>
      <w:tr>
        <w:trPr>
          <w:trHeight w:val="206"/>
        </w:trPr>
        <w:tc>
          <w:tcPr>
            <w:tcW w:w="798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Principal payments on long-term borrowings, capital leases and supplier financing</w:t>
            </w:r>
          </w:p>
        </w:tc>
        <w:tc>
          <w:tcPr>
            <w:tcW w:w="540" w:type="dxa"/>
            <w:vAlign w:val="bottom"/>
            <w:shd w:val="clear" w:color="auto" w:fill="43C0B9"/>
          </w:tcPr>
          <w:p>
            <w:pPr>
              <w:jc w:val="right"/>
              <w:ind w:right="3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43C0B9"/>
          </w:tcPr>
          <w:p>
            <w:pPr>
              <w:jc w:val="right"/>
              <w:ind w:right="11"/>
              <w:spacing w:after="0"/>
              <w:rPr>
                <w:sz w:val="20"/>
                <w:szCs w:val="20"/>
                <w:color w:val="auto"/>
              </w:rPr>
            </w:pPr>
            <w:r>
              <w:rPr>
                <w:rFonts w:ascii="Arial" w:cs="Arial" w:eastAsia="Arial" w:hAnsi="Arial"/>
                <w:sz w:val="14"/>
                <w:szCs w:val="14"/>
                <w:color w:val="auto"/>
              </w:rPr>
              <w:t>(6.6)</w:t>
            </w:r>
          </w:p>
        </w:tc>
        <w:tc>
          <w:tcPr>
            <w:tcW w:w="940" w:type="dxa"/>
            <w:vAlign w:val="bottom"/>
            <w:shd w:val="clear" w:color="auto" w:fill="43C0B9"/>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540" w:type="dxa"/>
            <w:vAlign w:val="bottom"/>
          </w:tcPr>
          <w:p>
            <w:pPr>
              <w:spacing w:after="0"/>
              <w:rPr>
                <w:sz w:val="17"/>
                <w:szCs w:val="17"/>
                <w:color w:val="auto"/>
              </w:rPr>
            </w:pP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6"/>
        </w:trPr>
        <w:tc>
          <w:tcPr>
            <w:tcW w:w="79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shd w:val="clear" w:color="auto" w:fill="43C0B9"/>
          </w:tcPr>
          <w:p>
            <w:pPr>
              <w:spacing w:after="0"/>
              <w:rPr>
                <w:sz w:val="17"/>
                <w:szCs w:val="17"/>
                <w:color w:val="auto"/>
              </w:rPr>
            </w:pPr>
          </w:p>
        </w:tc>
        <w:tc>
          <w:tcPr>
            <w:tcW w:w="1080" w:type="dxa"/>
            <w:vAlign w:val="bottom"/>
            <w:tcBorders>
              <w:bottom w:val="single" w:sz="8" w:color="auto"/>
            </w:tcBorders>
            <w:shd w:val="clear" w:color="auto" w:fill="43C0B9"/>
          </w:tcPr>
          <w:p>
            <w:pPr>
              <w:ind w:left="8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43C0B9"/>
          </w:tcPr>
          <w:p>
            <w:pPr>
              <w:spacing w:after="0"/>
              <w:rPr>
                <w:sz w:val="17"/>
                <w:szCs w:val="17"/>
                <w:color w:val="auto"/>
              </w:rPr>
            </w:pPr>
          </w:p>
        </w:tc>
        <w:tc>
          <w:tcPr>
            <w:tcW w:w="7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(1.9)</w:t>
            </w:r>
          </w:p>
        </w:tc>
      </w:tr>
      <w:tr>
        <w:trPr>
          <w:trHeight w:val="19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(6.6)</w:t>
            </w:r>
          </w:p>
        </w:tc>
        <w:tc>
          <w:tcPr>
            <w:tcW w:w="9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Borrowings and repayments of debt</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Principal payments on our term loans and other notes payable under our credit facility are made in accordance with debt maturity schedules under the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facility.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Shareholders’ equity</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paid dividends of $0.12 per share during the nine months ended July 31, 2020. No dividends were paid during the nine months ended July 31, 2021.</w:t>
      </w:r>
    </w:p>
    <w:p>
      <w:pPr>
        <w:spacing w:after="0" w:line="200" w:lineRule="exact"/>
        <w:rPr>
          <w:sz w:val="20"/>
          <w:szCs w:val="20"/>
          <w:color w:val="auto"/>
        </w:rPr>
      </w:pP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232F84"/>
        </w:rPr>
        <w:t>Capital resources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560" w:type="dxa"/>
            <w:vAlign w:val="bottom"/>
            <w:shd w:val="clear" w:color="auto" w:fill="232F84"/>
          </w:tcPr>
          <w:p>
            <w:pPr>
              <w:spacing w:after="0"/>
              <w:rPr>
                <w:sz w:val="17"/>
                <w:szCs w:val="17"/>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July 31, 2021</w:t>
            </w:r>
          </w:p>
        </w:tc>
        <w:tc>
          <w:tcPr>
            <w:tcW w:w="320" w:type="dxa"/>
            <w:vAlign w:val="bottom"/>
            <w:shd w:val="clear" w:color="auto" w:fill="232F84"/>
          </w:tcPr>
          <w:p>
            <w:pPr>
              <w:spacing w:after="0"/>
              <w:rPr>
                <w:sz w:val="17"/>
                <w:szCs w:val="17"/>
                <w:color w:val="auto"/>
              </w:rPr>
            </w:pPr>
          </w:p>
        </w:tc>
        <w:tc>
          <w:tcPr>
            <w:tcW w:w="13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206"/>
        </w:trPr>
        <w:tc>
          <w:tcPr>
            <w:tcW w:w="4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Cash and cash equivalents</w:t>
            </w:r>
          </w:p>
        </w:tc>
        <w:tc>
          <w:tcPr>
            <w:tcW w:w="3560" w:type="dxa"/>
            <w:vAlign w:val="bottom"/>
            <w:shd w:val="clear" w:color="auto" w:fill="43C0B9"/>
          </w:tcPr>
          <w:p>
            <w:pPr>
              <w:jc w:val="right"/>
              <w:ind w:right="231"/>
              <w:spacing w:after="0"/>
              <w:rPr>
                <w:sz w:val="20"/>
                <w:szCs w:val="20"/>
                <w:color w:val="auto"/>
              </w:rPr>
            </w:pPr>
            <w:r>
              <w:rPr>
                <w:rFonts w:ascii="Arial" w:cs="Arial" w:eastAsia="Arial" w:hAnsi="Arial"/>
                <w:sz w:val="14"/>
                <w:szCs w:val="14"/>
                <w:color w:val="auto"/>
              </w:rPr>
              <w:t>$</w:t>
            </w: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4"/>
                <w:szCs w:val="14"/>
                <w:color w:val="auto"/>
              </w:rPr>
              <w:t>70.9</w:t>
            </w:r>
          </w:p>
        </w:tc>
        <w:tc>
          <w:tcPr>
            <w:tcW w:w="320" w:type="dxa"/>
            <w:vAlign w:val="bottom"/>
            <w:shd w:val="clear" w:color="auto" w:fill="43C0B9"/>
          </w:tcPr>
          <w:p>
            <w:pPr>
              <w:jc w:val="right"/>
              <w:ind w:right="1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124.0</w:t>
            </w:r>
          </w:p>
        </w:tc>
      </w:tr>
      <w:tr>
        <w:trPr>
          <w:trHeight w:val="20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Working capital</w:t>
            </w:r>
          </w:p>
        </w:tc>
        <w:tc>
          <w:tcPr>
            <w:tcW w:w="3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156.3</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r>
    </w:tbl>
    <w:p>
      <w:pPr>
        <w:spacing w:after="0" w:line="2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Capital resources include cash flows from operations, cash and cash equivalents, and debt financing.</w:t>
      </w:r>
    </w:p>
    <w:p>
      <w:pPr>
        <w:spacing w:after="0" w:line="214" w:lineRule="exact"/>
        <w:rPr>
          <w:sz w:val="20"/>
          <w:szCs w:val="20"/>
          <w:color w:val="auto"/>
        </w:rPr>
      </w:pPr>
    </w:p>
    <w:p>
      <w:pPr>
        <w:ind w:right="40" w:firstLine="619"/>
        <w:spacing w:after="0" w:line="255" w:lineRule="auto"/>
        <w:rPr>
          <w:sz w:val="20"/>
          <w:szCs w:val="20"/>
          <w:color w:val="auto"/>
        </w:rPr>
      </w:pPr>
      <w:r>
        <w:rPr>
          <w:rFonts w:ascii="Arial" w:cs="Arial" w:eastAsia="Arial" w:hAnsi="Arial"/>
          <w:sz w:val="15"/>
          <w:szCs w:val="15"/>
          <w:color w:val="auto"/>
        </w:rPr>
        <w:t>We have a syndicated credit facility with Bank of America, N.A., comprised of two term loans and a revolving credit facility (“revolver”) that provides up to $100 million in borrowings that will expire in October 2023. The credit facility also includes a swing line facility and an accordion feature which allows us to increase the borrowings by up to $125 million, with bank approval. We did not have any outstanding borrowings under the revolver as of July 31, 2021 and October 31, 2020. Interest on the revolver bears rates at a spread over LIBOR that varies with our leverage ratio. As of July 31, 2021 and October 31, 2020, interest rates on the revolver were 1.84% and 1.90%, respectively.</w:t>
      </w:r>
    </w:p>
    <w:p>
      <w:pPr>
        <w:spacing w:after="0" w:line="192" w:lineRule="exact"/>
        <w:rPr>
          <w:sz w:val="20"/>
          <w:szCs w:val="20"/>
          <w:color w:val="auto"/>
        </w:rPr>
      </w:pPr>
    </w:p>
    <w:p>
      <w:pPr>
        <w:jc w:val="both"/>
        <w:ind w:right="20" w:firstLine="619"/>
        <w:spacing w:after="0" w:line="257" w:lineRule="auto"/>
        <w:rPr>
          <w:sz w:val="20"/>
          <w:szCs w:val="20"/>
          <w:color w:val="auto"/>
        </w:rPr>
      </w:pPr>
      <w:r>
        <w:rPr>
          <w:rFonts w:ascii="Arial" w:cs="Arial" w:eastAsia="Arial" w:hAnsi="Arial"/>
          <w:sz w:val="15"/>
          <w:szCs w:val="15"/>
          <w:color w:val="auto"/>
        </w:rPr>
        <w:t>As of July 31, 2021, we were required to comply with the following financial covenants: (a) a quarterly consolidated leverage ratio of not more than 3.00 to 1.00 and (b) a quarterly consolidated fixed charge coverage ratio of not less than 1.50 to 1.00. As of July 31, 2021, our consolidated leverage ratio was 1.83 to 1.00 and our consolidated fixed charge coverage ratio was 2.40 to 1.00 and we were in compliance with all such covenants of the credit facility. The loans are secured by real property, personal property and the capital stock of our subsidiaries. We pay fees on unused commitments on the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232F84"/>
        </w:rPr>
        <w:t>Commitments for capital expenditures</w:t>
      </w:r>
    </w:p>
    <w:p>
      <w:pPr>
        <w:spacing w:after="0" w:line="230" w:lineRule="exact"/>
        <w:rPr>
          <w:sz w:val="20"/>
          <w:szCs w:val="20"/>
          <w:color w:val="auto"/>
        </w:rPr>
      </w:pPr>
    </w:p>
    <w:p>
      <w:pPr>
        <w:ind w:right="80" w:firstLine="619"/>
        <w:spacing w:after="0" w:line="269" w:lineRule="auto"/>
        <w:rPr>
          <w:sz w:val="20"/>
          <w:szCs w:val="20"/>
          <w:color w:val="auto"/>
        </w:rPr>
      </w:pPr>
      <w:r>
        <w:rPr>
          <w:rFonts w:ascii="Arial" w:cs="Arial" w:eastAsia="Arial" w:hAnsi="Arial"/>
          <w:sz w:val="15"/>
          <w:szCs w:val="15"/>
          <w:color w:val="auto"/>
        </w:rPr>
        <w:t>We have various capital projects in progress for farming expansion and facility improvements which we intend to fund through our operating cash flow. We expect to spend approximately $20 million on these projects in the fourth quarter of fiscal 2021.</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3.</w:t>
      </w:r>
      <w:r>
        <w:rPr>
          <w:sz w:val="20"/>
          <w:szCs w:val="20"/>
          <w:color w:val="auto"/>
        </w:rPr>
        <w:tab/>
      </w:r>
      <w:r>
        <w:rPr>
          <w:rFonts w:ascii="Arial" w:cs="Arial" w:eastAsia="Arial" w:hAnsi="Arial"/>
          <w:sz w:val="24"/>
          <w:szCs w:val="24"/>
          <w:b w:val="1"/>
          <w:bCs w:val="1"/>
          <w:color w:val="232F84"/>
        </w:rPr>
        <w:t>Quantitative and Qualitative Disclosures About Market Risk</w:t>
      </w:r>
    </w:p>
    <w:p>
      <w:pPr>
        <w:spacing w:after="0" w:line="244" w:lineRule="exact"/>
        <w:rPr>
          <w:sz w:val="20"/>
          <w:szCs w:val="20"/>
          <w:color w:val="auto"/>
        </w:rPr>
      </w:pPr>
    </w:p>
    <w:p>
      <w:pPr>
        <w:ind w:right="80" w:firstLine="619"/>
        <w:spacing w:after="0" w:line="269" w:lineRule="auto"/>
        <w:rPr>
          <w:sz w:val="20"/>
          <w:szCs w:val="20"/>
          <w:color w:val="auto"/>
        </w:rPr>
      </w:pPr>
      <w:r>
        <w:rPr>
          <w:rFonts w:ascii="Arial" w:cs="Arial" w:eastAsia="Arial" w:hAnsi="Arial"/>
          <w:sz w:val="15"/>
          <w:szCs w:val="15"/>
          <w:color w:val="auto"/>
        </w:rPr>
        <w:t>There have been no material changes to “Part II, Item 7A. Quantitative and Qualitative Disclosures About Market Risk” in our Annual Report on Form 10-K for the year ended October 31, 2020.</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4.</w:t>
      </w:r>
      <w:r>
        <w:rPr>
          <w:sz w:val="20"/>
          <w:szCs w:val="20"/>
          <w:color w:val="auto"/>
        </w:rPr>
        <w:tab/>
      </w:r>
      <w:r>
        <w:rPr>
          <w:rFonts w:ascii="Arial" w:cs="Arial" w:eastAsia="Arial" w:hAnsi="Arial"/>
          <w:sz w:val="24"/>
          <w:szCs w:val="24"/>
          <w:b w:val="1"/>
          <w:bCs w:val="1"/>
          <w:color w:val="232F84"/>
        </w:rPr>
        <w:t>Controls and Procedures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Evaluation of Disclosure Controls and Procedures</w:t>
      </w:r>
    </w:p>
    <w:p>
      <w:pPr>
        <w:spacing w:after="0" w:line="232" w:lineRule="exact"/>
        <w:rPr>
          <w:sz w:val="20"/>
          <w:szCs w:val="20"/>
          <w:color w:val="auto"/>
        </w:rPr>
      </w:pPr>
    </w:p>
    <w:p>
      <w:pPr>
        <w:ind w:firstLine="619"/>
        <w:spacing w:after="0" w:line="254" w:lineRule="auto"/>
        <w:rPr>
          <w:sz w:val="20"/>
          <w:szCs w:val="20"/>
          <w:color w:val="auto"/>
        </w:rPr>
      </w:pPr>
      <w:r>
        <w:rPr>
          <w:rFonts w:ascii="Arial" w:cs="Arial" w:eastAsia="Arial" w:hAnsi="Arial"/>
          <w:sz w:val="15"/>
          <w:szCs w:val="15"/>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Changes in Internal Control Over Financial Reporting</w:t>
      </w:r>
    </w:p>
    <w:p>
      <w:pPr>
        <w:spacing w:after="0" w:line="232" w:lineRule="exact"/>
        <w:rPr>
          <w:sz w:val="20"/>
          <w:szCs w:val="20"/>
          <w:color w:val="auto"/>
        </w:rPr>
      </w:pPr>
    </w:p>
    <w:p>
      <w:pPr>
        <w:ind w:right="340" w:firstLine="619"/>
        <w:spacing w:after="0" w:line="269" w:lineRule="auto"/>
        <w:rPr>
          <w:sz w:val="20"/>
          <w:szCs w:val="20"/>
          <w:color w:val="auto"/>
        </w:rPr>
      </w:pPr>
      <w:r>
        <w:rPr>
          <w:rFonts w:ascii="Arial" w:cs="Arial" w:eastAsia="Arial" w:hAnsi="Arial"/>
          <w:sz w:val="15"/>
          <w:szCs w:val="15"/>
          <w:color w:val="auto"/>
        </w:rPr>
        <w:t>There have been no changes in our internal control over financial reporting during the quarter ended July 31, 2021 that have materially affected, or are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2F84"/>
        </w:rPr>
        <w:t>Limitations on Effectiveness of Controls and Procedures</w:t>
      </w:r>
    </w:p>
    <w:p>
      <w:pPr>
        <w:spacing w:after="0" w:line="232" w:lineRule="exact"/>
        <w:rPr>
          <w:sz w:val="20"/>
          <w:szCs w:val="20"/>
          <w:color w:val="auto"/>
        </w:rPr>
      </w:pPr>
    </w:p>
    <w:p>
      <w:pPr>
        <w:jc w:val="both"/>
        <w:ind w:right="120" w:firstLine="619"/>
        <w:spacing w:after="0" w:line="255" w:lineRule="auto"/>
        <w:rPr>
          <w:sz w:val="20"/>
          <w:szCs w:val="20"/>
          <w:color w:val="auto"/>
        </w:rPr>
      </w:pPr>
      <w:r>
        <w:rPr>
          <w:rFonts w:ascii="Arial" w:cs="Arial" w:eastAsia="Arial" w:hAnsi="Arial"/>
          <w:sz w:val="15"/>
          <w:szCs w:val="15"/>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24"/>
          <w:szCs w:val="24"/>
          <w:b w:val="1"/>
          <w:bCs w:val="1"/>
          <w:color w:val="232F84"/>
        </w:rPr>
        <w:t>PART II- OTHER INFORMATION</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1.</w:t>
      </w:r>
      <w:r>
        <w:rPr>
          <w:sz w:val="20"/>
          <w:szCs w:val="20"/>
          <w:color w:val="auto"/>
        </w:rPr>
        <w:tab/>
      </w:r>
      <w:r>
        <w:rPr>
          <w:rFonts w:ascii="Arial" w:cs="Arial" w:eastAsia="Arial" w:hAnsi="Arial"/>
          <w:sz w:val="24"/>
          <w:szCs w:val="24"/>
          <w:b w:val="1"/>
          <w:bCs w:val="1"/>
          <w:color w:val="232F84"/>
        </w:rPr>
        <w:t>Legal Proceedings</w:t>
      </w:r>
    </w:p>
    <w:p>
      <w:pPr>
        <w:spacing w:after="0" w:line="244" w:lineRule="exact"/>
        <w:rPr>
          <w:sz w:val="20"/>
          <w:szCs w:val="20"/>
          <w:color w:val="auto"/>
        </w:rPr>
      </w:pPr>
    </w:p>
    <w:p>
      <w:pPr>
        <w:ind w:right="20" w:firstLine="619"/>
        <w:spacing w:after="0" w:line="269" w:lineRule="auto"/>
        <w:rPr>
          <w:sz w:val="20"/>
          <w:szCs w:val="20"/>
          <w:color w:val="auto"/>
        </w:rPr>
      </w:pPr>
      <w:r>
        <w:rPr>
          <w:rFonts w:ascii="Arial" w:cs="Arial" w:eastAsia="Arial" w:hAnsi="Arial"/>
          <w:sz w:val="15"/>
          <w:szCs w:val="15"/>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updates the matter discussed in “Part I, Item 3. Legal Proceedings” in our Annual Report on Form 10-K for the year ended October 31, 2020:</w:t>
      </w:r>
    </w:p>
    <w:p>
      <w:pPr>
        <w:spacing w:after="0" w:line="214" w:lineRule="exact"/>
        <w:rPr>
          <w:sz w:val="20"/>
          <w:szCs w:val="20"/>
          <w:color w:val="auto"/>
        </w:rPr>
      </w:pPr>
    </w:p>
    <w:p>
      <w:pPr>
        <w:ind w:firstLine="619"/>
        <w:spacing w:after="0" w:line="253" w:lineRule="auto"/>
        <w:rPr>
          <w:sz w:val="20"/>
          <w:szCs w:val="20"/>
          <w:color w:val="auto"/>
        </w:rPr>
      </w:pPr>
      <w:r>
        <w:rPr>
          <w:rFonts w:ascii="Arial" w:cs="Arial" w:eastAsia="Arial" w:hAnsi="Arial"/>
          <w:sz w:val="15"/>
          <w:szCs w:val="15"/>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condensed consolidated statements of comprehensive income during the three months ended April 30, 2021. This preliminary settlement is subject to approval by the applicable courts.</w:t>
      </w:r>
    </w:p>
    <w:p>
      <w:pPr>
        <w:spacing w:after="0" w:line="194"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5"/>
          <w:szCs w:val="15"/>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86" w:lineRule="exact"/>
        <w:rPr>
          <w:sz w:val="20"/>
          <w:szCs w:val="20"/>
          <w:color w:val="auto"/>
        </w:rPr>
      </w:pPr>
    </w:p>
    <w:p>
      <w:pPr>
        <w:spacing w:after="0"/>
        <w:tabs>
          <w:tab w:leader="none" w:pos="1460" w:val="left"/>
        </w:tabs>
        <w:rPr>
          <w:sz w:val="20"/>
          <w:szCs w:val="20"/>
          <w:color w:val="auto"/>
        </w:rPr>
      </w:pPr>
      <w:r>
        <w:rPr>
          <w:rFonts w:ascii="Arial" w:cs="Arial" w:eastAsia="Arial" w:hAnsi="Arial"/>
          <w:sz w:val="24"/>
          <w:szCs w:val="24"/>
          <w:b w:val="1"/>
          <w:bCs w:val="1"/>
          <w:color w:val="232F84"/>
        </w:rPr>
        <w:t>Item 1A.</w:t>
      </w:r>
      <w:r>
        <w:rPr>
          <w:sz w:val="20"/>
          <w:szCs w:val="20"/>
          <w:color w:val="auto"/>
        </w:rPr>
        <w:tab/>
      </w:r>
      <w:r>
        <w:rPr>
          <w:rFonts w:ascii="Arial" w:cs="Arial" w:eastAsia="Arial" w:hAnsi="Arial"/>
          <w:sz w:val="23"/>
          <w:szCs w:val="23"/>
          <w:b w:val="1"/>
          <w:bCs w:val="1"/>
          <w:color w:val="232F84"/>
        </w:rPr>
        <w:t>Risk Factors</w:t>
      </w:r>
    </w:p>
    <w:p>
      <w:pPr>
        <w:spacing w:after="0" w:line="244" w:lineRule="exact"/>
        <w:rPr>
          <w:sz w:val="20"/>
          <w:szCs w:val="20"/>
          <w:color w:val="auto"/>
        </w:rPr>
      </w:pPr>
    </w:p>
    <w:p>
      <w:pPr>
        <w:ind w:right="40" w:firstLine="619"/>
        <w:spacing w:after="0" w:line="254" w:lineRule="auto"/>
        <w:rPr>
          <w:sz w:val="20"/>
          <w:szCs w:val="20"/>
          <w:color w:val="auto"/>
        </w:rPr>
      </w:pPr>
      <w:r>
        <w:rPr>
          <w:rFonts w:ascii="Arial" w:cs="Arial" w:eastAsia="Arial" w:hAnsi="Arial"/>
          <w:sz w:val="15"/>
          <w:szCs w:val="15"/>
          <w:color w:val="auto"/>
        </w:rPr>
        <w:t>For a discussion of our risk factors, see “Part I, Item 1A. Risk Factors” in our Annual Report on Form 10-K for the year ended October 31, 2020. There have been no material changes from the risk factors set forth in such Annual Report on Form 10-K. However, the risks and uncertainties that we face are not limited to those set forth in the 2020 Form 10-K. You should carefully consider the risk factors in the 2020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292"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2.</w:t>
      </w:r>
      <w:r>
        <w:rPr>
          <w:sz w:val="20"/>
          <w:szCs w:val="20"/>
          <w:color w:val="auto"/>
        </w:rPr>
        <w:tab/>
      </w:r>
      <w:r>
        <w:rPr>
          <w:rFonts w:ascii="Arial" w:cs="Arial" w:eastAsia="Arial" w:hAnsi="Arial"/>
          <w:sz w:val="24"/>
          <w:szCs w:val="24"/>
          <w:b w:val="1"/>
          <w:bCs w:val="1"/>
          <w:color w:val="232F84"/>
        </w:rPr>
        <w:t>Unregistered Sales of Equity Securities and Use of Proceeds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13"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3.</w:t>
      </w:r>
      <w:r>
        <w:rPr>
          <w:sz w:val="20"/>
          <w:szCs w:val="20"/>
          <w:color w:val="auto"/>
        </w:rPr>
        <w:tab/>
      </w:r>
      <w:r>
        <w:rPr>
          <w:rFonts w:ascii="Arial" w:cs="Arial" w:eastAsia="Arial" w:hAnsi="Arial"/>
          <w:sz w:val="24"/>
          <w:szCs w:val="24"/>
          <w:b w:val="1"/>
          <w:bCs w:val="1"/>
          <w:color w:val="232F84"/>
        </w:rPr>
        <w:t>Defaults Upon Senior Securities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13"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4.</w:t>
      </w:r>
      <w:r>
        <w:rPr>
          <w:sz w:val="20"/>
          <w:szCs w:val="20"/>
          <w:color w:val="auto"/>
        </w:rPr>
        <w:tab/>
      </w:r>
      <w:r>
        <w:rPr>
          <w:rFonts w:ascii="Arial" w:cs="Arial" w:eastAsia="Arial" w:hAnsi="Arial"/>
          <w:sz w:val="23"/>
          <w:szCs w:val="23"/>
          <w:b w:val="1"/>
          <w:bCs w:val="1"/>
          <w:color w:val="232F84"/>
        </w:rPr>
        <w:t>Mine Safety Disclosures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13" w:lineRule="exact"/>
        <w:rPr>
          <w:sz w:val="20"/>
          <w:szCs w:val="20"/>
          <w:color w:val="auto"/>
        </w:rPr>
      </w:pPr>
    </w:p>
    <w:p>
      <w:pPr>
        <w:spacing w:after="0"/>
        <w:tabs>
          <w:tab w:leader="none" w:pos="1280" w:val="left"/>
        </w:tabs>
        <w:rPr>
          <w:sz w:val="20"/>
          <w:szCs w:val="20"/>
          <w:color w:val="auto"/>
        </w:rPr>
      </w:pPr>
      <w:r>
        <w:rPr>
          <w:rFonts w:ascii="Arial" w:cs="Arial" w:eastAsia="Arial" w:hAnsi="Arial"/>
          <w:sz w:val="24"/>
          <w:szCs w:val="24"/>
          <w:b w:val="1"/>
          <w:bCs w:val="1"/>
          <w:color w:val="232F84"/>
        </w:rPr>
        <w:t>Item 5.</w:t>
      </w:r>
      <w:r>
        <w:rPr>
          <w:sz w:val="20"/>
          <w:szCs w:val="20"/>
          <w:color w:val="auto"/>
        </w:rPr>
        <w:tab/>
      </w:r>
      <w:r>
        <w:rPr>
          <w:rFonts w:ascii="Arial" w:cs="Arial" w:eastAsia="Arial" w:hAnsi="Arial"/>
          <w:sz w:val="24"/>
          <w:szCs w:val="24"/>
          <w:b w:val="1"/>
          <w:bCs w:val="1"/>
          <w:color w:val="232F84"/>
        </w:rPr>
        <w:t>Other Information</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20"/>
        </w:trPr>
        <w:tc>
          <w:tcPr>
            <w:tcW w:w="780" w:type="dxa"/>
            <w:vAlign w:val="bottom"/>
          </w:tcPr>
          <w:p>
            <w:pPr>
              <w:jc w:val="center"/>
              <w:spacing w:after="0"/>
              <w:rPr>
                <w:sz w:val="20"/>
                <w:szCs w:val="20"/>
                <w:color w:val="auto"/>
              </w:rPr>
            </w:pPr>
            <w:r>
              <w:rPr>
                <w:rFonts w:ascii="Arial" w:cs="Arial" w:eastAsia="Arial" w:hAnsi="Arial"/>
                <w:sz w:val="24"/>
                <w:szCs w:val="24"/>
                <w:b w:val="1"/>
                <w:bCs w:val="1"/>
                <w:color w:val="232F84"/>
                <w:w w:val="99"/>
              </w:rPr>
              <w:t>Item 6.</w:t>
            </w:r>
          </w:p>
        </w:tc>
        <w:tc>
          <w:tcPr>
            <w:tcW w:w="100" w:type="dxa"/>
            <w:vAlign w:val="bottom"/>
          </w:tcPr>
          <w:p>
            <w:pPr>
              <w:spacing w:after="0"/>
              <w:rPr>
                <w:sz w:val="24"/>
                <w:szCs w:val="24"/>
                <w:color w:val="auto"/>
              </w:rPr>
            </w:pPr>
          </w:p>
        </w:tc>
        <w:tc>
          <w:tcPr>
            <w:tcW w:w="6580" w:type="dxa"/>
            <w:vAlign w:val="bottom"/>
            <w:gridSpan w:val="8"/>
          </w:tcPr>
          <w:p>
            <w:pPr>
              <w:ind w:left="420"/>
              <w:spacing w:after="0"/>
              <w:rPr>
                <w:sz w:val="20"/>
                <w:szCs w:val="20"/>
                <w:color w:val="auto"/>
              </w:rPr>
            </w:pPr>
            <w:r>
              <w:rPr>
                <w:rFonts w:ascii="Arial" w:cs="Arial" w:eastAsia="Arial" w:hAnsi="Arial"/>
                <w:sz w:val="24"/>
                <w:szCs w:val="24"/>
                <w:b w:val="1"/>
                <w:bCs w:val="1"/>
                <w:color w:val="232F84"/>
              </w:rPr>
              <w:t>Exhibits</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460" w:type="dxa"/>
            <w:vAlign w:val="bottom"/>
            <w:gridSpan w:val="10"/>
          </w:tcPr>
          <w:p>
            <w:pPr>
              <w:ind w:left="620"/>
              <w:spacing w:after="0"/>
              <w:rPr>
                <w:sz w:val="20"/>
                <w:szCs w:val="20"/>
                <w:color w:val="auto"/>
              </w:rPr>
            </w:pPr>
            <w:r>
              <w:rPr>
                <w:rFonts w:ascii="Arial" w:cs="Arial" w:eastAsia="Arial" w:hAnsi="Arial"/>
                <w:sz w:val="15"/>
                <w:szCs w:val="15"/>
                <w:color w:val="auto"/>
              </w:rPr>
              <w:t>The documents set forth are filed herewith or incorporated herein by reference.</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80" w:type="dxa"/>
            <w:vAlign w:val="bottom"/>
            <w:gridSpan w:val="6"/>
          </w:tcPr>
          <w:p>
            <w:pPr>
              <w:ind w:left="1360"/>
              <w:spacing w:after="0"/>
              <w:rPr>
                <w:sz w:val="20"/>
                <w:szCs w:val="20"/>
                <w:color w:val="auto"/>
              </w:rPr>
            </w:pPr>
            <w:r>
              <w:rPr>
                <w:rFonts w:ascii="Arial" w:cs="Arial" w:eastAsia="Arial" w:hAnsi="Arial"/>
                <w:sz w:val="19"/>
                <w:szCs w:val="19"/>
                <w:b w:val="1"/>
                <w:bCs w:val="1"/>
                <w:color w:val="232F84"/>
              </w:rPr>
              <w:t>INDEX</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6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0" w:type="dxa"/>
            <w:vAlign w:val="bottom"/>
            <w:shd w:val="clear" w:color="auto" w:fill="232F84"/>
          </w:tcPr>
          <w:p>
            <w:pPr>
              <w:spacing w:after="0"/>
              <w:rPr>
                <w:sz w:val="16"/>
                <w:szCs w:val="16"/>
                <w:color w:val="auto"/>
              </w:rPr>
            </w:pPr>
          </w:p>
        </w:tc>
        <w:tc>
          <w:tcPr>
            <w:tcW w:w="100" w:type="dxa"/>
            <w:vAlign w:val="bottom"/>
            <w:shd w:val="clear" w:color="auto" w:fill="232F84"/>
          </w:tcPr>
          <w:p>
            <w:pPr>
              <w:spacing w:after="0"/>
              <w:rPr>
                <w:sz w:val="16"/>
                <w:szCs w:val="16"/>
                <w:color w:val="auto"/>
              </w:rPr>
            </w:pPr>
          </w:p>
        </w:tc>
        <w:tc>
          <w:tcPr>
            <w:tcW w:w="1920" w:type="dxa"/>
            <w:vAlign w:val="bottom"/>
            <w:shd w:val="clear" w:color="auto" w:fill="232F84"/>
          </w:tcPr>
          <w:p>
            <w:pPr>
              <w:spacing w:after="0"/>
              <w:rPr>
                <w:sz w:val="16"/>
                <w:szCs w:val="16"/>
                <w:color w:val="auto"/>
              </w:rPr>
            </w:pPr>
          </w:p>
        </w:tc>
        <w:tc>
          <w:tcPr>
            <w:tcW w:w="1180" w:type="dxa"/>
            <w:vAlign w:val="bottom"/>
            <w:shd w:val="clear" w:color="auto" w:fill="232F84"/>
          </w:tcPr>
          <w:p>
            <w:pPr>
              <w:spacing w:after="0"/>
              <w:rPr>
                <w:sz w:val="16"/>
                <w:szCs w:val="16"/>
                <w:color w:val="auto"/>
              </w:rPr>
            </w:pPr>
          </w:p>
        </w:tc>
        <w:tc>
          <w:tcPr>
            <w:tcW w:w="2660" w:type="dxa"/>
            <w:vAlign w:val="bottom"/>
            <w:shd w:val="clear" w:color="auto" w:fill="232F84"/>
          </w:tcPr>
          <w:p>
            <w:pPr>
              <w:spacing w:after="0"/>
              <w:rPr>
                <w:sz w:val="16"/>
                <w:szCs w:val="16"/>
                <w:color w:val="auto"/>
              </w:rPr>
            </w:pPr>
          </w:p>
        </w:tc>
        <w:tc>
          <w:tcPr>
            <w:tcW w:w="140" w:type="dxa"/>
            <w:vAlign w:val="bottom"/>
            <w:shd w:val="clear" w:color="auto" w:fill="232F84"/>
          </w:tcPr>
          <w:p>
            <w:pPr>
              <w:spacing w:after="0"/>
              <w:rPr>
                <w:sz w:val="16"/>
                <w:szCs w:val="16"/>
                <w:color w:val="auto"/>
              </w:rPr>
            </w:pPr>
          </w:p>
        </w:tc>
        <w:tc>
          <w:tcPr>
            <w:tcW w:w="40" w:type="dxa"/>
            <w:vAlign w:val="bottom"/>
            <w:shd w:val="clear" w:color="auto" w:fill="232F84"/>
          </w:tcPr>
          <w:p>
            <w:pPr>
              <w:spacing w:after="0"/>
              <w:rPr>
                <w:sz w:val="16"/>
                <w:szCs w:val="16"/>
                <w:color w:val="auto"/>
              </w:rPr>
            </w:pPr>
          </w:p>
        </w:tc>
        <w:tc>
          <w:tcPr>
            <w:tcW w:w="460" w:type="dxa"/>
            <w:vAlign w:val="bottom"/>
            <w:shd w:val="clear" w:color="auto" w:fill="232F84"/>
          </w:tcPr>
          <w:p>
            <w:pPr>
              <w:spacing w:after="0"/>
              <w:rPr>
                <w:sz w:val="16"/>
                <w:szCs w:val="16"/>
                <w:color w:val="auto"/>
              </w:rPr>
            </w:pPr>
          </w:p>
        </w:tc>
        <w:tc>
          <w:tcPr>
            <w:tcW w:w="40" w:type="dxa"/>
            <w:vAlign w:val="bottom"/>
            <w:shd w:val="clear" w:color="auto" w:fill="232F84"/>
          </w:tcPr>
          <w:p>
            <w:pPr>
              <w:spacing w:after="0"/>
              <w:rPr>
                <w:sz w:val="16"/>
                <w:szCs w:val="16"/>
                <w:color w:val="auto"/>
              </w:rPr>
            </w:pPr>
          </w:p>
        </w:tc>
        <w:tc>
          <w:tcPr>
            <w:tcW w:w="140" w:type="dxa"/>
            <w:vAlign w:val="bottom"/>
            <w:shd w:val="clear" w:color="auto" w:fill="232F84"/>
          </w:tcPr>
          <w:p>
            <w:pPr>
              <w:spacing w:after="0"/>
              <w:rPr>
                <w:sz w:val="16"/>
                <w:szCs w:val="16"/>
                <w:color w:val="auto"/>
              </w:rPr>
            </w:pPr>
          </w:p>
        </w:tc>
        <w:tc>
          <w:tcPr>
            <w:tcW w:w="500" w:type="dxa"/>
            <w:vAlign w:val="bottom"/>
            <w:shd w:val="clear" w:color="auto" w:fill="232F84"/>
          </w:tcPr>
          <w:p>
            <w:pPr>
              <w:spacing w:after="0"/>
              <w:rPr>
                <w:sz w:val="16"/>
                <w:szCs w:val="16"/>
                <w:color w:val="auto"/>
              </w:rPr>
            </w:pPr>
          </w:p>
        </w:tc>
        <w:tc>
          <w:tcPr>
            <w:tcW w:w="226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Incorporated by Reference</w:t>
            </w:r>
          </w:p>
        </w:tc>
        <w:tc>
          <w:tcPr>
            <w:tcW w:w="980" w:type="dxa"/>
            <w:vAlign w:val="bottom"/>
            <w:shd w:val="clear" w:color="auto" w:fill="232F84"/>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 w:type="dxa"/>
            <w:vAlign w:val="bottom"/>
            <w:vMerge w:val="restart"/>
            <w:shd w:val="clear" w:color="auto" w:fill="232F84"/>
          </w:tcPr>
          <w:p>
            <w:pPr>
              <w:jc w:val="center"/>
              <w:spacing w:after="0"/>
              <w:rPr>
                <w:sz w:val="20"/>
                <w:szCs w:val="20"/>
                <w:color w:val="auto"/>
              </w:rPr>
            </w:pPr>
            <w:r>
              <w:rPr>
                <w:rFonts w:ascii="Arial" w:cs="Arial" w:eastAsia="Arial" w:hAnsi="Arial"/>
                <w:sz w:val="14"/>
                <w:szCs w:val="14"/>
                <w:b w:val="1"/>
                <w:bCs w:val="1"/>
                <w:color w:val="FFFFFF"/>
                <w:w w:val="95"/>
              </w:rPr>
              <w:t>Exhibit No.</w:t>
            </w:r>
          </w:p>
        </w:tc>
        <w:tc>
          <w:tcPr>
            <w:tcW w:w="100" w:type="dxa"/>
            <w:vAlign w:val="bottom"/>
            <w:shd w:val="clear" w:color="auto" w:fill="232F84"/>
          </w:tcPr>
          <w:p>
            <w:pPr>
              <w:spacing w:after="0"/>
              <w:rPr>
                <w:sz w:val="2"/>
                <w:szCs w:val="2"/>
                <w:color w:val="auto"/>
              </w:rPr>
            </w:pPr>
          </w:p>
        </w:tc>
        <w:tc>
          <w:tcPr>
            <w:tcW w:w="1920" w:type="dxa"/>
            <w:vAlign w:val="bottom"/>
            <w:shd w:val="clear" w:color="auto" w:fill="232F84"/>
          </w:tcPr>
          <w:p>
            <w:pPr>
              <w:spacing w:after="0"/>
              <w:rPr>
                <w:sz w:val="2"/>
                <w:szCs w:val="2"/>
                <w:color w:val="auto"/>
              </w:rPr>
            </w:pPr>
          </w:p>
        </w:tc>
        <w:tc>
          <w:tcPr>
            <w:tcW w:w="1180" w:type="dxa"/>
            <w:vAlign w:val="bottom"/>
            <w:shd w:val="clear" w:color="auto" w:fill="232F84"/>
          </w:tcPr>
          <w:p>
            <w:pPr>
              <w:spacing w:after="0"/>
              <w:rPr>
                <w:sz w:val="2"/>
                <w:szCs w:val="2"/>
                <w:color w:val="auto"/>
              </w:rPr>
            </w:pPr>
          </w:p>
        </w:tc>
        <w:tc>
          <w:tcPr>
            <w:tcW w:w="2660" w:type="dxa"/>
            <w:vAlign w:val="bottom"/>
            <w:shd w:val="clear" w:color="auto" w:fill="232F84"/>
          </w:tcPr>
          <w:p>
            <w:pPr>
              <w:spacing w:after="0"/>
              <w:rPr>
                <w:sz w:val="2"/>
                <w:szCs w:val="2"/>
                <w:color w:val="auto"/>
              </w:rPr>
            </w:pPr>
          </w:p>
        </w:tc>
        <w:tc>
          <w:tcPr>
            <w:tcW w:w="140" w:type="dxa"/>
            <w:vAlign w:val="bottom"/>
            <w:shd w:val="clear" w:color="auto" w:fill="232F84"/>
          </w:tcPr>
          <w:p>
            <w:pPr>
              <w:spacing w:after="0"/>
              <w:rPr>
                <w:sz w:val="2"/>
                <w:szCs w:val="2"/>
                <w:color w:val="auto"/>
              </w:rPr>
            </w:pPr>
          </w:p>
        </w:tc>
        <w:tc>
          <w:tcPr>
            <w:tcW w:w="40" w:type="dxa"/>
            <w:vAlign w:val="bottom"/>
            <w:shd w:val="clear" w:color="auto" w:fill="232F84"/>
          </w:tcPr>
          <w:p>
            <w:pPr>
              <w:spacing w:after="0"/>
              <w:rPr>
                <w:sz w:val="2"/>
                <w:szCs w:val="2"/>
                <w:color w:val="auto"/>
              </w:rPr>
            </w:pPr>
          </w:p>
        </w:tc>
        <w:tc>
          <w:tcPr>
            <w:tcW w:w="460" w:type="dxa"/>
            <w:vAlign w:val="bottom"/>
            <w:shd w:val="clear" w:color="auto" w:fill="232F84"/>
          </w:tcPr>
          <w:p>
            <w:pPr>
              <w:spacing w:after="0"/>
              <w:rPr>
                <w:sz w:val="2"/>
                <w:szCs w:val="2"/>
                <w:color w:val="auto"/>
              </w:rPr>
            </w:pPr>
          </w:p>
        </w:tc>
        <w:tc>
          <w:tcPr>
            <w:tcW w:w="40" w:type="dxa"/>
            <w:vAlign w:val="bottom"/>
            <w:shd w:val="clear" w:color="auto" w:fill="232F84"/>
          </w:tcPr>
          <w:p>
            <w:pPr>
              <w:spacing w:after="0"/>
              <w:rPr>
                <w:sz w:val="2"/>
                <w:szCs w:val="2"/>
                <w:color w:val="auto"/>
              </w:rPr>
            </w:pPr>
          </w:p>
        </w:tc>
        <w:tc>
          <w:tcPr>
            <w:tcW w:w="140" w:type="dxa"/>
            <w:vAlign w:val="bottom"/>
            <w:shd w:val="clear" w:color="auto" w:fill="232F84"/>
          </w:tcPr>
          <w:p>
            <w:pPr>
              <w:spacing w:after="0"/>
              <w:rPr>
                <w:sz w:val="2"/>
                <w:szCs w:val="2"/>
                <w:color w:val="auto"/>
              </w:rPr>
            </w:pPr>
          </w:p>
        </w:tc>
        <w:tc>
          <w:tcPr>
            <w:tcW w:w="500" w:type="dxa"/>
            <w:vAlign w:val="bottom"/>
            <w:shd w:val="clear" w:color="auto" w:fill="232F84"/>
          </w:tcPr>
          <w:p>
            <w:pPr>
              <w:spacing w:after="0"/>
              <w:rPr>
                <w:sz w:val="2"/>
                <w:szCs w:val="2"/>
                <w:color w:val="auto"/>
              </w:rPr>
            </w:pPr>
          </w:p>
        </w:tc>
        <w:tc>
          <w:tcPr>
            <w:tcW w:w="1320" w:type="dxa"/>
            <w:vAlign w:val="bottom"/>
            <w:shd w:val="clear" w:color="auto" w:fill="232F84"/>
          </w:tcPr>
          <w:p>
            <w:pPr>
              <w:spacing w:after="0"/>
              <w:rPr>
                <w:sz w:val="2"/>
                <w:szCs w:val="2"/>
                <w:color w:val="auto"/>
              </w:rPr>
            </w:pPr>
          </w:p>
        </w:tc>
        <w:tc>
          <w:tcPr>
            <w:tcW w:w="940" w:type="dxa"/>
            <w:vAlign w:val="bottom"/>
            <w:shd w:val="clear" w:color="auto" w:fill="232F84"/>
          </w:tcPr>
          <w:p>
            <w:pPr>
              <w:spacing w:after="0"/>
              <w:rPr>
                <w:sz w:val="2"/>
                <w:szCs w:val="2"/>
                <w:color w:val="auto"/>
              </w:rPr>
            </w:pPr>
          </w:p>
        </w:tc>
        <w:tc>
          <w:tcPr>
            <w:tcW w:w="980" w:type="dxa"/>
            <w:vAlign w:val="bottom"/>
            <w:vMerge w:val="restart"/>
            <w:shd w:val="clear" w:color="auto" w:fill="232F84"/>
          </w:tcPr>
          <w:p>
            <w:pPr>
              <w:jc w:val="center"/>
              <w:ind w:left="31"/>
              <w:spacing w:after="0"/>
              <w:rPr>
                <w:sz w:val="20"/>
                <w:szCs w:val="20"/>
                <w:color w:val="auto"/>
              </w:rPr>
            </w:pPr>
            <w:r>
              <w:rPr>
                <w:rFonts w:ascii="Arial" w:cs="Arial" w:eastAsia="Arial" w:hAnsi="Arial"/>
                <w:sz w:val="14"/>
                <w:szCs w:val="14"/>
                <w:b w:val="1"/>
                <w:bCs w:val="1"/>
                <w:color w:val="FFFFFF"/>
                <w:w w:val="97"/>
              </w:rPr>
              <w:t>Filed</w:t>
            </w:r>
          </w:p>
        </w:tc>
        <w:tc>
          <w:tcPr>
            <w:tcW w:w="0" w:type="dxa"/>
            <w:vAlign w:val="bottom"/>
          </w:tcPr>
          <w:p>
            <w:pPr>
              <w:spacing w:after="0" w:line="20" w:lineRule="exact"/>
              <w:rPr>
                <w:sz w:val="1"/>
                <w:szCs w:val="1"/>
                <w:color w:val="auto"/>
              </w:rPr>
            </w:pPr>
          </w:p>
        </w:tc>
      </w:tr>
      <w:tr>
        <w:trPr>
          <w:trHeight w:val="156"/>
        </w:trPr>
        <w:tc>
          <w:tcPr>
            <w:tcW w:w="780" w:type="dxa"/>
            <w:vAlign w:val="bottom"/>
            <w:vMerge w:val="continue"/>
            <w:shd w:val="clear" w:color="auto" w:fill="232F84"/>
          </w:tcPr>
          <w:p>
            <w:pPr>
              <w:spacing w:after="0"/>
              <w:rPr>
                <w:sz w:val="13"/>
                <w:szCs w:val="13"/>
                <w:color w:val="auto"/>
              </w:rPr>
            </w:pPr>
          </w:p>
        </w:tc>
        <w:tc>
          <w:tcPr>
            <w:tcW w:w="100" w:type="dxa"/>
            <w:vAlign w:val="bottom"/>
            <w:shd w:val="clear" w:color="auto" w:fill="232F84"/>
          </w:tcPr>
          <w:p>
            <w:pPr>
              <w:spacing w:after="0"/>
              <w:rPr>
                <w:sz w:val="13"/>
                <w:szCs w:val="13"/>
                <w:color w:val="auto"/>
              </w:rPr>
            </w:pPr>
          </w:p>
        </w:tc>
        <w:tc>
          <w:tcPr>
            <w:tcW w:w="1920" w:type="dxa"/>
            <w:vAlign w:val="bottom"/>
            <w:shd w:val="clear" w:color="auto" w:fill="232F84"/>
          </w:tcPr>
          <w:p>
            <w:pPr>
              <w:spacing w:after="0"/>
              <w:rPr>
                <w:sz w:val="13"/>
                <w:szCs w:val="13"/>
                <w:color w:val="auto"/>
              </w:rPr>
            </w:pPr>
          </w:p>
        </w:tc>
        <w:tc>
          <w:tcPr>
            <w:tcW w:w="1180" w:type="dxa"/>
            <w:vAlign w:val="bottom"/>
            <w:shd w:val="clear" w:color="auto" w:fill="232F84"/>
          </w:tcPr>
          <w:p>
            <w:pPr>
              <w:spacing w:after="0"/>
              <w:rPr>
                <w:sz w:val="13"/>
                <w:szCs w:val="13"/>
                <w:color w:val="auto"/>
              </w:rPr>
            </w:pPr>
          </w:p>
        </w:tc>
        <w:tc>
          <w:tcPr>
            <w:tcW w:w="266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40" w:type="dxa"/>
            <w:vAlign w:val="bottom"/>
            <w:shd w:val="clear" w:color="auto" w:fill="232F84"/>
          </w:tcPr>
          <w:p>
            <w:pPr>
              <w:spacing w:after="0"/>
              <w:rPr>
                <w:sz w:val="13"/>
                <w:szCs w:val="13"/>
                <w:color w:val="auto"/>
              </w:rPr>
            </w:pPr>
          </w:p>
        </w:tc>
        <w:tc>
          <w:tcPr>
            <w:tcW w:w="460" w:type="dxa"/>
            <w:vAlign w:val="bottom"/>
            <w:shd w:val="clear" w:color="auto" w:fill="232F84"/>
          </w:tcPr>
          <w:p>
            <w:pPr>
              <w:spacing w:after="0"/>
              <w:rPr>
                <w:sz w:val="13"/>
                <w:szCs w:val="13"/>
                <w:color w:val="auto"/>
              </w:rPr>
            </w:pPr>
          </w:p>
        </w:tc>
        <w:tc>
          <w:tcPr>
            <w:tcW w:w="4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500" w:type="dxa"/>
            <w:vAlign w:val="bottom"/>
            <w:shd w:val="clear" w:color="auto" w:fill="232F84"/>
          </w:tcPr>
          <w:p>
            <w:pPr>
              <w:spacing w:after="0"/>
              <w:rPr>
                <w:sz w:val="13"/>
                <w:szCs w:val="13"/>
                <w:color w:val="auto"/>
              </w:rPr>
            </w:pPr>
          </w:p>
        </w:tc>
        <w:tc>
          <w:tcPr>
            <w:tcW w:w="1320" w:type="dxa"/>
            <w:vAlign w:val="bottom"/>
            <w:shd w:val="clear" w:color="auto" w:fill="232F84"/>
          </w:tcPr>
          <w:p>
            <w:pPr>
              <w:spacing w:after="0"/>
              <w:rPr>
                <w:sz w:val="13"/>
                <w:szCs w:val="13"/>
                <w:color w:val="auto"/>
              </w:rPr>
            </w:pPr>
          </w:p>
        </w:tc>
        <w:tc>
          <w:tcPr>
            <w:tcW w:w="940" w:type="dxa"/>
            <w:vAlign w:val="bottom"/>
            <w:shd w:val="clear" w:color="auto" w:fill="232F84"/>
          </w:tcPr>
          <w:p>
            <w:pPr>
              <w:spacing w:after="0"/>
              <w:rPr>
                <w:sz w:val="13"/>
                <w:szCs w:val="13"/>
                <w:color w:val="auto"/>
              </w:rPr>
            </w:pPr>
          </w:p>
        </w:tc>
        <w:tc>
          <w:tcPr>
            <w:tcW w:w="980" w:type="dxa"/>
            <w:vAlign w:val="bottom"/>
            <w:vMerge w:val="continue"/>
            <w:shd w:val="clear" w:color="auto" w:fill="232F84"/>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80" w:type="dxa"/>
            <w:vAlign w:val="bottom"/>
            <w:shd w:val="clear" w:color="auto" w:fill="232F84"/>
          </w:tcPr>
          <w:p>
            <w:pPr>
              <w:spacing w:after="0"/>
              <w:rPr>
                <w:sz w:val="16"/>
                <w:szCs w:val="16"/>
                <w:color w:val="auto"/>
              </w:rPr>
            </w:pPr>
          </w:p>
        </w:tc>
        <w:tc>
          <w:tcPr>
            <w:tcW w:w="100" w:type="dxa"/>
            <w:vAlign w:val="bottom"/>
            <w:shd w:val="clear" w:color="auto" w:fill="232F84"/>
          </w:tcPr>
          <w:p>
            <w:pPr>
              <w:spacing w:after="0"/>
              <w:rPr>
                <w:sz w:val="16"/>
                <w:szCs w:val="16"/>
                <w:color w:val="auto"/>
              </w:rPr>
            </w:pPr>
          </w:p>
        </w:tc>
        <w:tc>
          <w:tcPr>
            <w:tcW w:w="1920" w:type="dxa"/>
            <w:vAlign w:val="bottom"/>
            <w:shd w:val="clear" w:color="auto" w:fill="232F84"/>
          </w:tcPr>
          <w:p>
            <w:pPr>
              <w:spacing w:after="0"/>
              <w:rPr>
                <w:sz w:val="16"/>
                <w:szCs w:val="16"/>
                <w:color w:val="auto"/>
              </w:rPr>
            </w:pPr>
          </w:p>
        </w:tc>
        <w:tc>
          <w:tcPr>
            <w:tcW w:w="4660" w:type="dxa"/>
            <w:vAlign w:val="bottom"/>
            <w:gridSpan w:val="7"/>
            <w:shd w:val="clear" w:color="auto" w:fill="232F84"/>
          </w:tcPr>
          <w:p>
            <w:pPr>
              <w:ind w:left="680"/>
              <w:spacing w:after="0"/>
              <w:rPr>
                <w:sz w:val="20"/>
                <w:szCs w:val="20"/>
                <w:color w:val="auto"/>
              </w:rPr>
            </w:pPr>
            <w:r>
              <w:rPr>
                <w:rFonts w:ascii="Arial" w:cs="Arial" w:eastAsia="Arial" w:hAnsi="Arial"/>
                <w:sz w:val="14"/>
                <w:szCs w:val="14"/>
                <w:b w:val="1"/>
                <w:bCs w:val="1"/>
                <w:color w:val="FFFFFF"/>
              </w:rPr>
              <w:t>Exhibit Description</w:t>
            </w:r>
          </w:p>
        </w:tc>
        <w:tc>
          <w:tcPr>
            <w:tcW w:w="500" w:type="dxa"/>
            <w:vAlign w:val="bottom"/>
            <w:shd w:val="clear" w:color="auto" w:fill="232F84"/>
          </w:tcPr>
          <w:p>
            <w:pPr>
              <w:jc w:val="center"/>
              <w:ind w:left="51"/>
              <w:spacing w:after="0"/>
              <w:rPr>
                <w:sz w:val="20"/>
                <w:szCs w:val="20"/>
                <w:color w:val="auto"/>
              </w:rPr>
            </w:pPr>
            <w:r>
              <w:rPr>
                <w:rFonts w:ascii="Arial" w:cs="Arial" w:eastAsia="Arial" w:hAnsi="Arial"/>
                <w:sz w:val="14"/>
                <w:szCs w:val="14"/>
                <w:b w:val="1"/>
                <w:bCs w:val="1"/>
                <w:color w:val="FFFFFF"/>
                <w:w w:val="97"/>
              </w:rPr>
              <w:t>Form</w:t>
            </w:r>
          </w:p>
        </w:tc>
        <w:tc>
          <w:tcPr>
            <w:tcW w:w="1320" w:type="dxa"/>
            <w:vAlign w:val="bottom"/>
            <w:shd w:val="clear" w:color="auto" w:fill="232F84"/>
          </w:tcPr>
          <w:p>
            <w:pPr>
              <w:jc w:val="center"/>
              <w:ind w:left="151"/>
              <w:spacing w:after="0"/>
              <w:rPr>
                <w:sz w:val="20"/>
                <w:szCs w:val="20"/>
                <w:color w:val="auto"/>
              </w:rPr>
            </w:pPr>
            <w:r>
              <w:rPr>
                <w:rFonts w:ascii="Arial" w:cs="Arial" w:eastAsia="Arial" w:hAnsi="Arial"/>
                <w:sz w:val="14"/>
                <w:szCs w:val="14"/>
                <w:b w:val="1"/>
                <w:bCs w:val="1"/>
                <w:color w:val="FFFFFF"/>
                <w:w w:val="98"/>
              </w:rPr>
              <w:t>Date</w:t>
            </w:r>
          </w:p>
        </w:tc>
        <w:tc>
          <w:tcPr>
            <w:tcW w:w="940" w:type="dxa"/>
            <w:vAlign w:val="bottom"/>
            <w:shd w:val="clear" w:color="auto" w:fill="232F84"/>
          </w:tcPr>
          <w:p>
            <w:pPr>
              <w:jc w:val="center"/>
              <w:ind w:left="31"/>
              <w:spacing w:after="0"/>
              <w:rPr>
                <w:sz w:val="20"/>
                <w:szCs w:val="20"/>
                <w:color w:val="auto"/>
              </w:rPr>
            </w:pPr>
            <w:r>
              <w:rPr>
                <w:rFonts w:ascii="Arial" w:cs="Arial" w:eastAsia="Arial" w:hAnsi="Arial"/>
                <w:sz w:val="14"/>
                <w:szCs w:val="14"/>
                <w:b w:val="1"/>
                <w:bCs w:val="1"/>
                <w:color w:val="FFFFFF"/>
                <w:w w:val="98"/>
              </w:rPr>
              <w:t>Number</w:t>
            </w:r>
          </w:p>
        </w:tc>
        <w:tc>
          <w:tcPr>
            <w:tcW w:w="980" w:type="dxa"/>
            <w:vAlign w:val="bottom"/>
            <w:shd w:val="clear" w:color="auto" w:fill="232F84"/>
          </w:tcPr>
          <w:p>
            <w:pPr>
              <w:jc w:val="center"/>
              <w:ind w:left="51"/>
              <w:spacing w:after="0"/>
              <w:rPr>
                <w:sz w:val="20"/>
                <w:szCs w:val="20"/>
                <w:color w:val="auto"/>
              </w:rPr>
            </w:pPr>
            <w:r>
              <w:rPr>
                <w:rFonts w:ascii="Arial" w:cs="Arial" w:eastAsia="Arial" w:hAnsi="Arial"/>
                <w:sz w:val="14"/>
                <w:szCs w:val="14"/>
                <w:b w:val="1"/>
                <w:bCs w:val="1"/>
                <w:color w:val="FFFFFF"/>
                <w:w w:val="98"/>
              </w:rPr>
              <w:t>Herewith</w:t>
            </w:r>
          </w:p>
        </w:tc>
        <w:tc>
          <w:tcPr>
            <w:tcW w:w="0" w:type="dxa"/>
            <w:vAlign w:val="bottom"/>
          </w:tcPr>
          <w:p>
            <w:pPr>
              <w:spacing w:after="0"/>
              <w:rPr>
                <w:sz w:val="1"/>
                <w:szCs w:val="1"/>
                <w:color w:val="auto"/>
              </w:rPr>
            </w:pPr>
          </w:p>
        </w:tc>
      </w:tr>
      <w:tr>
        <w:trPr>
          <w:trHeight w:val="186"/>
        </w:trPr>
        <w:tc>
          <w:tcPr>
            <w:tcW w:w="78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4"/>
                <w:szCs w:val="14"/>
                <w:color w:val="auto"/>
                <w:w w:val="95"/>
              </w:rPr>
              <w:t>3.1#</w:t>
            </w:r>
          </w:p>
        </w:tc>
        <w:tc>
          <w:tcPr>
            <w:tcW w:w="100" w:type="dxa"/>
            <w:vAlign w:val="bottom"/>
            <w:tcBorders>
              <w:bottom w:val="single" w:sz="8" w:color="43C0B9"/>
            </w:tcBorders>
            <w:shd w:val="clear" w:color="auto" w:fill="43C0B9"/>
          </w:tcPr>
          <w:p>
            <w:pPr>
              <w:spacing w:after="0"/>
              <w:rPr>
                <w:sz w:val="16"/>
                <w:szCs w:val="16"/>
                <w:color w:val="auto"/>
              </w:rPr>
            </w:pPr>
          </w:p>
        </w:tc>
        <w:tc>
          <w:tcPr>
            <w:tcW w:w="3100" w:type="dxa"/>
            <w:vAlign w:val="bottom"/>
            <w:tcBorders>
              <w:bottom w:val="single" w:sz="8" w:color="0000FF"/>
            </w:tcBorders>
            <w:gridSpan w:val="2"/>
            <w:shd w:val="clear" w:color="auto" w:fill="43C0B9"/>
          </w:tcPr>
          <w:p>
            <w:pPr>
              <w:spacing w:after="0"/>
              <w:rPr>
                <w:rFonts w:ascii="Arial" w:cs="Arial" w:eastAsia="Arial" w:hAnsi="Arial"/>
                <w:sz w:val="14"/>
                <w:szCs w:val="14"/>
                <w:color w:val="0000FF"/>
                <w:w w:val="97"/>
              </w:rPr>
            </w:pPr>
            <w:hyperlink r:id="rId40">
              <w:r>
                <w:rPr>
                  <w:rFonts w:ascii="Arial" w:cs="Arial" w:eastAsia="Arial" w:hAnsi="Arial"/>
                  <w:sz w:val="14"/>
                  <w:szCs w:val="14"/>
                  <w:color w:val="0000FF"/>
                  <w:w w:val="97"/>
                </w:rPr>
                <w:t>Amended and Restated Certificate of Incorporation</w:t>
              </w:r>
            </w:hyperlink>
          </w:p>
        </w:tc>
        <w:tc>
          <w:tcPr>
            <w:tcW w:w="3480" w:type="dxa"/>
            <w:vAlign w:val="bottom"/>
            <w:tcBorders>
              <w:bottom w:val="single" w:sz="8" w:color="43C0B9"/>
            </w:tcBorders>
            <w:gridSpan w:val="6"/>
            <w:shd w:val="clear" w:color="auto" w:fill="43C0B9"/>
          </w:tcPr>
          <w:p>
            <w:pPr>
              <w:spacing w:after="0"/>
              <w:rPr>
                <w:sz w:val="16"/>
                <w:szCs w:val="16"/>
                <w:color w:val="auto"/>
              </w:rPr>
            </w:pPr>
          </w:p>
        </w:tc>
        <w:tc>
          <w:tcPr>
            <w:tcW w:w="500" w:type="dxa"/>
            <w:vAlign w:val="bottom"/>
            <w:tcBorders>
              <w:bottom w:val="single" w:sz="8" w:color="43C0B9"/>
            </w:tcBorders>
            <w:shd w:val="clear" w:color="auto" w:fill="43C0B9"/>
          </w:tcPr>
          <w:p>
            <w:pPr>
              <w:jc w:val="center"/>
              <w:ind w:left="51"/>
              <w:spacing w:after="0"/>
              <w:rPr>
                <w:sz w:val="20"/>
                <w:szCs w:val="20"/>
                <w:color w:val="auto"/>
              </w:rPr>
            </w:pPr>
            <w:r>
              <w:rPr>
                <w:rFonts w:ascii="Arial" w:cs="Arial" w:eastAsia="Arial" w:hAnsi="Arial"/>
                <w:sz w:val="14"/>
                <w:szCs w:val="14"/>
                <w:color w:val="auto"/>
              </w:rPr>
              <w:t>8-K</w:t>
            </w:r>
          </w:p>
        </w:tc>
        <w:tc>
          <w:tcPr>
            <w:tcW w:w="1320" w:type="dxa"/>
            <w:vAlign w:val="bottom"/>
            <w:tcBorders>
              <w:bottom w:val="single" w:sz="8" w:color="43C0B9"/>
            </w:tcBorders>
            <w:shd w:val="clear" w:color="auto" w:fill="43C0B9"/>
          </w:tcPr>
          <w:p>
            <w:pPr>
              <w:jc w:val="center"/>
              <w:ind w:left="151"/>
              <w:spacing w:after="0"/>
              <w:rPr>
                <w:sz w:val="20"/>
                <w:szCs w:val="20"/>
                <w:color w:val="auto"/>
              </w:rPr>
            </w:pPr>
            <w:r>
              <w:rPr>
                <w:rFonts w:ascii="Arial" w:cs="Arial" w:eastAsia="Arial" w:hAnsi="Arial"/>
                <w:sz w:val="14"/>
                <w:szCs w:val="14"/>
                <w:color w:val="auto"/>
                <w:w w:val="99"/>
              </w:rPr>
              <w:t>10/7/2020</w:t>
            </w:r>
          </w:p>
        </w:tc>
        <w:tc>
          <w:tcPr>
            <w:tcW w:w="940" w:type="dxa"/>
            <w:vAlign w:val="bottom"/>
            <w:tcBorders>
              <w:bottom w:val="single" w:sz="8" w:color="43C0B9"/>
            </w:tcBorders>
            <w:shd w:val="clear" w:color="auto" w:fill="43C0B9"/>
          </w:tcPr>
          <w:p>
            <w:pPr>
              <w:jc w:val="center"/>
              <w:ind w:left="31"/>
              <w:spacing w:after="0"/>
              <w:rPr>
                <w:sz w:val="20"/>
                <w:szCs w:val="20"/>
                <w:color w:val="auto"/>
              </w:rPr>
            </w:pPr>
            <w:r>
              <w:rPr>
                <w:rFonts w:ascii="Arial" w:cs="Arial" w:eastAsia="Arial" w:hAnsi="Arial"/>
                <w:sz w:val="14"/>
                <w:szCs w:val="14"/>
                <w:color w:val="auto"/>
              </w:rPr>
              <w:t>3.1</w:t>
            </w:r>
          </w:p>
        </w:tc>
        <w:tc>
          <w:tcPr>
            <w:tcW w:w="980" w:type="dxa"/>
            <w:vAlign w:val="bottom"/>
            <w:tcBorders>
              <w:bottom w:val="single" w:sz="8" w:color="43C0B9"/>
            </w:tcBorders>
            <w:shd w:val="clear" w:color="auto" w:fill="43C0B9"/>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80" w:type="dxa"/>
            <w:vAlign w:val="bottom"/>
          </w:tcPr>
          <w:p>
            <w:pPr>
              <w:jc w:val="center"/>
              <w:spacing w:after="0"/>
              <w:rPr>
                <w:sz w:val="20"/>
                <w:szCs w:val="20"/>
                <w:color w:val="auto"/>
              </w:rPr>
            </w:pPr>
            <w:r>
              <w:rPr>
                <w:rFonts w:ascii="Arial" w:cs="Arial" w:eastAsia="Arial" w:hAnsi="Arial"/>
                <w:sz w:val="14"/>
                <w:szCs w:val="14"/>
                <w:color w:val="auto"/>
                <w:w w:val="95"/>
              </w:rPr>
              <w:t>3.2#</w:t>
            </w:r>
          </w:p>
        </w:tc>
        <w:tc>
          <w:tcPr>
            <w:tcW w:w="100" w:type="dxa"/>
            <w:vAlign w:val="bottom"/>
          </w:tcPr>
          <w:p>
            <w:pPr>
              <w:spacing w:after="0"/>
              <w:rPr>
                <w:sz w:val="14"/>
                <w:szCs w:val="14"/>
                <w:color w:val="auto"/>
              </w:rPr>
            </w:pPr>
          </w:p>
        </w:tc>
        <w:tc>
          <w:tcPr>
            <w:tcW w:w="6580" w:type="dxa"/>
            <w:vAlign w:val="bottom"/>
            <w:gridSpan w:val="8"/>
          </w:tcPr>
          <w:p>
            <w:pPr>
              <w:spacing w:after="0"/>
              <w:rPr>
                <w:rFonts w:ascii="Arial" w:cs="Arial" w:eastAsia="Arial" w:hAnsi="Arial"/>
                <w:sz w:val="14"/>
                <w:szCs w:val="14"/>
                <w:color w:val="0000FF"/>
              </w:rPr>
            </w:pPr>
            <w:hyperlink r:id="rId41">
              <w:r>
                <w:rPr>
                  <w:rFonts w:ascii="Arial" w:cs="Arial" w:eastAsia="Arial" w:hAnsi="Arial"/>
                  <w:sz w:val="14"/>
                  <w:szCs w:val="14"/>
                  <w:color w:val="0000FF"/>
                </w:rPr>
                <w:t>Amended and Restated Bylaws</w:t>
              </w:r>
            </w:hyperlink>
          </w:p>
        </w:tc>
        <w:tc>
          <w:tcPr>
            <w:tcW w:w="500" w:type="dxa"/>
            <w:vAlign w:val="bottom"/>
          </w:tcPr>
          <w:p>
            <w:pPr>
              <w:jc w:val="center"/>
              <w:ind w:left="51"/>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51"/>
              <w:spacing w:after="0"/>
              <w:rPr>
                <w:sz w:val="20"/>
                <w:szCs w:val="20"/>
                <w:color w:val="auto"/>
              </w:rPr>
            </w:pPr>
            <w:r>
              <w:rPr>
                <w:rFonts w:ascii="Arial" w:cs="Arial" w:eastAsia="Arial" w:hAnsi="Arial"/>
                <w:sz w:val="14"/>
                <w:szCs w:val="14"/>
                <w:color w:val="auto"/>
                <w:w w:val="99"/>
              </w:rPr>
              <w:t>10/7/2020</w:t>
            </w:r>
          </w:p>
        </w:tc>
        <w:tc>
          <w:tcPr>
            <w:tcW w:w="940" w:type="dxa"/>
            <w:vAlign w:val="bottom"/>
          </w:tcPr>
          <w:p>
            <w:pPr>
              <w:jc w:val="center"/>
              <w:ind w:left="31"/>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shd w:val="clear" w:color="auto" w:fill="0000FF"/>
          </w:tcPr>
          <w:p>
            <w:pPr>
              <w:spacing w:after="0"/>
              <w:rPr>
                <w:sz w:val="2"/>
                <w:szCs w:val="2"/>
                <w:color w:val="auto"/>
              </w:rPr>
            </w:pPr>
          </w:p>
        </w:tc>
        <w:tc>
          <w:tcPr>
            <w:tcW w:w="1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43C0B9"/>
          </w:tcPr>
          <w:p>
            <w:pPr>
              <w:spacing w:after="0"/>
              <w:rPr>
                <w:sz w:val="15"/>
                <w:szCs w:val="15"/>
                <w:color w:val="auto"/>
              </w:rPr>
            </w:pPr>
          </w:p>
        </w:tc>
        <w:tc>
          <w:tcPr>
            <w:tcW w:w="6580" w:type="dxa"/>
            <w:vAlign w:val="bottom"/>
            <w:gridSpan w:val="8"/>
            <w:shd w:val="clear" w:color="auto" w:fill="43C0B9"/>
          </w:tcPr>
          <w:p>
            <w:pPr>
              <w:spacing w:after="0"/>
              <w:rPr>
                <w:rFonts w:ascii="Arial" w:cs="Arial" w:eastAsia="Arial" w:hAnsi="Arial"/>
                <w:sz w:val="14"/>
                <w:szCs w:val="14"/>
                <w:color w:val="0000FF"/>
                <w:w w:val="99"/>
              </w:rPr>
            </w:pPr>
            <w:hyperlink w:anchor="page27">
              <w:r>
                <w:rPr>
                  <w:rFonts w:ascii="Arial" w:cs="Arial" w:eastAsia="Arial" w:hAnsi="Arial"/>
                  <w:sz w:val="14"/>
                  <w:szCs w:val="14"/>
                  <w:color w:val="0000FF"/>
                  <w:w w:val="99"/>
                </w:rPr>
                <w:t>Certification of Principal Executive Officer Pursuant to Rules 13a-14(a) and 15d-14(a) under the Securities</w:t>
              </w:r>
            </w:hyperlink>
          </w:p>
        </w:tc>
        <w:tc>
          <w:tcPr>
            <w:tcW w:w="500" w:type="dxa"/>
            <w:vAlign w:val="bottom"/>
            <w:shd w:val="clear" w:color="auto" w:fill="43C0B9"/>
          </w:tcPr>
          <w:p>
            <w:pPr>
              <w:spacing w:after="0"/>
              <w:rPr>
                <w:sz w:val="15"/>
                <w:szCs w:val="15"/>
                <w:color w:val="auto"/>
              </w:rPr>
            </w:pPr>
          </w:p>
        </w:tc>
        <w:tc>
          <w:tcPr>
            <w:tcW w:w="132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980" w:type="dxa"/>
            <w:vAlign w:val="bottom"/>
            <w:shd w:val="clear" w:color="auto" w:fill="43C0B9"/>
          </w:tcPr>
          <w:p>
            <w:pPr>
              <w:jc w:val="center"/>
              <w:ind w:left="31"/>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35"/>
        </w:trPr>
        <w:tc>
          <w:tcPr>
            <w:tcW w:w="780" w:type="dxa"/>
            <w:vAlign w:val="bottom"/>
            <w:tcBorders>
              <w:top w:val="single" w:sz="8" w:color="43C0B9"/>
            </w:tcBorders>
            <w:shd w:val="clear" w:color="auto" w:fill="43C0B9"/>
          </w:tcPr>
          <w:p>
            <w:pPr>
              <w:spacing w:after="0"/>
              <w:rPr>
                <w:sz w:val="11"/>
                <w:szCs w:val="11"/>
                <w:color w:val="auto"/>
              </w:rPr>
            </w:pPr>
          </w:p>
        </w:tc>
        <w:tc>
          <w:tcPr>
            <w:tcW w:w="100" w:type="dxa"/>
            <w:vAlign w:val="bottom"/>
            <w:tcBorders>
              <w:top w:val="single" w:sz="8" w:color="43C0B9"/>
            </w:tcBorders>
            <w:shd w:val="clear" w:color="auto" w:fill="43C0B9"/>
          </w:tcPr>
          <w:p>
            <w:pPr>
              <w:spacing w:after="0"/>
              <w:rPr>
                <w:sz w:val="11"/>
                <w:szCs w:val="11"/>
                <w:color w:val="auto"/>
              </w:rPr>
            </w:pPr>
          </w:p>
        </w:tc>
        <w:tc>
          <w:tcPr>
            <w:tcW w:w="6440" w:type="dxa"/>
            <w:vAlign w:val="bottom"/>
            <w:tcBorders>
              <w:top w:val="single" w:sz="8" w:color="0000FF"/>
            </w:tcBorders>
            <w:gridSpan w:val="7"/>
            <w:shd w:val="clear" w:color="auto" w:fill="43C0B9"/>
          </w:tcPr>
          <w:p>
            <w:pPr>
              <w:spacing w:after="0" w:line="135" w:lineRule="exact"/>
              <w:rPr>
                <w:rFonts w:ascii="Arial" w:cs="Arial" w:eastAsia="Arial" w:hAnsi="Arial"/>
                <w:sz w:val="14"/>
                <w:szCs w:val="14"/>
                <w:color w:val="0000FF"/>
              </w:rPr>
            </w:pPr>
            <w:hyperlink w:anchor="page27">
              <w:r>
                <w:rPr>
                  <w:rFonts w:ascii="Arial" w:cs="Arial" w:eastAsia="Arial" w:hAnsi="Arial"/>
                  <w:sz w:val="14"/>
                  <w:szCs w:val="14"/>
                  <w:color w:val="0000FF"/>
                </w:rPr>
                <w:t>Exchange Act of 1934, as Adopted Pursuant to Section 302 of the Sarbanes-Oxley Act of 2002</w:t>
              </w:r>
            </w:hyperlink>
          </w:p>
        </w:tc>
        <w:tc>
          <w:tcPr>
            <w:tcW w:w="140" w:type="dxa"/>
            <w:vAlign w:val="bottom"/>
            <w:tcBorders>
              <w:top w:val="single" w:sz="8" w:color="43C0B9"/>
            </w:tcBorders>
            <w:shd w:val="clear" w:color="auto" w:fill="43C0B9"/>
          </w:tcPr>
          <w:p>
            <w:pPr>
              <w:spacing w:after="0"/>
              <w:rPr>
                <w:sz w:val="11"/>
                <w:szCs w:val="11"/>
                <w:color w:val="auto"/>
              </w:rPr>
            </w:pPr>
          </w:p>
        </w:tc>
        <w:tc>
          <w:tcPr>
            <w:tcW w:w="500" w:type="dxa"/>
            <w:vAlign w:val="bottom"/>
            <w:tcBorders>
              <w:top w:val="single" w:sz="8" w:color="43C0B9"/>
            </w:tcBorders>
            <w:shd w:val="clear" w:color="auto" w:fill="43C0B9"/>
          </w:tcPr>
          <w:p>
            <w:pPr>
              <w:spacing w:after="0"/>
              <w:rPr>
                <w:sz w:val="11"/>
                <w:szCs w:val="11"/>
                <w:color w:val="auto"/>
              </w:rPr>
            </w:pPr>
          </w:p>
        </w:tc>
        <w:tc>
          <w:tcPr>
            <w:tcW w:w="1320" w:type="dxa"/>
            <w:vAlign w:val="bottom"/>
            <w:tcBorders>
              <w:top w:val="single" w:sz="8" w:color="43C0B9"/>
            </w:tcBorders>
            <w:shd w:val="clear" w:color="auto" w:fill="43C0B9"/>
          </w:tcPr>
          <w:p>
            <w:pPr>
              <w:spacing w:after="0"/>
              <w:rPr>
                <w:sz w:val="11"/>
                <w:szCs w:val="11"/>
                <w:color w:val="auto"/>
              </w:rPr>
            </w:pPr>
          </w:p>
        </w:tc>
        <w:tc>
          <w:tcPr>
            <w:tcW w:w="940" w:type="dxa"/>
            <w:vAlign w:val="bottom"/>
            <w:tcBorders>
              <w:top w:val="single" w:sz="8" w:color="43C0B9"/>
            </w:tcBorders>
            <w:shd w:val="clear" w:color="auto" w:fill="43C0B9"/>
          </w:tcPr>
          <w:p>
            <w:pPr>
              <w:spacing w:after="0"/>
              <w:rPr>
                <w:sz w:val="11"/>
                <w:szCs w:val="11"/>
                <w:color w:val="auto"/>
              </w:rPr>
            </w:pPr>
          </w:p>
        </w:tc>
        <w:tc>
          <w:tcPr>
            <w:tcW w:w="980" w:type="dxa"/>
            <w:vAlign w:val="bottom"/>
            <w:tcBorders>
              <w:top w:val="single" w:sz="8" w:color="43C0B9"/>
            </w:tcBorders>
            <w:shd w:val="clear" w:color="auto" w:fill="43C0B9"/>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780" w:type="dxa"/>
            <w:vAlign w:val="bottom"/>
            <w:shd w:val="clear" w:color="auto" w:fill="43C0B9"/>
          </w:tcPr>
          <w:p>
            <w:pPr>
              <w:spacing w:after="0"/>
              <w:rPr>
                <w:sz w:val="3"/>
                <w:szCs w:val="3"/>
                <w:color w:val="auto"/>
              </w:rPr>
            </w:pPr>
          </w:p>
        </w:tc>
        <w:tc>
          <w:tcPr>
            <w:tcW w:w="100" w:type="dxa"/>
            <w:vAlign w:val="bottom"/>
            <w:shd w:val="clear" w:color="auto" w:fill="43C0B9"/>
          </w:tcPr>
          <w:p>
            <w:pPr>
              <w:spacing w:after="0"/>
              <w:rPr>
                <w:sz w:val="3"/>
                <w:szCs w:val="3"/>
                <w:color w:val="auto"/>
              </w:rPr>
            </w:pPr>
          </w:p>
        </w:tc>
        <w:tc>
          <w:tcPr>
            <w:tcW w:w="1920" w:type="dxa"/>
            <w:vAlign w:val="bottom"/>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2660" w:type="dxa"/>
            <w:vAlign w:val="bottom"/>
            <w:shd w:val="clear" w:color="auto" w:fill="0000FF"/>
          </w:tcPr>
          <w:p>
            <w:pPr>
              <w:spacing w:after="0"/>
              <w:rPr>
                <w:sz w:val="3"/>
                <w:szCs w:val="3"/>
                <w:color w:val="auto"/>
              </w:rPr>
            </w:pPr>
          </w:p>
        </w:tc>
        <w:tc>
          <w:tcPr>
            <w:tcW w:w="140" w:type="dxa"/>
            <w:vAlign w:val="bottom"/>
            <w:shd w:val="clear" w:color="auto" w:fill="43C0B9"/>
          </w:tcPr>
          <w:p>
            <w:pPr>
              <w:spacing w:after="0"/>
              <w:rPr>
                <w:sz w:val="3"/>
                <w:szCs w:val="3"/>
                <w:color w:val="auto"/>
              </w:rPr>
            </w:pPr>
          </w:p>
        </w:tc>
        <w:tc>
          <w:tcPr>
            <w:tcW w:w="40" w:type="dxa"/>
            <w:vAlign w:val="bottom"/>
            <w:shd w:val="clear" w:color="auto" w:fill="43C0B9"/>
          </w:tcPr>
          <w:p>
            <w:pPr>
              <w:spacing w:after="0"/>
              <w:rPr>
                <w:sz w:val="3"/>
                <w:szCs w:val="3"/>
                <w:color w:val="auto"/>
              </w:rPr>
            </w:pPr>
          </w:p>
        </w:tc>
        <w:tc>
          <w:tcPr>
            <w:tcW w:w="460" w:type="dxa"/>
            <w:vAlign w:val="bottom"/>
            <w:shd w:val="clear" w:color="auto" w:fill="43C0B9"/>
          </w:tcPr>
          <w:p>
            <w:pPr>
              <w:spacing w:after="0"/>
              <w:rPr>
                <w:sz w:val="3"/>
                <w:szCs w:val="3"/>
                <w:color w:val="auto"/>
              </w:rPr>
            </w:pPr>
          </w:p>
        </w:tc>
        <w:tc>
          <w:tcPr>
            <w:tcW w:w="40" w:type="dxa"/>
            <w:vAlign w:val="bottom"/>
            <w:shd w:val="clear" w:color="auto" w:fill="43C0B9"/>
          </w:tcPr>
          <w:p>
            <w:pPr>
              <w:spacing w:after="0"/>
              <w:rPr>
                <w:sz w:val="3"/>
                <w:szCs w:val="3"/>
                <w:color w:val="auto"/>
              </w:rPr>
            </w:pPr>
          </w:p>
        </w:tc>
        <w:tc>
          <w:tcPr>
            <w:tcW w:w="140" w:type="dxa"/>
            <w:vAlign w:val="bottom"/>
            <w:shd w:val="clear" w:color="auto" w:fill="43C0B9"/>
          </w:tcPr>
          <w:p>
            <w:pPr>
              <w:spacing w:after="0"/>
              <w:rPr>
                <w:sz w:val="3"/>
                <w:szCs w:val="3"/>
                <w:color w:val="auto"/>
              </w:rPr>
            </w:pPr>
          </w:p>
        </w:tc>
        <w:tc>
          <w:tcPr>
            <w:tcW w:w="500" w:type="dxa"/>
            <w:vAlign w:val="bottom"/>
            <w:shd w:val="clear" w:color="auto" w:fill="43C0B9"/>
          </w:tcPr>
          <w:p>
            <w:pPr>
              <w:spacing w:after="0"/>
              <w:rPr>
                <w:sz w:val="3"/>
                <w:szCs w:val="3"/>
                <w:color w:val="auto"/>
              </w:rPr>
            </w:pPr>
          </w:p>
        </w:tc>
        <w:tc>
          <w:tcPr>
            <w:tcW w:w="1320" w:type="dxa"/>
            <w:vAlign w:val="bottom"/>
            <w:shd w:val="clear" w:color="auto" w:fill="43C0B9"/>
          </w:tcPr>
          <w:p>
            <w:pPr>
              <w:spacing w:after="0"/>
              <w:rPr>
                <w:sz w:val="3"/>
                <w:szCs w:val="3"/>
                <w:color w:val="auto"/>
              </w:rPr>
            </w:pPr>
          </w:p>
        </w:tc>
        <w:tc>
          <w:tcPr>
            <w:tcW w:w="940" w:type="dxa"/>
            <w:vAlign w:val="bottom"/>
            <w:shd w:val="clear" w:color="auto" w:fill="43C0B9"/>
          </w:tcPr>
          <w:p>
            <w:pPr>
              <w:spacing w:after="0"/>
              <w:rPr>
                <w:sz w:val="3"/>
                <w:szCs w:val="3"/>
                <w:color w:val="auto"/>
              </w:rPr>
            </w:pPr>
          </w:p>
        </w:tc>
        <w:tc>
          <w:tcPr>
            <w:tcW w:w="980" w:type="dxa"/>
            <w:vAlign w:val="bottom"/>
            <w:shd w:val="clear" w:color="auto" w:fill="43C0B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780" w:type="dxa"/>
            <w:vAlign w:val="bottom"/>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6580" w:type="dxa"/>
            <w:vAlign w:val="bottom"/>
            <w:gridSpan w:val="8"/>
          </w:tcPr>
          <w:p>
            <w:pPr>
              <w:spacing w:after="0"/>
              <w:rPr>
                <w:rFonts w:ascii="Arial" w:cs="Arial" w:eastAsia="Arial" w:hAnsi="Arial"/>
                <w:sz w:val="14"/>
                <w:szCs w:val="14"/>
                <w:color w:val="0000FF"/>
              </w:rPr>
            </w:pPr>
            <w:hyperlink w:anchor="page28">
              <w:r>
                <w:rPr>
                  <w:rFonts w:ascii="Arial" w:cs="Arial" w:eastAsia="Arial" w:hAnsi="Arial"/>
                  <w:sz w:val="14"/>
                  <w:szCs w:val="14"/>
                  <w:color w:val="0000FF"/>
                </w:rPr>
                <w:t>Certification of Principal Financial Officer Pursuant to Rules 13a-14(a) and 15d-14(a) under the Securities</w:t>
              </w:r>
            </w:hyperlink>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jc w:val="center"/>
              <w:ind w:left="31"/>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0" w:type="dxa"/>
            <w:vAlign w:val="bottom"/>
            <w:tcBorders>
              <w:top w:val="single" w:sz="8" w:color="0000FF"/>
            </w:tcBorders>
            <w:gridSpan w:val="6"/>
          </w:tcPr>
          <w:p>
            <w:pPr>
              <w:spacing w:after="0" w:line="135" w:lineRule="exact"/>
              <w:rPr>
                <w:rFonts w:ascii="Arial" w:cs="Arial" w:eastAsia="Arial" w:hAnsi="Arial"/>
                <w:sz w:val="14"/>
                <w:szCs w:val="14"/>
                <w:color w:val="0000FF"/>
              </w:rPr>
            </w:pPr>
            <w:hyperlink w:anchor="page28">
              <w:r>
                <w:rPr>
                  <w:rFonts w:ascii="Arial" w:cs="Arial" w:eastAsia="Arial" w:hAnsi="Arial"/>
                  <w:sz w:val="14"/>
                  <w:szCs w:val="14"/>
                  <w:color w:val="0000FF"/>
                </w:rPr>
                <w:t>Exchange Act of 1934, as Adopted Pursuant to Section 302 of the Sarbanes-Oxley Act of 2002</w:t>
              </w:r>
            </w:hyperlink>
          </w:p>
        </w:tc>
        <w:tc>
          <w:tcPr>
            <w:tcW w:w="18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26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43C0B9"/>
          </w:tcPr>
          <w:p>
            <w:pPr>
              <w:spacing w:after="0"/>
              <w:rPr>
                <w:sz w:val="17"/>
                <w:szCs w:val="17"/>
                <w:color w:val="auto"/>
              </w:rPr>
            </w:pPr>
          </w:p>
        </w:tc>
        <w:tc>
          <w:tcPr>
            <w:tcW w:w="6580" w:type="dxa"/>
            <w:vAlign w:val="bottom"/>
            <w:gridSpan w:val="8"/>
            <w:shd w:val="clear" w:color="auto" w:fill="43C0B9"/>
          </w:tcPr>
          <w:p>
            <w:pPr>
              <w:spacing w:after="0"/>
              <w:rPr>
                <w:rFonts w:ascii="Arial" w:cs="Arial" w:eastAsia="Arial" w:hAnsi="Arial"/>
                <w:sz w:val="14"/>
                <w:szCs w:val="14"/>
                <w:color w:val="0000FF"/>
              </w:rPr>
            </w:pPr>
            <w:hyperlink w:anchor="page29">
              <w:r>
                <w:rPr>
                  <w:rFonts w:ascii="Arial" w:cs="Arial" w:eastAsia="Arial" w:hAnsi="Arial"/>
                  <w:sz w:val="14"/>
                  <w:szCs w:val="14"/>
                  <w:color w:val="0000FF"/>
                </w:rPr>
                <w:t>Certification of Chief Executive Officer pursuant to Section 906 of the Sarbanes-Oxley Act of 2002</w:t>
              </w:r>
            </w:hyperlink>
          </w:p>
        </w:tc>
        <w:tc>
          <w:tcPr>
            <w:tcW w:w="500" w:type="dxa"/>
            <w:vAlign w:val="bottom"/>
            <w:shd w:val="clear" w:color="auto" w:fill="43C0B9"/>
          </w:tcPr>
          <w:p>
            <w:pPr>
              <w:spacing w:after="0"/>
              <w:rPr>
                <w:sz w:val="17"/>
                <w:szCs w:val="17"/>
                <w:color w:val="auto"/>
              </w:rPr>
            </w:pPr>
          </w:p>
        </w:tc>
        <w:tc>
          <w:tcPr>
            <w:tcW w:w="132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980" w:type="dxa"/>
            <w:vAlign w:val="bottom"/>
            <w:shd w:val="clear" w:color="auto" w:fill="43C0B9"/>
          </w:tcPr>
          <w:p>
            <w:pPr>
              <w:jc w:val="center"/>
              <w:ind w:left="31"/>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77"/>
        </w:trPr>
        <w:tc>
          <w:tcPr>
            <w:tcW w:w="780" w:type="dxa"/>
            <w:vAlign w:val="bottom"/>
            <w:tcBorders>
              <w:top w:val="single" w:sz="8" w:color="43C0B9"/>
            </w:tcBorders>
          </w:tcPr>
          <w:p>
            <w:pPr>
              <w:jc w:val="center"/>
              <w:spacing w:after="0"/>
              <w:rPr>
                <w:sz w:val="20"/>
                <w:szCs w:val="20"/>
                <w:color w:val="auto"/>
              </w:rPr>
            </w:pPr>
            <w:r>
              <w:rPr>
                <w:rFonts w:ascii="Arial" w:cs="Arial" w:eastAsia="Arial" w:hAnsi="Arial"/>
                <w:sz w:val="14"/>
                <w:szCs w:val="14"/>
                <w:color w:val="auto"/>
              </w:rPr>
              <w:t>32.2*</w:t>
            </w:r>
          </w:p>
        </w:tc>
        <w:tc>
          <w:tcPr>
            <w:tcW w:w="100" w:type="dxa"/>
            <w:vAlign w:val="bottom"/>
            <w:tcBorders>
              <w:top w:val="single" w:sz="8" w:color="43C0B9"/>
            </w:tcBorders>
          </w:tcPr>
          <w:p>
            <w:pPr>
              <w:spacing w:after="0"/>
              <w:rPr>
                <w:sz w:val="15"/>
                <w:szCs w:val="15"/>
                <w:color w:val="auto"/>
              </w:rPr>
            </w:pPr>
          </w:p>
        </w:tc>
        <w:tc>
          <w:tcPr>
            <w:tcW w:w="590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7"/>
              </w:rPr>
            </w:pPr>
            <w:hyperlink w:anchor="page30">
              <w:r>
                <w:rPr>
                  <w:rFonts w:ascii="Arial" w:cs="Arial" w:eastAsia="Arial" w:hAnsi="Arial"/>
                  <w:sz w:val="14"/>
                  <w:szCs w:val="14"/>
                  <w:color w:val="0000FF"/>
                  <w:w w:val="97"/>
                </w:rPr>
                <w:t>Certification of Chief Financial Officer pursuant to Section 906 of the Sarbanes-Oxley Act of 2002</w:t>
              </w:r>
            </w:hyperlink>
          </w:p>
        </w:tc>
        <w:tc>
          <w:tcPr>
            <w:tcW w:w="40" w:type="dxa"/>
            <w:vAlign w:val="bottom"/>
            <w:tcBorders>
              <w:top w:val="single" w:sz="8" w:color="0000FF"/>
            </w:tcBorders>
          </w:tcPr>
          <w:p>
            <w:pPr>
              <w:spacing w:after="0"/>
              <w:rPr>
                <w:sz w:val="15"/>
                <w:szCs w:val="15"/>
                <w:color w:val="auto"/>
              </w:rPr>
            </w:pPr>
          </w:p>
        </w:tc>
        <w:tc>
          <w:tcPr>
            <w:tcW w:w="640" w:type="dxa"/>
            <w:vAlign w:val="bottom"/>
            <w:tcBorders>
              <w:top w:val="single" w:sz="8" w:color="43C0B9"/>
            </w:tcBorders>
            <w:gridSpan w:val="3"/>
          </w:tcPr>
          <w:p>
            <w:pPr>
              <w:spacing w:after="0"/>
              <w:rPr>
                <w:sz w:val="15"/>
                <w:szCs w:val="15"/>
                <w:color w:val="auto"/>
              </w:rPr>
            </w:pPr>
          </w:p>
        </w:tc>
        <w:tc>
          <w:tcPr>
            <w:tcW w:w="500" w:type="dxa"/>
            <w:vAlign w:val="bottom"/>
            <w:tcBorders>
              <w:top w:val="single" w:sz="8" w:color="43C0B9"/>
            </w:tcBorders>
          </w:tcPr>
          <w:p>
            <w:pPr>
              <w:spacing w:after="0"/>
              <w:rPr>
                <w:sz w:val="15"/>
                <w:szCs w:val="15"/>
                <w:color w:val="auto"/>
              </w:rPr>
            </w:pPr>
          </w:p>
        </w:tc>
        <w:tc>
          <w:tcPr>
            <w:tcW w:w="1320" w:type="dxa"/>
            <w:vAlign w:val="bottom"/>
            <w:tcBorders>
              <w:top w:val="single" w:sz="8" w:color="43C0B9"/>
            </w:tcBorders>
          </w:tcPr>
          <w:p>
            <w:pPr>
              <w:spacing w:after="0"/>
              <w:rPr>
                <w:sz w:val="15"/>
                <w:szCs w:val="15"/>
                <w:color w:val="auto"/>
              </w:rPr>
            </w:pPr>
          </w:p>
        </w:tc>
        <w:tc>
          <w:tcPr>
            <w:tcW w:w="940" w:type="dxa"/>
            <w:vAlign w:val="bottom"/>
            <w:tcBorders>
              <w:top w:val="single" w:sz="8" w:color="43C0B9"/>
            </w:tcBorders>
          </w:tcPr>
          <w:p>
            <w:pPr>
              <w:spacing w:after="0"/>
              <w:rPr>
                <w:sz w:val="15"/>
                <w:szCs w:val="15"/>
                <w:color w:val="auto"/>
              </w:rPr>
            </w:pPr>
          </w:p>
        </w:tc>
        <w:tc>
          <w:tcPr>
            <w:tcW w:w="980" w:type="dxa"/>
            <w:vAlign w:val="bottom"/>
            <w:tcBorders>
              <w:top w:val="single" w:sz="8" w:color="43C0B9"/>
            </w:tcBorders>
          </w:tcPr>
          <w:p>
            <w:pPr>
              <w:jc w:val="center"/>
              <w:ind w:left="31"/>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4"/>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w w:val="94"/>
              </w:rPr>
              <w:t>101</w:t>
            </w:r>
          </w:p>
        </w:tc>
        <w:tc>
          <w:tcPr>
            <w:tcW w:w="100" w:type="dxa"/>
            <w:vAlign w:val="bottom"/>
            <w:shd w:val="clear" w:color="auto" w:fill="43C0B9"/>
          </w:tcPr>
          <w:p>
            <w:pPr>
              <w:spacing w:after="0"/>
              <w:rPr>
                <w:sz w:val="16"/>
                <w:szCs w:val="16"/>
                <w:color w:val="auto"/>
              </w:rPr>
            </w:pPr>
          </w:p>
        </w:tc>
        <w:tc>
          <w:tcPr>
            <w:tcW w:w="6580" w:type="dxa"/>
            <w:vAlign w:val="bottom"/>
            <w:gridSpan w:val="8"/>
            <w:shd w:val="clear" w:color="auto" w:fill="43C0B9"/>
          </w:tcPr>
          <w:p>
            <w:pPr>
              <w:spacing w:after="0"/>
              <w:rPr>
                <w:sz w:val="20"/>
                <w:szCs w:val="20"/>
                <w:color w:val="auto"/>
              </w:rPr>
            </w:pPr>
            <w:r>
              <w:rPr>
                <w:rFonts w:ascii="Arial" w:cs="Arial" w:eastAsia="Arial" w:hAnsi="Arial"/>
                <w:sz w:val="14"/>
                <w:szCs w:val="14"/>
                <w:color w:val="auto"/>
              </w:rPr>
              <w:t>The following financial statements from the Company's Quarterly Report on Form 10-Q for the quarter</w:t>
            </w:r>
          </w:p>
        </w:tc>
        <w:tc>
          <w:tcPr>
            <w:tcW w:w="500" w:type="dxa"/>
            <w:vAlign w:val="bottom"/>
            <w:shd w:val="clear" w:color="auto" w:fill="43C0B9"/>
          </w:tcPr>
          <w:p>
            <w:pPr>
              <w:spacing w:after="0"/>
              <w:rPr>
                <w:sz w:val="16"/>
                <w:szCs w:val="16"/>
                <w:color w:val="auto"/>
              </w:rPr>
            </w:pPr>
          </w:p>
        </w:tc>
        <w:tc>
          <w:tcPr>
            <w:tcW w:w="1320" w:type="dxa"/>
            <w:vAlign w:val="bottom"/>
            <w:shd w:val="clear" w:color="auto" w:fill="43C0B9"/>
          </w:tcPr>
          <w:p>
            <w:pPr>
              <w:spacing w:after="0"/>
              <w:rPr>
                <w:sz w:val="16"/>
                <w:szCs w:val="16"/>
                <w:color w:val="auto"/>
              </w:rPr>
            </w:pPr>
          </w:p>
        </w:tc>
        <w:tc>
          <w:tcPr>
            <w:tcW w:w="940" w:type="dxa"/>
            <w:vAlign w:val="bottom"/>
            <w:shd w:val="clear" w:color="auto" w:fill="43C0B9"/>
          </w:tcPr>
          <w:p>
            <w:pPr>
              <w:spacing w:after="0"/>
              <w:rPr>
                <w:sz w:val="16"/>
                <w:szCs w:val="16"/>
                <w:color w:val="auto"/>
              </w:rPr>
            </w:pPr>
          </w:p>
        </w:tc>
        <w:tc>
          <w:tcPr>
            <w:tcW w:w="980" w:type="dxa"/>
            <w:vAlign w:val="bottom"/>
            <w:shd w:val="clear" w:color="auto" w:fill="43C0B9"/>
          </w:tcPr>
          <w:p>
            <w:pPr>
              <w:jc w:val="center"/>
              <w:ind w:left="31"/>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5"/>
        </w:trPr>
        <w:tc>
          <w:tcPr>
            <w:tcW w:w="780" w:type="dxa"/>
            <w:vAlign w:val="bottom"/>
            <w:shd w:val="clear" w:color="auto" w:fill="43C0B9"/>
          </w:tcPr>
          <w:p>
            <w:pPr>
              <w:spacing w:after="0"/>
              <w:rPr>
                <w:sz w:val="13"/>
                <w:szCs w:val="13"/>
                <w:color w:val="auto"/>
              </w:rPr>
            </w:pPr>
          </w:p>
        </w:tc>
        <w:tc>
          <w:tcPr>
            <w:tcW w:w="100" w:type="dxa"/>
            <w:vAlign w:val="bottom"/>
            <w:shd w:val="clear" w:color="auto" w:fill="43C0B9"/>
          </w:tcPr>
          <w:p>
            <w:pPr>
              <w:spacing w:after="0"/>
              <w:rPr>
                <w:sz w:val="13"/>
                <w:szCs w:val="13"/>
                <w:color w:val="auto"/>
              </w:rPr>
            </w:pPr>
          </w:p>
        </w:tc>
        <w:tc>
          <w:tcPr>
            <w:tcW w:w="6580" w:type="dxa"/>
            <w:vAlign w:val="bottom"/>
            <w:gridSpan w:val="8"/>
            <w:shd w:val="clear" w:color="auto" w:fill="43C0B9"/>
          </w:tcPr>
          <w:p>
            <w:pPr>
              <w:spacing w:after="0" w:line="155" w:lineRule="exact"/>
              <w:rPr>
                <w:sz w:val="20"/>
                <w:szCs w:val="20"/>
                <w:color w:val="auto"/>
              </w:rPr>
            </w:pPr>
            <w:r>
              <w:rPr>
                <w:rFonts w:ascii="Arial" w:cs="Arial" w:eastAsia="Arial" w:hAnsi="Arial"/>
                <w:sz w:val="14"/>
                <w:szCs w:val="14"/>
                <w:color w:val="auto"/>
              </w:rPr>
              <w:t>ended July 31, 2021 formatted in Inline XBRL: (i) Condensed Consolidated Balance Sheets, (ii)</w:t>
            </w:r>
          </w:p>
        </w:tc>
        <w:tc>
          <w:tcPr>
            <w:tcW w:w="500" w:type="dxa"/>
            <w:vAlign w:val="bottom"/>
            <w:shd w:val="clear" w:color="auto" w:fill="43C0B9"/>
          </w:tcPr>
          <w:p>
            <w:pPr>
              <w:spacing w:after="0"/>
              <w:rPr>
                <w:sz w:val="13"/>
                <w:szCs w:val="13"/>
                <w:color w:val="auto"/>
              </w:rPr>
            </w:pPr>
          </w:p>
        </w:tc>
        <w:tc>
          <w:tcPr>
            <w:tcW w:w="1320" w:type="dxa"/>
            <w:vAlign w:val="bottom"/>
            <w:shd w:val="clear" w:color="auto" w:fill="43C0B9"/>
          </w:tcPr>
          <w:p>
            <w:pPr>
              <w:spacing w:after="0"/>
              <w:rPr>
                <w:sz w:val="13"/>
                <w:szCs w:val="13"/>
                <w:color w:val="auto"/>
              </w:rPr>
            </w:pPr>
          </w:p>
        </w:tc>
        <w:tc>
          <w:tcPr>
            <w:tcW w:w="940" w:type="dxa"/>
            <w:vAlign w:val="bottom"/>
            <w:shd w:val="clear" w:color="auto" w:fill="43C0B9"/>
          </w:tcPr>
          <w:p>
            <w:pPr>
              <w:spacing w:after="0"/>
              <w:rPr>
                <w:sz w:val="13"/>
                <w:szCs w:val="13"/>
                <w:color w:val="auto"/>
              </w:rPr>
            </w:pPr>
          </w:p>
        </w:tc>
        <w:tc>
          <w:tcPr>
            <w:tcW w:w="980" w:type="dxa"/>
            <w:vAlign w:val="bottom"/>
            <w:shd w:val="clear" w:color="auto" w:fill="43C0B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43C0B9"/>
          </w:tcPr>
          <w:p>
            <w:pPr>
              <w:spacing w:after="0"/>
              <w:rPr>
                <w:sz w:val="13"/>
                <w:szCs w:val="13"/>
                <w:color w:val="auto"/>
              </w:rPr>
            </w:pPr>
          </w:p>
        </w:tc>
        <w:tc>
          <w:tcPr>
            <w:tcW w:w="100" w:type="dxa"/>
            <w:vAlign w:val="bottom"/>
            <w:shd w:val="clear" w:color="auto" w:fill="43C0B9"/>
          </w:tcPr>
          <w:p>
            <w:pPr>
              <w:spacing w:after="0"/>
              <w:rPr>
                <w:sz w:val="13"/>
                <w:szCs w:val="13"/>
                <w:color w:val="auto"/>
              </w:rPr>
            </w:pPr>
          </w:p>
        </w:tc>
        <w:tc>
          <w:tcPr>
            <w:tcW w:w="6580" w:type="dxa"/>
            <w:vAlign w:val="bottom"/>
            <w:gridSpan w:val="8"/>
            <w:shd w:val="clear" w:color="auto" w:fill="43C0B9"/>
          </w:tcPr>
          <w:p>
            <w:pPr>
              <w:spacing w:after="0" w:line="155" w:lineRule="exact"/>
              <w:rPr>
                <w:sz w:val="20"/>
                <w:szCs w:val="20"/>
                <w:color w:val="auto"/>
              </w:rPr>
            </w:pPr>
            <w:r>
              <w:rPr>
                <w:rFonts w:ascii="Arial" w:cs="Arial" w:eastAsia="Arial" w:hAnsi="Arial"/>
                <w:sz w:val="14"/>
                <w:szCs w:val="14"/>
                <w:color w:val="auto"/>
              </w:rPr>
              <w:t>Condensed Consolidated Statements of Operations, (iii) Condensed Consolidated Statements of</w:t>
            </w:r>
          </w:p>
        </w:tc>
        <w:tc>
          <w:tcPr>
            <w:tcW w:w="500" w:type="dxa"/>
            <w:vAlign w:val="bottom"/>
            <w:shd w:val="clear" w:color="auto" w:fill="43C0B9"/>
          </w:tcPr>
          <w:p>
            <w:pPr>
              <w:spacing w:after="0"/>
              <w:rPr>
                <w:sz w:val="13"/>
                <w:szCs w:val="13"/>
                <w:color w:val="auto"/>
              </w:rPr>
            </w:pPr>
          </w:p>
        </w:tc>
        <w:tc>
          <w:tcPr>
            <w:tcW w:w="1320" w:type="dxa"/>
            <w:vAlign w:val="bottom"/>
            <w:shd w:val="clear" w:color="auto" w:fill="43C0B9"/>
          </w:tcPr>
          <w:p>
            <w:pPr>
              <w:spacing w:after="0"/>
              <w:rPr>
                <w:sz w:val="13"/>
                <w:szCs w:val="13"/>
                <w:color w:val="auto"/>
              </w:rPr>
            </w:pPr>
          </w:p>
        </w:tc>
        <w:tc>
          <w:tcPr>
            <w:tcW w:w="940" w:type="dxa"/>
            <w:vAlign w:val="bottom"/>
            <w:shd w:val="clear" w:color="auto" w:fill="43C0B9"/>
          </w:tcPr>
          <w:p>
            <w:pPr>
              <w:spacing w:after="0"/>
              <w:rPr>
                <w:sz w:val="13"/>
                <w:szCs w:val="13"/>
                <w:color w:val="auto"/>
              </w:rPr>
            </w:pPr>
          </w:p>
        </w:tc>
        <w:tc>
          <w:tcPr>
            <w:tcW w:w="980" w:type="dxa"/>
            <w:vAlign w:val="bottom"/>
            <w:shd w:val="clear" w:color="auto" w:fill="43C0B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43C0B9"/>
          </w:tcPr>
          <w:p>
            <w:pPr>
              <w:spacing w:after="0"/>
              <w:rPr>
                <w:sz w:val="13"/>
                <w:szCs w:val="13"/>
                <w:color w:val="auto"/>
              </w:rPr>
            </w:pPr>
          </w:p>
        </w:tc>
        <w:tc>
          <w:tcPr>
            <w:tcW w:w="100" w:type="dxa"/>
            <w:vAlign w:val="bottom"/>
            <w:shd w:val="clear" w:color="auto" w:fill="43C0B9"/>
          </w:tcPr>
          <w:p>
            <w:pPr>
              <w:spacing w:after="0"/>
              <w:rPr>
                <w:sz w:val="13"/>
                <w:szCs w:val="13"/>
                <w:color w:val="auto"/>
              </w:rPr>
            </w:pPr>
          </w:p>
        </w:tc>
        <w:tc>
          <w:tcPr>
            <w:tcW w:w="6580" w:type="dxa"/>
            <w:vAlign w:val="bottom"/>
            <w:gridSpan w:val="8"/>
            <w:shd w:val="clear" w:color="auto" w:fill="43C0B9"/>
          </w:tcPr>
          <w:p>
            <w:pPr>
              <w:spacing w:after="0" w:line="155" w:lineRule="exact"/>
              <w:rPr>
                <w:sz w:val="20"/>
                <w:szCs w:val="20"/>
                <w:color w:val="auto"/>
              </w:rPr>
            </w:pPr>
            <w:r>
              <w:rPr>
                <w:rFonts w:ascii="Arial" w:cs="Arial" w:eastAsia="Arial" w:hAnsi="Arial"/>
                <w:sz w:val="14"/>
                <w:szCs w:val="14"/>
                <w:color w:val="auto"/>
                <w:w w:val="99"/>
              </w:rPr>
              <w:t>Comprehensive Income, (iv) Condensed Consolidated Statements of Stockholders' Equity, (v) Condensed</w:t>
            </w:r>
          </w:p>
        </w:tc>
        <w:tc>
          <w:tcPr>
            <w:tcW w:w="500" w:type="dxa"/>
            <w:vAlign w:val="bottom"/>
            <w:shd w:val="clear" w:color="auto" w:fill="43C0B9"/>
          </w:tcPr>
          <w:p>
            <w:pPr>
              <w:spacing w:after="0"/>
              <w:rPr>
                <w:sz w:val="13"/>
                <w:szCs w:val="13"/>
                <w:color w:val="auto"/>
              </w:rPr>
            </w:pPr>
          </w:p>
        </w:tc>
        <w:tc>
          <w:tcPr>
            <w:tcW w:w="1320" w:type="dxa"/>
            <w:vAlign w:val="bottom"/>
            <w:shd w:val="clear" w:color="auto" w:fill="43C0B9"/>
          </w:tcPr>
          <w:p>
            <w:pPr>
              <w:spacing w:after="0"/>
              <w:rPr>
                <w:sz w:val="13"/>
                <w:szCs w:val="13"/>
                <w:color w:val="auto"/>
              </w:rPr>
            </w:pPr>
          </w:p>
        </w:tc>
        <w:tc>
          <w:tcPr>
            <w:tcW w:w="940" w:type="dxa"/>
            <w:vAlign w:val="bottom"/>
            <w:shd w:val="clear" w:color="auto" w:fill="43C0B9"/>
          </w:tcPr>
          <w:p>
            <w:pPr>
              <w:spacing w:after="0"/>
              <w:rPr>
                <w:sz w:val="13"/>
                <w:szCs w:val="13"/>
                <w:color w:val="auto"/>
              </w:rPr>
            </w:pPr>
          </w:p>
        </w:tc>
        <w:tc>
          <w:tcPr>
            <w:tcW w:w="980" w:type="dxa"/>
            <w:vAlign w:val="bottom"/>
            <w:shd w:val="clear" w:color="auto" w:fill="43C0B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43C0B9"/>
          </w:tcPr>
          <w:p>
            <w:pPr>
              <w:spacing w:after="0"/>
              <w:rPr>
                <w:sz w:val="13"/>
                <w:szCs w:val="13"/>
                <w:color w:val="auto"/>
              </w:rPr>
            </w:pPr>
          </w:p>
        </w:tc>
        <w:tc>
          <w:tcPr>
            <w:tcW w:w="100" w:type="dxa"/>
            <w:vAlign w:val="bottom"/>
            <w:shd w:val="clear" w:color="auto" w:fill="43C0B9"/>
          </w:tcPr>
          <w:p>
            <w:pPr>
              <w:spacing w:after="0"/>
              <w:rPr>
                <w:sz w:val="13"/>
                <w:szCs w:val="13"/>
                <w:color w:val="auto"/>
              </w:rPr>
            </w:pPr>
          </w:p>
        </w:tc>
        <w:tc>
          <w:tcPr>
            <w:tcW w:w="6580" w:type="dxa"/>
            <w:vAlign w:val="bottom"/>
            <w:gridSpan w:val="8"/>
            <w:shd w:val="clear" w:color="auto" w:fill="43C0B9"/>
          </w:tcPr>
          <w:p>
            <w:pPr>
              <w:spacing w:after="0" w:line="155" w:lineRule="exact"/>
              <w:rPr>
                <w:sz w:val="20"/>
                <w:szCs w:val="20"/>
                <w:color w:val="auto"/>
              </w:rPr>
            </w:pPr>
            <w:r>
              <w:rPr>
                <w:rFonts w:ascii="Arial" w:cs="Arial" w:eastAsia="Arial" w:hAnsi="Arial"/>
                <w:sz w:val="14"/>
                <w:szCs w:val="14"/>
                <w:color w:val="auto"/>
              </w:rPr>
              <w:t>Consolidated Statements of Cash Flows, and (vi) Notes to Unaudited Condensed Consolidated Financial</w:t>
            </w:r>
          </w:p>
        </w:tc>
        <w:tc>
          <w:tcPr>
            <w:tcW w:w="500" w:type="dxa"/>
            <w:vAlign w:val="bottom"/>
            <w:shd w:val="clear" w:color="auto" w:fill="43C0B9"/>
          </w:tcPr>
          <w:p>
            <w:pPr>
              <w:spacing w:after="0"/>
              <w:rPr>
                <w:sz w:val="13"/>
                <w:szCs w:val="13"/>
                <w:color w:val="auto"/>
              </w:rPr>
            </w:pPr>
          </w:p>
        </w:tc>
        <w:tc>
          <w:tcPr>
            <w:tcW w:w="1320" w:type="dxa"/>
            <w:vAlign w:val="bottom"/>
            <w:shd w:val="clear" w:color="auto" w:fill="43C0B9"/>
          </w:tcPr>
          <w:p>
            <w:pPr>
              <w:spacing w:after="0"/>
              <w:rPr>
                <w:sz w:val="13"/>
                <w:szCs w:val="13"/>
                <w:color w:val="auto"/>
              </w:rPr>
            </w:pPr>
          </w:p>
        </w:tc>
        <w:tc>
          <w:tcPr>
            <w:tcW w:w="940" w:type="dxa"/>
            <w:vAlign w:val="bottom"/>
            <w:shd w:val="clear" w:color="auto" w:fill="43C0B9"/>
          </w:tcPr>
          <w:p>
            <w:pPr>
              <w:spacing w:after="0"/>
              <w:rPr>
                <w:sz w:val="13"/>
                <w:szCs w:val="13"/>
                <w:color w:val="auto"/>
              </w:rPr>
            </w:pPr>
          </w:p>
        </w:tc>
        <w:tc>
          <w:tcPr>
            <w:tcW w:w="980" w:type="dxa"/>
            <w:vAlign w:val="bottom"/>
            <w:shd w:val="clear" w:color="auto" w:fill="43C0B9"/>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6580" w:type="dxa"/>
            <w:vAlign w:val="bottom"/>
            <w:gridSpan w:val="8"/>
            <w:shd w:val="clear" w:color="auto" w:fill="43C0B9"/>
          </w:tcPr>
          <w:p>
            <w:pPr>
              <w:spacing w:after="0"/>
              <w:rPr>
                <w:sz w:val="20"/>
                <w:szCs w:val="20"/>
                <w:color w:val="auto"/>
              </w:rPr>
            </w:pPr>
            <w:r>
              <w:rPr>
                <w:rFonts w:ascii="Arial" w:cs="Arial" w:eastAsia="Arial" w:hAnsi="Arial"/>
                <w:sz w:val="14"/>
                <w:szCs w:val="14"/>
                <w:color w:val="auto"/>
              </w:rPr>
              <w:t>Statements, tagged as blocks of text and including detailed tags.</w:t>
            </w:r>
          </w:p>
        </w:tc>
        <w:tc>
          <w:tcPr>
            <w:tcW w:w="500" w:type="dxa"/>
            <w:vAlign w:val="bottom"/>
            <w:shd w:val="clear" w:color="auto" w:fill="43C0B9"/>
          </w:tcPr>
          <w:p>
            <w:pPr>
              <w:spacing w:after="0"/>
              <w:rPr>
                <w:sz w:val="15"/>
                <w:szCs w:val="15"/>
                <w:color w:val="auto"/>
              </w:rPr>
            </w:pPr>
          </w:p>
        </w:tc>
        <w:tc>
          <w:tcPr>
            <w:tcW w:w="132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980" w:type="dxa"/>
            <w:vAlign w:val="bottom"/>
            <w:shd w:val="clear" w:color="auto" w:fill="43C0B9"/>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tcPr>
          <w:p>
            <w:pPr>
              <w:spacing w:after="0"/>
              <w:rPr>
                <w:sz w:val="16"/>
                <w:szCs w:val="16"/>
                <w:color w:val="auto"/>
              </w:rPr>
            </w:pPr>
          </w:p>
        </w:tc>
        <w:tc>
          <w:tcPr>
            <w:tcW w:w="6580" w:type="dxa"/>
            <w:vAlign w:val="bottom"/>
            <w:gridSpan w:val="8"/>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jc w:val="center"/>
              <w:ind w:left="31"/>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2"/>
          <w:szCs w:val="12"/>
          <w:color w:val="auto"/>
        </w:rPr>
        <w:t># Previously filed</w:t>
      </w:r>
    </w:p>
    <w:p>
      <w:pPr>
        <w:spacing w:after="0" w:line="94" w:lineRule="exact"/>
        <w:rPr>
          <w:sz w:val="20"/>
          <w:szCs w:val="20"/>
          <w:color w:val="auto"/>
        </w:rPr>
      </w:pPr>
    </w:p>
    <w:p>
      <w:pPr>
        <w:ind w:left="480" w:right="20" w:hanging="90"/>
        <w:spacing w:after="0" w:line="181" w:lineRule="auto"/>
        <w:tabs>
          <w:tab w:leader="none" w:pos="480" w:val="left"/>
        </w:tabs>
        <w:numPr>
          <w:ilvl w:val="0"/>
          <w:numId w:val="12"/>
        </w:numPr>
        <w:rPr>
          <w:rFonts w:ascii="Arial" w:cs="Arial" w:eastAsia="Arial" w:hAnsi="Arial"/>
          <w:sz w:val="22"/>
          <w:szCs w:val="22"/>
          <w:color w:val="auto"/>
          <w:vertAlign w:val="superscript"/>
        </w:rPr>
      </w:pPr>
      <w:r>
        <w:rPr>
          <w:rFonts w:ascii="Arial" w:cs="Arial" w:eastAsia="Arial" w:hAnsi="Arial"/>
          <w:sz w:val="11"/>
          <w:szCs w:val="11"/>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232F84"/>
        </w:rPr>
        <w:t>SIGNATURES</w:t>
      </w:r>
    </w:p>
    <w:p>
      <w:pPr>
        <w:spacing w:after="0" w:line="244" w:lineRule="exact"/>
        <w:rPr>
          <w:sz w:val="20"/>
          <w:szCs w:val="20"/>
          <w:color w:val="auto"/>
        </w:rPr>
      </w:pPr>
    </w:p>
    <w:p>
      <w:pPr>
        <w:ind w:right="440" w:firstLine="619"/>
        <w:spacing w:after="0" w:line="269"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quarterly report to be signed on its behalf by the undersigned, thereunto duly authorized, on September 13, 2021.</w:t>
      </w:r>
    </w:p>
    <w:p>
      <w:pPr>
        <w:spacing w:after="0" w:line="240" w:lineRule="exact"/>
        <w:rPr>
          <w:sz w:val="20"/>
          <w:szCs w:val="20"/>
          <w:color w:val="auto"/>
        </w:rPr>
      </w:pPr>
    </w:p>
    <w:p>
      <w:pPr>
        <w:jc w:val="center"/>
        <w:ind w:left="7960"/>
        <w:spacing w:after="0"/>
        <w:rPr>
          <w:sz w:val="20"/>
          <w:szCs w:val="20"/>
          <w:color w:val="auto"/>
        </w:rPr>
      </w:pPr>
      <w:r>
        <w:rPr>
          <w:rFonts w:ascii="Arial" w:cs="Arial" w:eastAsia="Arial" w:hAnsi="Arial"/>
          <w:sz w:val="15"/>
          <w:szCs w:val="15"/>
          <w:b w:val="1"/>
          <w:bCs w:val="1"/>
          <w:color w:val="232F84"/>
        </w:rPr>
        <w:t>MISSION PRODUCE, INC.</w:t>
      </w:r>
    </w:p>
    <w:p>
      <w:pPr>
        <w:spacing w:after="0" w:line="158"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1270</wp:posOffset>
            </wp:positionV>
            <wp:extent cx="2472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472055" cy="8255"/>
                    </a:xfrm>
                    <a:prstGeom prst="rect">
                      <a:avLst/>
                    </a:prstGeom>
                    <a:noFill/>
                  </pic:spPr>
                </pic:pic>
              </a:graphicData>
            </a:graphic>
          </wp:anchor>
        </w:drawing>
      </w:r>
    </w:p>
    <w:p>
      <w:pPr>
        <w:spacing w:after="0" w:line="25"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Stephen J. Barnard</w:t>
      </w:r>
    </w:p>
    <w:p>
      <w:pPr>
        <w:spacing w:after="0" w:line="18" w:lineRule="exact"/>
        <w:rPr>
          <w:sz w:val="20"/>
          <w:szCs w:val="20"/>
          <w:color w:val="auto"/>
        </w:rPr>
      </w:pPr>
    </w:p>
    <w:p>
      <w:pPr>
        <w:ind w:left="8900"/>
        <w:spacing w:after="0"/>
        <w:rPr>
          <w:sz w:val="20"/>
          <w:szCs w:val="20"/>
          <w:color w:val="auto"/>
        </w:rPr>
      </w:pPr>
      <w:r>
        <w:rPr>
          <w:rFonts w:ascii="Arial" w:cs="Arial" w:eastAsia="Arial" w:hAnsi="Arial"/>
          <w:sz w:val="14"/>
          <w:szCs w:val="14"/>
          <w:i w:val="1"/>
          <w:iCs w:val="1"/>
          <w:color w:val="auto"/>
        </w:rPr>
        <w:t>Chief Executive Officer</w:t>
      </w:r>
    </w:p>
    <w:p>
      <w:pPr>
        <w:spacing w:after="0" w:line="253"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9525</wp:posOffset>
            </wp:positionV>
            <wp:extent cx="2472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472055" cy="8255"/>
                    </a:xfrm>
                    <a:prstGeom prst="rect">
                      <a:avLst/>
                    </a:prstGeom>
                    <a:noFill/>
                  </pic:spPr>
                </pic:pic>
              </a:graphicData>
            </a:graphic>
          </wp:anchor>
        </w:drawing>
      </w:r>
    </w:p>
    <w:p>
      <w:pPr>
        <w:spacing w:after="0" w:line="244" w:lineRule="exact"/>
        <w:rPr>
          <w:sz w:val="20"/>
          <w:szCs w:val="20"/>
          <w:color w:val="auto"/>
        </w:rPr>
      </w:pPr>
    </w:p>
    <w:p>
      <w:pPr>
        <w:jc w:val="center"/>
        <w:ind w:left="7960"/>
        <w:spacing w:after="0"/>
        <w:rPr>
          <w:sz w:val="20"/>
          <w:szCs w:val="20"/>
          <w:color w:val="auto"/>
        </w:rPr>
      </w:pPr>
      <w:r>
        <w:rPr>
          <w:rFonts w:ascii="Arial" w:cs="Arial" w:eastAsia="Arial" w:hAnsi="Arial"/>
          <w:sz w:val="14"/>
          <w:szCs w:val="14"/>
          <w:color w:val="auto"/>
        </w:rPr>
        <w:t>Bryan E. Giles</w:t>
      </w:r>
    </w:p>
    <w:p>
      <w:pPr>
        <w:spacing w:after="0" w:line="18" w:lineRule="exact"/>
        <w:rPr>
          <w:sz w:val="20"/>
          <w:szCs w:val="20"/>
          <w:color w:val="auto"/>
        </w:rPr>
      </w:pPr>
    </w:p>
    <w:p>
      <w:pPr>
        <w:jc w:val="center"/>
        <w:ind w:left="796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00"/>
          </w:cols>
          <w:pgMar w:left="320" w:top="833" w:right="379" w:bottom="1440" w:gutter="0" w:footer="0" w:header="0"/>
        </w:sectPr>
      </w:pPr>
    </w:p>
    <w:bookmarkStart w:id="26" w:name="page27"/>
    <w:bookmarkEnd w:id="26"/>
    <w:p>
      <w:pPr>
        <w:jc w:val="center"/>
        <w:ind w:right="-139"/>
        <w:spacing w:after="0"/>
        <w:rPr>
          <w:sz w:val="20"/>
          <w:szCs w:val="20"/>
          <w:color w:val="auto"/>
        </w:rPr>
      </w:pPr>
      <w:r>
        <w:rPr>
          <w:rFonts w:ascii="Arial" w:cs="Arial" w:eastAsia="Arial" w:hAnsi="Arial"/>
          <w:sz w:val="24"/>
          <w:szCs w:val="24"/>
          <w:b w:val="1"/>
          <w:bCs w:val="1"/>
          <w:color w:val="232F84"/>
        </w:rPr>
        <w:t>CERTIFICATION OF CHIEF EXECUTIVE OFFICER</w:t>
      </w: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232F84"/>
        </w:rPr>
        <w:t>PURSUANT TO SECTION 302 OF 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 Stephen J. Barnard, certify that:</w:t>
      </w:r>
    </w:p>
    <w:p>
      <w:pPr>
        <w:spacing w:after="0" w:line="214"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Mission Produce, Inc.;</w:t>
      </w:r>
    </w:p>
    <w:p>
      <w:pPr>
        <w:spacing w:after="0" w:line="214" w:lineRule="exact"/>
        <w:rPr>
          <w:rFonts w:ascii="Arial" w:cs="Arial" w:eastAsia="Arial" w:hAnsi="Arial"/>
          <w:sz w:val="15"/>
          <w:szCs w:val="15"/>
          <w:color w:val="auto"/>
        </w:rPr>
      </w:pPr>
    </w:p>
    <w:p>
      <w:pPr>
        <w:ind w:left="620" w:right="40" w:hanging="307"/>
        <w:spacing w:after="0" w:line="269"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5"/>
          <w:szCs w:val="15"/>
          <w:color w:val="auto"/>
        </w:rPr>
      </w:pPr>
    </w:p>
    <w:p>
      <w:pPr>
        <w:ind w:left="620" w:hanging="307"/>
        <w:spacing w:after="0" w:line="269"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5"/>
          <w:szCs w:val="15"/>
          <w:color w:val="auto"/>
        </w:rPr>
      </w:pPr>
    </w:p>
    <w:p>
      <w:pPr>
        <w:ind w:left="620" w:right="40" w:hanging="307"/>
        <w:spacing w:after="0" w:line="260"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5"/>
          <w:szCs w:val="15"/>
          <w:color w:val="auto"/>
        </w:rPr>
      </w:pPr>
    </w:p>
    <w:p>
      <w:pPr>
        <w:ind w:left="1240" w:right="20" w:hanging="309"/>
        <w:spacing w:after="0" w:line="260" w:lineRule="auto"/>
        <w:tabs>
          <w:tab w:leader="none" w:pos="1261"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5"/>
          <w:szCs w:val="15"/>
          <w:color w:val="auto"/>
        </w:rPr>
      </w:pPr>
    </w:p>
    <w:p>
      <w:pPr>
        <w:ind w:left="1240" w:hanging="309"/>
        <w:spacing w:after="0"/>
        <w:tabs>
          <w:tab w:leader="none" w:pos="1240" w:val="left"/>
        </w:tabs>
        <w:numPr>
          <w:ilvl w:val="1"/>
          <w:numId w:val="13"/>
        </w:numPr>
        <w:rPr>
          <w:rFonts w:ascii="Arial" w:cs="Arial" w:eastAsia="Arial" w:hAnsi="Arial"/>
          <w:sz w:val="15"/>
          <w:szCs w:val="15"/>
          <w:color w:val="auto"/>
        </w:rPr>
      </w:pPr>
      <w:r>
        <w:rPr>
          <w:rFonts w:ascii="Arial" w:cs="Arial" w:eastAsia="Arial" w:hAnsi="Arial"/>
          <w:sz w:val="15"/>
          <w:szCs w:val="15"/>
          <w:color w:val="auto"/>
        </w:rPr>
        <w:t>[paragraph omitted in accordance with Exchange Act Rule 13a-14(a)];</w:t>
      </w:r>
    </w:p>
    <w:p>
      <w:pPr>
        <w:spacing w:after="0" w:line="214" w:lineRule="exact"/>
        <w:rPr>
          <w:rFonts w:ascii="Arial" w:cs="Arial" w:eastAsia="Arial" w:hAnsi="Arial"/>
          <w:sz w:val="15"/>
          <w:szCs w:val="15"/>
          <w:color w:val="auto"/>
        </w:rPr>
      </w:pPr>
    </w:p>
    <w:p>
      <w:pPr>
        <w:jc w:val="both"/>
        <w:ind w:left="1240" w:right="560" w:hanging="309"/>
        <w:spacing w:after="0" w:line="269" w:lineRule="auto"/>
        <w:tabs>
          <w:tab w:leader="none" w:pos="1253"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5"/>
          <w:szCs w:val="15"/>
          <w:color w:val="auto"/>
        </w:rPr>
      </w:pPr>
    </w:p>
    <w:p>
      <w:pPr>
        <w:ind w:left="1240" w:hanging="309"/>
        <w:spacing w:after="0" w:line="260" w:lineRule="auto"/>
        <w:tabs>
          <w:tab w:leader="none" w:pos="1248" w:val="left"/>
        </w:tabs>
        <w:numPr>
          <w:ilvl w:val="1"/>
          <w:numId w:val="1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5"/>
          <w:szCs w:val="15"/>
          <w:color w:val="auto"/>
        </w:rPr>
      </w:pPr>
    </w:p>
    <w:p>
      <w:pPr>
        <w:ind w:left="620" w:right="380" w:hanging="307"/>
        <w:spacing w:after="0" w:line="269"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5"/>
          <w:szCs w:val="15"/>
          <w:color w:val="auto"/>
        </w:rPr>
      </w:pPr>
    </w:p>
    <w:p>
      <w:pPr>
        <w:ind w:left="1240" w:right="180" w:hanging="309"/>
        <w:spacing w:after="0" w:line="269" w:lineRule="auto"/>
        <w:tabs>
          <w:tab w:leader="none" w:pos="1261" w:val="left"/>
        </w:tabs>
        <w:numPr>
          <w:ilvl w:val="1"/>
          <w:numId w:val="1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5"/>
          <w:szCs w:val="15"/>
          <w:color w:val="auto"/>
        </w:rPr>
      </w:pPr>
    </w:p>
    <w:p>
      <w:pPr>
        <w:ind w:left="1240" w:right="140" w:hanging="309"/>
        <w:spacing w:after="0" w:line="269" w:lineRule="auto"/>
        <w:tabs>
          <w:tab w:leader="none" w:pos="1248"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ind w:left="8240"/>
        <w:spacing w:after="0"/>
        <w:rPr>
          <w:sz w:val="20"/>
          <w:szCs w:val="20"/>
          <w:color w:val="auto"/>
        </w:rPr>
      </w:pPr>
      <w:r>
        <w:rPr>
          <w:rFonts w:ascii="Arial" w:cs="Arial" w:eastAsia="Arial" w:hAnsi="Arial"/>
          <w:sz w:val="15"/>
          <w:szCs w:val="15"/>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ind w:left="8340"/>
        <w:spacing w:after="0"/>
        <w:rPr>
          <w:sz w:val="20"/>
          <w:szCs w:val="20"/>
          <w:color w:val="auto"/>
        </w:rPr>
      </w:pPr>
      <w:r>
        <w:rPr>
          <w:rFonts w:ascii="Arial" w:cs="Arial" w:eastAsia="Arial" w:hAnsi="Arial"/>
          <w:sz w:val="15"/>
          <w:szCs w:val="15"/>
          <w:color w:val="auto"/>
        </w:rPr>
        <w:t>Stephen J. Barnard</w:t>
      </w:r>
    </w:p>
    <w:p>
      <w:pPr>
        <w:spacing w:after="0" w:line="31" w:lineRule="exact"/>
        <w:rPr>
          <w:sz w:val="20"/>
          <w:szCs w:val="20"/>
          <w:color w:val="auto"/>
        </w:rPr>
      </w:pPr>
    </w:p>
    <w:p>
      <w:pPr>
        <w:ind w:left="740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13, 2021</w:t>
      </w:r>
    </w:p>
    <w:p>
      <w:pPr>
        <w:sectPr>
          <w:pgSz w:w="11900" w:h="16838" w:orient="portrait"/>
          <w:cols w:equalWidth="0" w:num="1">
            <w:col w:w="11120"/>
          </w:cols>
          <w:pgMar w:left="320" w:top="1439" w:right="459" w:bottom="1440" w:gutter="0" w:footer="0" w:header="0"/>
        </w:sectPr>
      </w:pPr>
    </w:p>
    <w:bookmarkStart w:id="27" w:name="page28"/>
    <w:bookmarkEnd w:id="27"/>
    <w:p>
      <w:pPr>
        <w:jc w:val="center"/>
        <w:ind w:right="-139"/>
        <w:spacing w:after="0"/>
        <w:rPr>
          <w:sz w:val="20"/>
          <w:szCs w:val="20"/>
          <w:color w:val="auto"/>
        </w:rPr>
      </w:pPr>
      <w:r>
        <w:rPr>
          <w:rFonts w:ascii="Arial" w:cs="Arial" w:eastAsia="Arial" w:hAnsi="Arial"/>
          <w:sz w:val="24"/>
          <w:szCs w:val="24"/>
          <w:b w:val="1"/>
          <w:bCs w:val="1"/>
          <w:color w:val="232F84"/>
        </w:rPr>
        <w:t>CERTIFICATION OF CHIEF FINANCIAL OFFICER</w:t>
      </w: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232F84"/>
        </w:rPr>
        <w:t>PURSUANT TO SECTION 302 OF 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 Bryan E. Giles, certify that:</w:t>
      </w:r>
    </w:p>
    <w:p>
      <w:pPr>
        <w:spacing w:after="0" w:line="214"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Mission Produce, Inc.;</w:t>
      </w:r>
    </w:p>
    <w:p>
      <w:pPr>
        <w:spacing w:after="0" w:line="214" w:lineRule="exact"/>
        <w:rPr>
          <w:rFonts w:ascii="Arial" w:cs="Arial" w:eastAsia="Arial" w:hAnsi="Arial"/>
          <w:sz w:val="15"/>
          <w:szCs w:val="15"/>
          <w:color w:val="auto"/>
        </w:rPr>
      </w:pPr>
    </w:p>
    <w:p>
      <w:pPr>
        <w:ind w:left="620" w:right="40" w:hanging="307"/>
        <w:spacing w:after="0" w:line="269"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5"/>
          <w:szCs w:val="15"/>
          <w:color w:val="auto"/>
        </w:rPr>
      </w:pPr>
    </w:p>
    <w:p>
      <w:pPr>
        <w:ind w:left="620" w:hanging="307"/>
        <w:spacing w:after="0" w:line="269"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5"/>
          <w:szCs w:val="15"/>
          <w:color w:val="auto"/>
        </w:rPr>
      </w:pPr>
    </w:p>
    <w:p>
      <w:pPr>
        <w:ind w:left="620" w:right="40" w:hanging="307"/>
        <w:spacing w:after="0" w:line="260"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5"/>
          <w:szCs w:val="15"/>
          <w:color w:val="auto"/>
        </w:rPr>
      </w:pPr>
    </w:p>
    <w:p>
      <w:pPr>
        <w:ind w:left="1240" w:right="20" w:hanging="309"/>
        <w:spacing w:after="0" w:line="260" w:lineRule="auto"/>
        <w:tabs>
          <w:tab w:leader="none" w:pos="1261"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5"/>
          <w:szCs w:val="15"/>
          <w:color w:val="auto"/>
        </w:rPr>
      </w:pPr>
    </w:p>
    <w:p>
      <w:pPr>
        <w:ind w:left="1240" w:hanging="309"/>
        <w:spacing w:after="0"/>
        <w:tabs>
          <w:tab w:leader="none" w:pos="12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[paragraph omitted in accordance with Exchange Act Rule 13a-14(a)];</w:t>
      </w:r>
    </w:p>
    <w:p>
      <w:pPr>
        <w:spacing w:after="0" w:line="214" w:lineRule="exact"/>
        <w:rPr>
          <w:rFonts w:ascii="Arial" w:cs="Arial" w:eastAsia="Arial" w:hAnsi="Arial"/>
          <w:sz w:val="15"/>
          <w:szCs w:val="15"/>
          <w:color w:val="auto"/>
        </w:rPr>
      </w:pPr>
    </w:p>
    <w:p>
      <w:pPr>
        <w:jc w:val="both"/>
        <w:ind w:left="1240" w:right="560" w:hanging="309"/>
        <w:spacing w:after="0" w:line="269" w:lineRule="auto"/>
        <w:tabs>
          <w:tab w:leader="none" w:pos="1253"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5"/>
          <w:szCs w:val="15"/>
          <w:color w:val="auto"/>
        </w:rPr>
      </w:pPr>
    </w:p>
    <w:p>
      <w:pPr>
        <w:ind w:left="1240" w:hanging="309"/>
        <w:spacing w:after="0" w:line="260" w:lineRule="auto"/>
        <w:tabs>
          <w:tab w:leader="none" w:pos="1248"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5"/>
          <w:szCs w:val="15"/>
          <w:color w:val="auto"/>
        </w:rPr>
      </w:pPr>
    </w:p>
    <w:p>
      <w:pPr>
        <w:ind w:left="620" w:right="380" w:hanging="307"/>
        <w:spacing w:after="0" w:line="269"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5"/>
          <w:szCs w:val="15"/>
          <w:color w:val="auto"/>
        </w:rPr>
      </w:pPr>
    </w:p>
    <w:p>
      <w:pPr>
        <w:ind w:left="1240" w:right="180" w:hanging="309"/>
        <w:spacing w:after="0" w:line="269" w:lineRule="auto"/>
        <w:tabs>
          <w:tab w:leader="none" w:pos="1261"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5"/>
          <w:szCs w:val="15"/>
          <w:color w:val="auto"/>
        </w:rPr>
      </w:pPr>
    </w:p>
    <w:p>
      <w:pPr>
        <w:ind w:left="1240" w:right="140" w:hanging="309"/>
        <w:spacing w:after="0" w:line="269" w:lineRule="auto"/>
        <w:tabs>
          <w:tab w:leader="none" w:pos="1248"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jc w:val="center"/>
        <w:ind w:left="6760"/>
        <w:spacing w:after="0"/>
        <w:rPr>
          <w:sz w:val="20"/>
          <w:szCs w:val="20"/>
          <w:color w:val="auto"/>
        </w:rPr>
      </w:pPr>
      <w:r>
        <w:rPr>
          <w:rFonts w:ascii="Arial" w:cs="Arial" w:eastAsia="Arial" w:hAnsi="Arial"/>
          <w:sz w:val="15"/>
          <w:szCs w:val="15"/>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jc w:val="center"/>
        <w:ind w:left="6760"/>
        <w:spacing w:after="0"/>
        <w:rPr>
          <w:sz w:val="20"/>
          <w:szCs w:val="20"/>
          <w:color w:val="auto"/>
        </w:rPr>
      </w:pPr>
      <w:r>
        <w:rPr>
          <w:rFonts w:ascii="Arial" w:cs="Arial" w:eastAsia="Arial" w:hAnsi="Arial"/>
          <w:sz w:val="15"/>
          <w:szCs w:val="15"/>
          <w:color w:val="auto"/>
        </w:rPr>
        <w:t>Bryan E. Giles</w:t>
      </w:r>
    </w:p>
    <w:p>
      <w:pPr>
        <w:spacing w:after="0" w:line="44" w:lineRule="exact"/>
        <w:rPr>
          <w:sz w:val="20"/>
          <w:szCs w:val="20"/>
          <w:color w:val="auto"/>
        </w:rPr>
      </w:pPr>
    </w:p>
    <w:p>
      <w:pPr>
        <w:jc w:val="center"/>
        <w:ind w:left="6760"/>
        <w:spacing w:after="0"/>
        <w:rPr>
          <w:sz w:val="20"/>
          <w:szCs w:val="20"/>
          <w:color w:val="auto"/>
        </w:rPr>
      </w:pPr>
      <w:r>
        <w:rPr>
          <w:rFonts w:ascii="Arial" w:cs="Arial" w:eastAsia="Arial" w:hAnsi="Arial"/>
          <w:sz w:val="15"/>
          <w:szCs w:val="15"/>
          <w:i w:val="1"/>
          <w:iCs w:val="1"/>
          <w:color w:val="auto"/>
        </w:rPr>
        <w:t>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13, 2021</w:t>
      </w:r>
    </w:p>
    <w:p>
      <w:pPr>
        <w:sectPr>
          <w:pgSz w:w="11900" w:h="16838" w:orient="portrait"/>
          <w:cols w:equalWidth="0" w:num="1">
            <w:col w:w="11120"/>
          </w:cols>
          <w:pgMar w:left="320" w:top="1439" w:right="4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4"/>
          <w:szCs w:val="24"/>
          <w:b w:val="1"/>
          <w:bCs w:val="1"/>
          <w:color w:val="232F84"/>
        </w:rPr>
        <w:t>CERTIFICATION OF CHIEF EXECUTIVE OFFICER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232F84"/>
        </w:rPr>
        <w:t>PURSUANT TO SECTION 906 OF THE SARBANES-OXLEY ACT OF 2002</w:t>
      </w:r>
    </w:p>
    <w:p>
      <w:pPr>
        <w:spacing w:after="0" w:line="244" w:lineRule="exact"/>
        <w:rPr>
          <w:sz w:val="20"/>
          <w:szCs w:val="20"/>
          <w:color w:val="auto"/>
        </w:rPr>
      </w:pPr>
    </w:p>
    <w:p>
      <w:pPr>
        <w:ind w:right="820"/>
        <w:spacing w:after="0" w:line="269"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Mission Produce, Inc. (the “Company”) hereby certifies, to the best of his knowledge, that:</w:t>
      </w:r>
    </w:p>
    <w:p>
      <w:pPr>
        <w:spacing w:after="0" w:line="181" w:lineRule="exact"/>
        <w:rPr>
          <w:sz w:val="20"/>
          <w:szCs w:val="20"/>
          <w:color w:val="auto"/>
        </w:rPr>
      </w:pPr>
    </w:p>
    <w:p>
      <w:pPr>
        <w:ind w:left="620" w:hanging="307"/>
        <w:spacing w:after="0" w:line="269" w:lineRule="auto"/>
        <w:tabs>
          <w:tab w:leader="none" w:pos="628"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quarter ended July 31, 2021 (the “Report”) fully complies with the requirements of Section 13(a) or Section 15(d), as applicable, of the Securities Exchange Act of 1934, as amended; and</w:t>
      </w:r>
    </w:p>
    <w:p>
      <w:pPr>
        <w:spacing w:after="0" w:line="180" w:lineRule="exact"/>
        <w:rPr>
          <w:rFonts w:ascii="Arial" w:cs="Arial" w:eastAsia="Arial" w:hAnsi="Arial"/>
          <w:sz w:val="15"/>
          <w:szCs w:val="15"/>
          <w:color w:val="auto"/>
        </w:rPr>
      </w:pPr>
    </w:p>
    <w:p>
      <w:pPr>
        <w:ind w:left="620" w:hanging="30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240"/>
        <w:spacing w:after="0"/>
        <w:rPr>
          <w:sz w:val="20"/>
          <w:szCs w:val="20"/>
          <w:color w:val="auto"/>
        </w:rPr>
      </w:pPr>
      <w:r>
        <w:rPr>
          <w:rFonts w:ascii="Arial" w:cs="Arial" w:eastAsia="Arial" w:hAnsi="Arial"/>
          <w:sz w:val="15"/>
          <w:szCs w:val="15"/>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ind w:left="8340"/>
        <w:spacing w:after="0"/>
        <w:rPr>
          <w:sz w:val="20"/>
          <w:szCs w:val="20"/>
          <w:color w:val="auto"/>
        </w:rPr>
      </w:pPr>
      <w:r>
        <w:rPr>
          <w:rFonts w:ascii="Arial" w:cs="Arial" w:eastAsia="Arial" w:hAnsi="Arial"/>
          <w:sz w:val="15"/>
          <w:szCs w:val="15"/>
          <w:color w:val="auto"/>
        </w:rPr>
        <w:t>Stephen J. Barnard</w:t>
      </w:r>
    </w:p>
    <w:p>
      <w:pPr>
        <w:spacing w:after="0" w:line="31" w:lineRule="exact"/>
        <w:rPr>
          <w:sz w:val="20"/>
          <w:szCs w:val="20"/>
          <w:color w:val="auto"/>
        </w:rPr>
      </w:pPr>
    </w:p>
    <w:p>
      <w:pPr>
        <w:ind w:left="740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13, 2021</w:t>
      </w:r>
    </w:p>
    <w:p>
      <w:pPr>
        <w:sectPr>
          <w:pgSz w:w="11900" w:h="16838" w:orient="portrait"/>
          <w:cols w:equalWidth="0" w:num="1">
            <w:col w:w="11220"/>
          </w:cols>
          <w:pgMar w:left="320" w:top="1439"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4"/>
          <w:szCs w:val="24"/>
          <w:b w:val="1"/>
          <w:bCs w:val="1"/>
          <w:color w:val="232F84"/>
        </w:rPr>
        <w:t>CERTIFICATION OF CHIEF FINANCIAL OFFICER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232F84"/>
        </w:rPr>
        <w:t>PURSUANT TO SECTION 906 OF THE SARBANES-OXLEY ACT OF 2002</w:t>
      </w:r>
    </w:p>
    <w:p>
      <w:pPr>
        <w:spacing w:after="0" w:line="244" w:lineRule="exact"/>
        <w:rPr>
          <w:sz w:val="20"/>
          <w:szCs w:val="20"/>
          <w:color w:val="auto"/>
        </w:rPr>
      </w:pPr>
    </w:p>
    <w:p>
      <w:pPr>
        <w:ind w:right="820"/>
        <w:spacing w:after="0" w:line="269"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Mission Produce, Inc. (the “Company”) hereby certifies, to the best of his knowledge, that:</w:t>
      </w:r>
    </w:p>
    <w:p>
      <w:pPr>
        <w:spacing w:after="0" w:line="181" w:lineRule="exact"/>
        <w:rPr>
          <w:sz w:val="20"/>
          <w:szCs w:val="20"/>
          <w:color w:val="auto"/>
        </w:rPr>
      </w:pPr>
    </w:p>
    <w:p>
      <w:pPr>
        <w:ind w:left="620" w:hanging="307"/>
        <w:spacing w:after="0" w:line="269" w:lineRule="auto"/>
        <w:tabs>
          <w:tab w:leader="none" w:pos="628"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quarter ended July 31, 2021 (the “Report”) fully complies with the requirements of Section 13(a) or Section 15(d), as applicable, of the Securities Exchange Act of 1934, as amended; and</w:t>
      </w:r>
    </w:p>
    <w:p>
      <w:pPr>
        <w:spacing w:after="0" w:line="180"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jc w:val="center"/>
        <w:ind w:left="6760"/>
        <w:spacing w:after="0"/>
        <w:rPr>
          <w:sz w:val="20"/>
          <w:szCs w:val="20"/>
          <w:color w:val="auto"/>
        </w:rPr>
      </w:pPr>
      <w:r>
        <w:rPr>
          <w:rFonts w:ascii="Arial" w:cs="Arial" w:eastAsia="Arial" w:hAnsi="Arial"/>
          <w:sz w:val="15"/>
          <w:szCs w:val="15"/>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jc w:val="center"/>
        <w:ind w:left="6760"/>
        <w:spacing w:after="0"/>
        <w:rPr>
          <w:sz w:val="20"/>
          <w:szCs w:val="20"/>
          <w:color w:val="auto"/>
        </w:rPr>
      </w:pPr>
      <w:r>
        <w:rPr>
          <w:rFonts w:ascii="Arial" w:cs="Arial" w:eastAsia="Arial" w:hAnsi="Arial"/>
          <w:sz w:val="15"/>
          <w:szCs w:val="15"/>
          <w:color w:val="auto"/>
        </w:rPr>
        <w:t>Bryan E. Giles</w:t>
      </w:r>
    </w:p>
    <w:p>
      <w:pPr>
        <w:spacing w:after="0" w:line="44" w:lineRule="exact"/>
        <w:rPr>
          <w:sz w:val="20"/>
          <w:szCs w:val="20"/>
          <w:color w:val="auto"/>
        </w:rPr>
      </w:pPr>
    </w:p>
    <w:p>
      <w:pPr>
        <w:jc w:val="center"/>
        <w:ind w:left="6760"/>
        <w:spacing w:after="0"/>
        <w:rPr>
          <w:sz w:val="20"/>
          <w:szCs w:val="20"/>
          <w:color w:val="auto"/>
        </w:rPr>
      </w:pPr>
      <w:r>
        <w:rPr>
          <w:rFonts w:ascii="Arial" w:cs="Arial" w:eastAsia="Arial" w:hAnsi="Arial"/>
          <w:sz w:val="15"/>
          <w:szCs w:val="15"/>
          <w:i w:val="1"/>
          <w:iCs w:val="1"/>
          <w:color w:val="auto"/>
        </w:rPr>
        <w:t>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13, 2021</w:t>
      </w:r>
    </w:p>
    <w:sectPr>
      <w:pgSz w:w="11900" w:h="16838" w:orient="portrait"/>
      <w:cols w:equalWidth="0" w:num="1">
        <w:col w:w="11220"/>
      </w:cols>
      <w:pgMar w:left="320" w:top="14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0" Type="http://schemas.openxmlformats.org/officeDocument/2006/relationships/hyperlink" Target="https://www.sec.gov/Archives/edgar/data/1802974/000119312520265099/d32849dex31.htm" TargetMode="External"/><Relationship Id="rId41"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2021-09-13T16:24:38Z</dcterms:created>
  <dcterms:modified xsi:type="dcterms:W3CDTF">2021-09-13T16:24:38Z</dcterms:modified>
</cp:coreProperties>
</file>