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514350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539115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Arial" w:cs="Arial" w:eastAsia="Arial" w:hAnsi="Arial"/>
          <w:sz w:val="24"/>
          <w:szCs w:val="24"/>
          <w:b w:val="1"/>
          <w:bCs w:val="1"/>
          <w:color w:val="auto"/>
        </w:rPr>
        <w:t>SECURITIES AND EXCHANGE COMMISSION</w:t>
      </w:r>
    </w:p>
    <w:p>
      <w:pPr>
        <w:jc w:val="center"/>
        <w:ind w:right="-39"/>
        <w:spacing w:after="0" w:line="219" w:lineRule="auto"/>
        <w:rPr>
          <w:sz w:val="20"/>
          <w:szCs w:val="20"/>
          <w:color w:val="auto"/>
        </w:rPr>
      </w:pPr>
      <w:r>
        <w:rPr>
          <w:rFonts w:ascii="Arial" w:cs="Arial" w:eastAsia="Arial" w:hAnsi="Arial"/>
          <w:sz w:val="14"/>
          <w:szCs w:val="14"/>
          <w:b w:val="1"/>
          <w:bCs w:val="1"/>
          <w:color w:val="auto"/>
        </w:rPr>
        <w:t>WASHINGTON, D.C. 20549</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10-Q</w:t>
      </w:r>
    </w:p>
    <w:p>
      <w:pPr>
        <w:spacing w:after="0" w:line="14"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9"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48"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quarterly period ended January 31, 2024</w:t>
      </w:r>
    </w:p>
    <w:p>
      <w:pPr>
        <w:spacing w:after="0" w:line="32"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273"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0" w:lineRule="exact"/>
        <w:rPr>
          <w:sz w:val="24"/>
          <w:szCs w:val="24"/>
          <w:color w:val="auto"/>
        </w:rPr>
      </w:pPr>
    </w:p>
    <w:p>
      <w:pPr>
        <w:ind w:left="37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3646170</wp:posOffset>
            </wp:positionH>
            <wp:positionV relativeFrom="paragraph">
              <wp:posOffset>-5715</wp:posOffset>
            </wp:positionV>
            <wp:extent cx="1099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001-39561</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MISSION PRODUCE,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5560"/>
        <w:spacing w:after="0"/>
        <w:rPr>
          <w:sz w:val="20"/>
          <w:szCs w:val="20"/>
          <w:color w:val="auto"/>
        </w:rPr>
      </w:pPr>
      <w:r>
        <w:rPr>
          <w:rFonts w:ascii="Arial" w:cs="Arial" w:eastAsia="Arial" w:hAnsi="Arial"/>
          <w:sz w:val="10"/>
          <w:szCs w:val="10"/>
          <w:u w:val="single" w:color="auto"/>
          <w:color w:val="auto"/>
        </w:rPr>
        <w:t>_____________</w:t>
      </w:r>
    </w:p>
    <w:p>
      <w:pPr>
        <w:sectPr>
          <w:pgSz w:w="11900" w:h="16838" w:orient="portrait"/>
          <w:cols w:equalWidth="0" w:num="1">
            <w:col w:w="11200"/>
          </w:cols>
          <w:pgMar w:left="320" w:top="981" w:right="379" w:bottom="1440" w:gutter="0" w:footer="0" w:header="0"/>
        </w:sectPr>
      </w:pPr>
    </w:p>
    <w:p>
      <w:pPr>
        <w:spacing w:after="0" w:line="227"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Incorporation or Organization)</w:t>
      </w:r>
    </w:p>
    <w:p>
      <w:pPr>
        <w:spacing w:after="0" w:line="15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2710 Camino Del Sol</w:t>
      </w:r>
    </w:p>
    <w:p>
      <w:pPr>
        <w:spacing w:after="0" w:line="2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Oxnard, California</w:t>
      </w:r>
    </w:p>
    <w:p>
      <w:pPr>
        <w:spacing w:after="0" w:line="1"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16" w:lineRule="exact"/>
        <w:rPr>
          <w:sz w:val="24"/>
          <w:szCs w:val="24"/>
          <w:color w:val="auto"/>
        </w:rPr>
      </w:pPr>
    </w:p>
    <w:p>
      <w:pPr>
        <w:jc w:val="center"/>
        <w:ind w:left="3380"/>
        <w:spacing w:after="0"/>
        <w:rPr>
          <w:sz w:val="20"/>
          <w:szCs w:val="20"/>
          <w:color w:val="auto"/>
        </w:rPr>
      </w:pPr>
      <w:r>
        <w:rPr>
          <w:rFonts w:ascii="Arial" w:cs="Arial" w:eastAsia="Arial" w:hAnsi="Arial"/>
          <w:sz w:val="13"/>
          <w:szCs w:val="13"/>
          <w:b w:val="1"/>
          <w:bCs w:val="1"/>
          <w:color w:val="auto"/>
        </w:rPr>
        <w:t>Registrant’s Telephone Number, Including Area Code: (805) 981-3650</w:t>
      </w:r>
    </w:p>
    <w:p>
      <w:pPr>
        <w:spacing w:after="0" w:line="12"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98"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95-3847744</w:t>
      </w:r>
    </w:p>
    <w:p>
      <w:pPr>
        <w:spacing w:after="0" w:line="3" w:lineRule="exact"/>
        <w:rPr>
          <w:sz w:val="24"/>
          <w:szCs w:val="24"/>
          <w:color w:val="auto"/>
        </w:rPr>
      </w:pPr>
    </w:p>
    <w:p>
      <w:pPr>
        <w:jc w:val="center"/>
        <w:ind w:right="2140"/>
        <w:spacing w:after="0"/>
        <w:rPr>
          <w:sz w:val="20"/>
          <w:szCs w:val="20"/>
          <w:color w:val="auto"/>
        </w:rPr>
      </w:pPr>
      <w:r>
        <w:rPr>
          <w:rFonts w:ascii="Arial" w:cs="Arial" w:eastAsia="Arial" w:hAnsi="Arial"/>
          <w:sz w:val="13"/>
          <w:szCs w:val="13"/>
          <w:b w:val="1"/>
          <w:bCs w:val="1"/>
          <w:color w:val="auto"/>
        </w:rPr>
        <w:t>(I.R.S. Employer</w:t>
      </w:r>
    </w:p>
    <w:p>
      <w:pPr>
        <w:spacing w:after="0" w:line="5" w:lineRule="exact"/>
        <w:rPr>
          <w:sz w:val="24"/>
          <w:szCs w:val="24"/>
          <w:color w:val="auto"/>
        </w:rPr>
      </w:pPr>
    </w:p>
    <w:p>
      <w:pPr>
        <w:jc w:val="center"/>
        <w:ind w:right="2140"/>
        <w:spacing w:after="0"/>
        <w:rPr>
          <w:sz w:val="20"/>
          <w:szCs w:val="20"/>
          <w:color w:val="auto"/>
        </w:rPr>
      </w:pPr>
      <w:r>
        <w:rPr>
          <w:rFonts w:ascii="Arial" w:cs="Arial" w:eastAsia="Arial" w:hAnsi="Arial"/>
          <w:sz w:val="13"/>
          <w:szCs w:val="13"/>
          <w:b w:val="1"/>
          <w:bCs w:val="1"/>
          <w:color w:val="auto"/>
        </w:rPr>
        <w:t>Identification No.)</w:t>
      </w:r>
    </w:p>
    <w:p>
      <w:pPr>
        <w:spacing w:after="0" w:line="151"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93030</w:t>
      </w:r>
    </w:p>
    <w:p>
      <w:pPr>
        <w:spacing w:after="0" w:line="15"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(Zip Code)</w:t>
      </w:r>
    </w:p>
    <w:p>
      <w:pPr>
        <w:spacing w:after="0" w:line="1105" w:lineRule="exact"/>
        <w:rPr>
          <w:sz w:val="24"/>
          <w:szCs w:val="24"/>
          <w:color w:val="auto"/>
        </w:rPr>
      </w:pPr>
    </w:p>
    <w:p>
      <w:pPr>
        <w:sectPr>
          <w:pgSz w:w="11900" w:h="16838" w:orient="portrait"/>
          <w:cols w:equalWidth="0" w:num="2">
            <w:col w:w="7860" w:space="100"/>
            <w:col w:w="3240"/>
          </w:cols>
          <w:pgMar w:left="320" w:top="981" w:right="379" w:bottom="1440" w:gutter="0" w:footer="0" w:header="0"/>
          <w:type w:val="continuous"/>
        </w:sectPr>
      </w:pPr>
    </w:p>
    <w:p>
      <w:pPr>
        <w:spacing w:after="0" w:line="116"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Trading Symbol(s)</w:t>
            </w:r>
          </w:p>
        </w:tc>
        <w:tc>
          <w:tcPr>
            <w:tcW w:w="120" w:type="dxa"/>
            <w:vAlign w:val="bottom"/>
          </w:tcPr>
          <w:p>
            <w:pPr>
              <w:spacing w:after="0"/>
              <w:rPr>
                <w:sz w:val="16"/>
                <w:szCs w:val="16"/>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85"/>
        </w:trPr>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Common Stock, par value $0.001 per share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AVO</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NASDAQ Global Select Market</w:t>
            </w:r>
          </w:p>
        </w:tc>
      </w:tr>
    </w:tbl>
    <w:p>
      <w:pPr>
        <w:spacing w:after="0" w:line="200" w:lineRule="exact"/>
        <w:rPr>
          <w:sz w:val="24"/>
          <w:szCs w:val="24"/>
          <w:color w:val="auto"/>
        </w:rPr>
      </w:pPr>
    </w:p>
    <w:p>
      <w:pPr>
        <w:spacing w:after="0" w:line="220" w:lineRule="exact"/>
        <w:rPr>
          <w:sz w:val="24"/>
          <w:szCs w:val="24"/>
          <w:color w:val="auto"/>
        </w:rPr>
      </w:pPr>
    </w:p>
    <w:p>
      <w:pPr>
        <w:ind w:right="120" w:firstLine="464"/>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ind w:firstLine="464"/>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460" w:firstLine="464"/>
        <w:spacing w:after="0" w:line="31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2" w:lineRule="exact"/>
        <w:rPr>
          <w:sz w:val="24"/>
          <w:szCs w:val="24"/>
          <w:color w:val="auto"/>
        </w:rPr>
      </w:pPr>
    </w:p>
    <w:tbl>
      <w:tblPr>
        <w:tblLayout w:type="fixed"/>
        <w:tblInd w:w="640" w:type="dxa"/>
        <w:tblCellMar>
          <w:top w:w="0" w:type="dxa"/>
          <w:left w:w="0" w:type="dxa"/>
          <w:bottom w:w="0" w:type="dxa"/>
          <w:right w:w="0" w:type="dxa"/>
        </w:tblCellMar>
      </w:tblP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395" w:lineRule="exact"/>
        <w:rPr>
          <w:sz w:val="24"/>
          <w:szCs w:val="24"/>
          <w:color w:val="auto"/>
        </w:rPr>
      </w:pPr>
    </w:p>
    <w:p>
      <w:pPr>
        <w:ind w:right="300" w:firstLine="464"/>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520"/>
        <w:spacing w:after="0" w:line="21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March 1, 2024, the registrant had 70,846,927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720725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389890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FIRST QUARTER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6"/>
              </w:rPr>
              <w:t>PART I- FINANCIAL INFORMATION</w:t>
            </w:r>
          </w:p>
        </w:tc>
        <w:tc>
          <w:tcPr>
            <w:tcW w:w="6180" w:type="dxa"/>
            <w:vAlign w:val="bottom"/>
            <w:gridSpan w:val="13"/>
          </w:tcPr>
          <w:p>
            <w:pPr>
              <w:spacing w:after="0"/>
              <w:rPr>
                <w:sz w:val="14"/>
                <w:szCs w:val="14"/>
                <w:color w:val="auto"/>
              </w:rPr>
            </w:pPr>
          </w:p>
        </w:tc>
        <w:tc>
          <w:tcPr>
            <w:tcW w:w="192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4"/>
                <w:szCs w:val="1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18"/>
          </w:tcPr>
          <w:p>
            <w:pPr>
              <w:spacing w:after="0"/>
              <w:rPr>
                <w:sz w:val="20"/>
                <w:szCs w:val="20"/>
                <w:color w:val="auto"/>
              </w:rPr>
            </w:pPr>
            <w:r>
              <w:rPr>
                <w:rFonts w:ascii="Arial" w:cs="Arial" w:eastAsia="Arial" w:hAnsi="Arial"/>
                <w:sz w:val="14"/>
                <w:szCs w:val="14"/>
                <w:color w:val="0000FF"/>
              </w:rPr>
              <w:t>Financial Statements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5</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Condensed Consolidated Balance Sheets (Unaudited)</w:t>
            </w:r>
          </w:p>
        </w:tc>
        <w:tc>
          <w:tcPr>
            <w:tcW w:w="3660" w:type="dxa"/>
            <w:vAlign w:val="bottom"/>
            <w:gridSpan w:val="7"/>
          </w:tcPr>
          <w:p>
            <w:pPr>
              <w:spacing w:after="0"/>
              <w:rPr>
                <w:sz w:val="17"/>
                <w:szCs w:val="17"/>
                <w:color w:val="auto"/>
              </w:rPr>
            </w:pPr>
          </w:p>
        </w:tc>
        <w:tc>
          <w:tcPr>
            <w:tcW w:w="192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Income (Loss) (Unaudited)</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6</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Comprehensive Income (Loss) (Unaudited)</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7</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Condensed Consolidated Statements of Changes in Equity (Unaudited)</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8</w:t>
            </w: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4"/>
                <w:szCs w:val="14"/>
                <w:color w:val="0000FF"/>
                <w:w w:val="98"/>
              </w:rPr>
              <w:t>Condensed Consolidated Statements of Cash Flows (Unaudited)</w:t>
            </w:r>
          </w:p>
        </w:tc>
        <w:tc>
          <w:tcPr>
            <w:tcW w:w="380" w:type="dxa"/>
            <w:vAlign w:val="bottom"/>
            <w:tcBorders>
              <w:top w:val="single" w:sz="8" w:color="0000FF"/>
            </w:tcBorders>
            <w:gridSpan w:val="2"/>
          </w:tcPr>
          <w:p>
            <w:pPr>
              <w:spacing w:after="0"/>
              <w:rPr>
                <w:sz w:val="17"/>
                <w:szCs w:val="17"/>
                <w:color w:val="auto"/>
              </w:rPr>
            </w:pPr>
          </w:p>
        </w:tc>
        <w:tc>
          <w:tcPr>
            <w:tcW w:w="2920" w:type="dxa"/>
            <w:vAlign w:val="bottom"/>
            <w:gridSpan w:val="3"/>
          </w:tcPr>
          <w:p>
            <w:pPr>
              <w:spacing w:after="0"/>
              <w:rPr>
                <w:sz w:val="17"/>
                <w:szCs w:val="17"/>
                <w:color w:val="auto"/>
              </w:rPr>
            </w:pPr>
          </w:p>
        </w:tc>
        <w:tc>
          <w:tcPr>
            <w:tcW w:w="192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10</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7260" w:type="dxa"/>
            <w:vAlign w:val="bottom"/>
            <w:gridSpan w:val="18"/>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18</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1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26</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18"/>
          </w:tcPr>
          <w:p>
            <w:pPr>
              <w:spacing w:after="0"/>
              <w:rPr>
                <w:sz w:val="20"/>
                <w:szCs w:val="20"/>
                <w:color w:val="auto"/>
              </w:rPr>
            </w:pPr>
            <w:r>
              <w:rPr>
                <w:rFonts w:ascii="Arial" w:cs="Arial" w:eastAsia="Arial" w:hAnsi="Arial"/>
                <w:sz w:val="14"/>
                <w:szCs w:val="14"/>
                <w:color w:val="0000FF"/>
              </w:rPr>
              <w:t>Controls and Procedures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26</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7"/>
        </w:trPr>
        <w:tc>
          <w:tcPr>
            <w:tcW w:w="720" w:type="dxa"/>
            <w:vAlign w:val="bottom"/>
          </w:tcPr>
          <w:p>
            <w:pPr>
              <w:spacing w:after="0"/>
              <w:rPr>
                <w:sz w:val="24"/>
                <w:szCs w:val="24"/>
                <w:color w:val="auto"/>
              </w:rPr>
            </w:pPr>
          </w:p>
        </w:tc>
        <w:tc>
          <w:tcPr>
            <w:tcW w:w="20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6"/>
              </w:rPr>
              <w:t>PART II- OTHER INFORMATION</w:t>
            </w:r>
          </w:p>
        </w:tc>
        <w:tc>
          <w:tcPr>
            <w:tcW w:w="6380" w:type="dxa"/>
            <w:vAlign w:val="bottom"/>
            <w:gridSpan w:val="14"/>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9"/>
              </w:rPr>
              <w:t>27</w:t>
            </w:r>
          </w:p>
        </w:tc>
        <w:tc>
          <w:tcPr>
            <w:tcW w:w="100" w:type="dxa"/>
            <w:vAlign w:val="bottom"/>
          </w:tcPr>
          <w:p>
            <w:pPr>
              <w:spacing w:after="0"/>
              <w:rPr>
                <w:sz w:val="24"/>
                <w:szCs w:val="2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18"/>
          </w:tcPr>
          <w:p>
            <w:pPr>
              <w:spacing w:after="0"/>
              <w:rPr>
                <w:sz w:val="20"/>
                <w:szCs w:val="20"/>
                <w:color w:val="auto"/>
              </w:rPr>
            </w:pPr>
            <w:r>
              <w:rPr>
                <w:rFonts w:ascii="Arial" w:cs="Arial" w:eastAsia="Arial" w:hAnsi="Arial"/>
                <w:sz w:val="14"/>
                <w:szCs w:val="14"/>
                <w:color w:val="0000FF"/>
              </w:rPr>
              <w:t>Legal Proceedings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27</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7260" w:type="dxa"/>
            <w:vAlign w:val="bottom"/>
            <w:gridSpan w:val="18"/>
          </w:tcPr>
          <w:p>
            <w:pPr>
              <w:spacing w:after="0"/>
              <w:rPr>
                <w:sz w:val="20"/>
                <w:szCs w:val="20"/>
                <w:color w:val="auto"/>
              </w:rPr>
            </w:pPr>
            <w:r>
              <w:rPr>
                <w:rFonts w:ascii="Arial" w:cs="Arial" w:eastAsia="Arial" w:hAnsi="Arial"/>
                <w:sz w:val="14"/>
                <w:szCs w:val="14"/>
                <w:color w:val="0000FF"/>
              </w:rPr>
              <w:t>Risk Factors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27</w:t>
            </w: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27</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18"/>
          </w:tcPr>
          <w:p>
            <w:pPr>
              <w:spacing w:after="0"/>
              <w:rPr>
                <w:sz w:val="20"/>
                <w:szCs w:val="20"/>
                <w:color w:val="auto"/>
              </w:rPr>
            </w:pPr>
            <w:r>
              <w:rPr>
                <w:rFonts w:ascii="Arial" w:cs="Arial" w:eastAsia="Arial" w:hAnsi="Arial"/>
                <w:sz w:val="14"/>
                <w:szCs w:val="14"/>
                <w:color w:val="0000FF"/>
              </w:rPr>
              <w:t>Defaults Upon Senior Securities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28</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18"/>
          </w:tcPr>
          <w:p>
            <w:pPr>
              <w:spacing w:after="0"/>
              <w:rPr>
                <w:sz w:val="20"/>
                <w:szCs w:val="20"/>
                <w:color w:val="auto"/>
              </w:rPr>
            </w:pPr>
            <w:r>
              <w:rPr>
                <w:rFonts w:ascii="Arial" w:cs="Arial" w:eastAsia="Arial" w:hAnsi="Arial"/>
                <w:sz w:val="14"/>
                <w:szCs w:val="14"/>
                <w:color w:val="0000FF"/>
              </w:rPr>
              <w:t>Mine Safety Disclosures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28</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5.</w:t>
            </w:r>
          </w:p>
        </w:tc>
        <w:tc>
          <w:tcPr>
            <w:tcW w:w="7260" w:type="dxa"/>
            <w:vAlign w:val="bottom"/>
            <w:gridSpan w:val="18"/>
          </w:tcPr>
          <w:p>
            <w:pPr>
              <w:spacing w:after="0"/>
              <w:rPr>
                <w:sz w:val="20"/>
                <w:szCs w:val="20"/>
                <w:color w:val="auto"/>
              </w:rPr>
            </w:pPr>
            <w:r>
              <w:rPr>
                <w:rFonts w:ascii="Arial" w:cs="Arial" w:eastAsia="Arial" w:hAnsi="Arial"/>
                <w:sz w:val="14"/>
                <w:szCs w:val="14"/>
                <w:color w:val="0000FF"/>
              </w:rPr>
              <w:t>Other Information</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28</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180" w:type="dxa"/>
            <w:vAlign w:val="bottom"/>
            <w:gridSpan w:val="1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7260" w:type="dxa"/>
            <w:vAlign w:val="bottom"/>
            <w:gridSpan w:val="18"/>
          </w:tcPr>
          <w:p>
            <w:pPr>
              <w:spacing w:after="0"/>
              <w:rPr>
                <w:sz w:val="20"/>
                <w:szCs w:val="20"/>
                <w:color w:val="auto"/>
              </w:rPr>
            </w:pPr>
            <w:r>
              <w:rPr>
                <w:rFonts w:ascii="Arial" w:cs="Arial" w:eastAsia="Arial" w:hAnsi="Arial"/>
                <w:sz w:val="14"/>
                <w:szCs w:val="14"/>
                <w:color w:val="0000FF"/>
              </w:rPr>
              <w:t>Exhibits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28</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1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Signatures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color w:val="0000FF"/>
              </w:rPr>
              <w:t>29</w:t>
            </w:r>
          </w:p>
        </w:tc>
      </w:tr>
      <w:tr>
        <w:trPr>
          <w:trHeight w:val="1468"/>
        </w:trPr>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FORWARD LOOKING STATEMENTS</w:t>
      </w:r>
    </w:p>
    <w:p>
      <w:pPr>
        <w:spacing w:after="0" w:line="228"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49" w:lineRule="exact"/>
        <w:rPr>
          <w:sz w:val="20"/>
          <w:szCs w:val="20"/>
          <w:color w:val="auto"/>
        </w:rPr>
      </w:pPr>
    </w:p>
    <w:p>
      <w:pPr>
        <w:ind w:left="620" w:right="20" w:hanging="307"/>
        <w:spacing w:after="0" w:line="24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business, including: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spacing w:after="0" w:line="152" w:lineRule="exact"/>
        <w:rPr>
          <w:rFonts w:ascii="Arial" w:cs="Arial" w:eastAsia="Arial" w:hAnsi="Arial"/>
          <w:sz w:val="14"/>
          <w:szCs w:val="14"/>
          <w:color w:val="auto"/>
        </w:rPr>
      </w:pPr>
    </w:p>
    <w:p>
      <w:pPr>
        <w:ind w:left="620" w:right="240" w:hanging="307"/>
        <w:spacing w:after="0" w:line="257"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43" w:lineRule="exact"/>
        <w:rPr>
          <w:rFonts w:ascii="Arial" w:cs="Arial" w:eastAsia="Arial" w:hAnsi="Arial"/>
          <w:sz w:val="14"/>
          <w:szCs w:val="14"/>
          <w:color w:val="auto"/>
        </w:rPr>
      </w:pPr>
    </w:p>
    <w:p>
      <w:pPr>
        <w:ind w:left="620" w:right="60" w:hanging="307"/>
        <w:spacing w:after="0" w:line="27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129" w:lineRule="exact"/>
        <w:rPr>
          <w:rFonts w:ascii="Arial" w:cs="Arial" w:eastAsia="Arial" w:hAnsi="Arial"/>
          <w:sz w:val="14"/>
          <w:szCs w:val="14"/>
          <w:color w:val="auto"/>
        </w:rPr>
      </w:pPr>
    </w:p>
    <w:p>
      <w:pPr>
        <w:ind w:left="620" w:hanging="307"/>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risks and factors listed under “Item 1A. Risk Factors” in our most recent Annual Report on Form 10-K for the year ended October 31, 2023 and elsewhere in this report.</w:t>
      </w:r>
    </w:p>
    <w:p>
      <w:pPr>
        <w:spacing w:after="0" w:line="211" w:lineRule="exact"/>
        <w:rPr>
          <w:sz w:val="20"/>
          <w:szCs w:val="20"/>
          <w:color w:val="auto"/>
        </w:rPr>
      </w:pPr>
    </w:p>
    <w:p>
      <w:pPr>
        <w:ind w:right="100" w:firstLine="619"/>
        <w:spacing w:after="0" w:line="251" w:lineRule="auto"/>
        <w:rPr>
          <w:sz w:val="20"/>
          <w:szCs w:val="20"/>
          <w:color w:val="auto"/>
        </w:rPr>
      </w:pPr>
      <w:r>
        <w:rPr>
          <w:rFonts w:ascii="Arial" w:cs="Arial" w:eastAsia="Arial" w:hAnsi="Arial"/>
          <w:sz w:val="14"/>
          <w:szCs w:val="14"/>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2023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firstLine="619"/>
        <w:spacing w:after="0" w:line="25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5" w:lineRule="exact"/>
        <w:rPr>
          <w:sz w:val="20"/>
          <w:szCs w:val="20"/>
          <w:color w:val="auto"/>
        </w:rPr>
      </w:pPr>
    </w:p>
    <w:p>
      <w:pPr>
        <w:ind w:right="400" w:firstLine="619"/>
        <w:spacing w:after="0" w:line="264" w:lineRule="auto"/>
        <w:rPr>
          <w:sz w:val="20"/>
          <w:szCs w:val="20"/>
          <w:color w:val="auto"/>
        </w:rPr>
      </w:pPr>
      <w:r>
        <w:rPr>
          <w:rFonts w:ascii="Arial" w:cs="Arial" w:eastAsia="Arial" w:hAnsi="Arial"/>
          <w:sz w:val="14"/>
          <w:szCs w:val="14"/>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78" w:lineRule="exact"/>
        <w:rPr>
          <w:sz w:val="20"/>
          <w:szCs w:val="20"/>
          <w:color w:val="auto"/>
        </w:rPr>
      </w:pPr>
    </w:p>
    <w:p>
      <w:pPr>
        <w:ind w:right="520" w:firstLine="619"/>
        <w:spacing w:after="0" w:line="259"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8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4"/>
          <w:szCs w:val="14"/>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spacing w:after="0" w:line="278" w:lineRule="auto"/>
        <w:rPr>
          <w:sz w:val="20"/>
          <w:szCs w:val="20"/>
          <w:color w:val="auto"/>
        </w:rPr>
      </w:pPr>
      <w:r>
        <w:rPr>
          <w:rFonts w:ascii="Arial" w:cs="Arial" w:eastAsia="Arial" w:hAnsi="Arial"/>
          <w:sz w:val="14"/>
          <w:szCs w:val="14"/>
          <w:color w:val="auto"/>
        </w:rPr>
        <w:t>intended to indicate, in any way, that we will not assert, to the fullest extent under applicable law, our rights, or that the applicable owner will not assert its rights, to these trademarks and tradenames.</w:t>
      </w:r>
    </w:p>
    <w:p>
      <w:pPr>
        <w:spacing w:after="0" w:line="168" w:lineRule="exact"/>
        <w:rPr>
          <w:sz w:val="20"/>
          <w:szCs w:val="20"/>
          <w:color w:val="auto"/>
        </w:rPr>
      </w:pPr>
    </w:p>
    <w:p>
      <w:pPr>
        <w:ind w:right="40" w:firstLine="619"/>
        <w:spacing w:after="0" w:line="254" w:lineRule="auto"/>
        <w:rPr>
          <w:sz w:val="20"/>
          <w:szCs w:val="20"/>
          <w:color w:val="auto"/>
        </w:rPr>
      </w:pPr>
      <w:r>
        <w:rPr>
          <w:rFonts w:ascii="Arial" w:cs="Arial" w:eastAsia="Arial" w:hAnsi="Arial"/>
          <w:sz w:val="14"/>
          <w:szCs w:val="14"/>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5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9"/>
        </w:trPr>
        <w:tc>
          <w:tcPr>
            <w:tcW w:w="7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420" w:type="dxa"/>
            <w:vAlign w:val="bottom"/>
          </w:tcPr>
          <w:p>
            <w:pPr>
              <w:jc w:val="center"/>
              <w:ind w:right="32"/>
              <w:spacing w:after="0"/>
              <w:rPr>
                <w:sz w:val="20"/>
                <w:szCs w:val="20"/>
                <w:color w:val="auto"/>
              </w:rPr>
            </w:pPr>
            <w:r>
              <w:rPr>
                <w:rFonts w:ascii="Arial" w:cs="Arial" w:eastAsia="Arial" w:hAnsi="Arial"/>
                <w:sz w:val="19"/>
                <w:szCs w:val="19"/>
                <w:b w:val="1"/>
                <w:bCs w:val="1"/>
                <w:color w:val="auto"/>
                <w:w w:val="98"/>
              </w:rPr>
              <w:t>PART I- FINANCIAL INFORMATION</w:t>
            </w: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38"/>
        </w:trPr>
        <w:tc>
          <w:tcPr>
            <w:tcW w:w="780" w:type="dxa"/>
            <w:vAlign w:val="bottom"/>
          </w:tcPr>
          <w:p>
            <w:pPr>
              <w:spacing w:after="0"/>
              <w:rPr>
                <w:sz w:val="20"/>
                <w:szCs w:val="20"/>
                <w:color w:val="auto"/>
              </w:rPr>
            </w:pPr>
            <w:r>
              <w:rPr>
                <w:rFonts w:ascii="Arial" w:cs="Arial" w:eastAsia="Arial" w:hAnsi="Arial"/>
                <w:sz w:val="19"/>
                <w:szCs w:val="19"/>
                <w:b w:val="1"/>
                <w:bCs w:val="1"/>
                <w:color w:val="auto"/>
              </w:rPr>
              <w:t>Item 1.</w:t>
            </w:r>
          </w:p>
        </w:tc>
        <w:tc>
          <w:tcPr>
            <w:tcW w:w="2180" w:type="dxa"/>
            <w:vAlign w:val="bottom"/>
          </w:tcPr>
          <w:p>
            <w:pPr>
              <w:ind w:left="40"/>
              <w:spacing w:after="0"/>
              <w:rPr>
                <w:sz w:val="20"/>
                <w:szCs w:val="20"/>
                <w:color w:val="auto"/>
              </w:rPr>
            </w:pPr>
            <w:r>
              <w:rPr>
                <w:rFonts w:ascii="Arial" w:cs="Arial" w:eastAsia="Arial" w:hAnsi="Arial"/>
                <w:sz w:val="19"/>
                <w:szCs w:val="19"/>
                <w:b w:val="1"/>
                <w:bCs w:val="1"/>
                <w:color w:val="auto"/>
              </w:rPr>
              <w:t>Financial Statements</w:t>
            </w:r>
          </w:p>
        </w:tc>
        <w:tc>
          <w:tcPr>
            <w:tcW w:w="5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420" w:type="dxa"/>
            <w:vAlign w:val="bottom"/>
          </w:tcPr>
          <w:p>
            <w:pPr>
              <w:jc w:val="center"/>
              <w:ind w:right="32"/>
              <w:spacing w:after="0"/>
              <w:rPr>
                <w:sz w:val="20"/>
                <w:szCs w:val="20"/>
                <w:color w:val="auto"/>
              </w:rPr>
            </w:pPr>
            <w:r>
              <w:rPr>
                <w:rFonts w:ascii="Arial" w:cs="Arial" w:eastAsia="Arial" w:hAnsi="Arial"/>
                <w:sz w:val="17"/>
                <w:szCs w:val="17"/>
                <w:b w:val="1"/>
                <w:bCs w:val="1"/>
                <w:color w:val="auto"/>
              </w:rPr>
              <w:t>MISSION PRODUCE, INC.</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7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420" w:type="dxa"/>
            <w:vAlign w:val="bottom"/>
          </w:tcPr>
          <w:p>
            <w:pPr>
              <w:jc w:val="center"/>
              <w:ind w:right="12"/>
              <w:spacing w:after="0"/>
              <w:rPr>
                <w:sz w:val="20"/>
                <w:szCs w:val="20"/>
                <w:color w:val="auto"/>
              </w:rPr>
            </w:pPr>
            <w:r>
              <w:rPr>
                <w:rFonts w:ascii="Arial" w:cs="Arial" w:eastAsia="Arial" w:hAnsi="Arial"/>
                <w:sz w:val="17"/>
                <w:szCs w:val="17"/>
                <w:b w:val="1"/>
                <w:bCs w:val="1"/>
                <w:color w:val="auto"/>
              </w:rPr>
              <w:t>CONDENSED CONSOLIDATED BALANCE SHEETS (UNAUDITED)</w:t>
            </w: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9"/>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(In millions, except for shares)</w:t>
            </w:r>
          </w:p>
        </w:tc>
        <w:tc>
          <w:tcPr>
            <w:tcW w:w="542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0"/>
                <w:szCs w:val="10"/>
                <w:b w:val="1"/>
                <w:bCs w:val="1"/>
                <w:color w:val="auto"/>
              </w:rPr>
              <w:t>January 31, 2024</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October 31, 2023</w:t>
            </w:r>
          </w:p>
        </w:tc>
      </w:tr>
      <w:tr>
        <w:trPr>
          <w:trHeight w:val="26"/>
        </w:trPr>
        <w:tc>
          <w:tcPr>
            <w:tcW w:w="7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3"/>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b w:val="1"/>
                <w:bCs w:val="1"/>
                <w:color w:val="auto"/>
              </w:rPr>
              <w:t>Assets</w:t>
            </w:r>
          </w:p>
        </w:tc>
        <w:tc>
          <w:tcPr>
            <w:tcW w:w="2180" w:type="dxa"/>
            <w:vAlign w:val="bottom"/>
            <w:tcBorders>
              <w:bottom w:val="single" w:sz="8" w:color="DBDBDB"/>
            </w:tcBorders>
            <w:shd w:val="clear" w:color="auto" w:fill="DBDBDB"/>
          </w:tcPr>
          <w:p>
            <w:pPr>
              <w:spacing w:after="0"/>
              <w:rPr>
                <w:sz w:val="13"/>
                <w:szCs w:val="13"/>
                <w:color w:val="auto"/>
              </w:rPr>
            </w:pP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780" w:type="dxa"/>
            <w:vAlign w:val="bottom"/>
          </w:tcPr>
          <w:p>
            <w:pPr>
              <w:ind w:left="20"/>
              <w:spacing w:after="0"/>
              <w:rPr>
                <w:sz w:val="20"/>
                <w:szCs w:val="20"/>
                <w:color w:val="auto"/>
              </w:rPr>
            </w:pPr>
            <w:r>
              <w:rPr>
                <w:rFonts w:ascii="Arial" w:cs="Arial" w:eastAsia="Arial" w:hAnsi="Arial"/>
                <w:sz w:val="10"/>
                <w:szCs w:val="10"/>
                <w:color w:val="auto"/>
              </w:rPr>
              <w:t>Current Assets:</w:t>
            </w:r>
          </w:p>
        </w:tc>
        <w:tc>
          <w:tcPr>
            <w:tcW w:w="21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Cash and cash equivalents</w:t>
            </w:r>
          </w:p>
        </w:tc>
        <w:tc>
          <w:tcPr>
            <w:tcW w:w="5420" w:type="dxa"/>
            <w:vAlign w:val="bottom"/>
            <w:tcBorders>
              <w:bottom w:val="single" w:sz="8" w:color="DBDBDB"/>
            </w:tcBorders>
            <w:shd w:val="clear" w:color="auto" w:fill="DBDBDB"/>
          </w:tcPr>
          <w:p>
            <w:pPr>
              <w:jc w:val="right"/>
              <w:ind w:right="57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39.9</w:t>
            </w:r>
          </w:p>
        </w:tc>
        <w:tc>
          <w:tcPr>
            <w:tcW w:w="56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42.9</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Restricted cash</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0.6</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0.3</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Accounts receivable</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2960" w:type="dxa"/>
            <w:vAlign w:val="bottom"/>
            <w:gridSpan w:val="2"/>
          </w:tcPr>
          <w:p>
            <w:pPr>
              <w:ind w:left="440"/>
              <w:spacing w:after="0"/>
              <w:rPr>
                <w:sz w:val="20"/>
                <w:szCs w:val="20"/>
                <w:color w:val="auto"/>
              </w:rPr>
            </w:pPr>
            <w:r>
              <w:rPr>
                <w:rFonts w:ascii="Arial" w:cs="Arial" w:eastAsia="Arial" w:hAnsi="Arial"/>
                <w:sz w:val="10"/>
                <w:szCs w:val="10"/>
                <w:color w:val="auto"/>
              </w:rPr>
              <w:t>Trade, net of allowances of $0.8 and $0.9, respectively</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85.3</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74.1</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0"/>
                <w:szCs w:val="10"/>
                <w:color w:val="auto"/>
              </w:rPr>
              <w:t>Grower and fruit advances</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1.4</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0.9</w:t>
            </w:r>
          </w:p>
        </w:tc>
      </w:tr>
      <w:tr>
        <w:trPr>
          <w:trHeight w:val="148"/>
        </w:trPr>
        <w:tc>
          <w:tcPr>
            <w:tcW w:w="780" w:type="dxa"/>
            <w:vAlign w:val="bottom"/>
          </w:tcPr>
          <w:p>
            <w:pPr>
              <w:ind w:left="440"/>
              <w:spacing w:after="0"/>
              <w:rPr>
                <w:sz w:val="20"/>
                <w:szCs w:val="20"/>
                <w:color w:val="auto"/>
              </w:rPr>
            </w:pPr>
            <w:r>
              <w:rPr>
                <w:rFonts w:ascii="Arial" w:cs="Arial" w:eastAsia="Arial" w:hAnsi="Arial"/>
                <w:sz w:val="10"/>
                <w:szCs w:val="10"/>
                <w:color w:val="auto"/>
              </w:rPr>
              <w:t>Other</w:t>
            </w:r>
          </w:p>
        </w:tc>
        <w:tc>
          <w:tcPr>
            <w:tcW w:w="21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13.1</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12.4</w:t>
            </w:r>
          </w:p>
        </w:tc>
      </w:tr>
      <w:tr>
        <w:trPr>
          <w:trHeight w:val="32"/>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0"/>
                <w:szCs w:val="10"/>
                <w:color w:val="auto"/>
              </w:rPr>
              <w:t>Inventory</w:t>
            </w:r>
          </w:p>
        </w:tc>
        <w:tc>
          <w:tcPr>
            <w:tcW w:w="2180" w:type="dxa"/>
            <w:vAlign w:val="bottom"/>
            <w:tcBorders>
              <w:bottom w:val="single" w:sz="8" w:color="DBDBDB"/>
            </w:tcBorders>
            <w:shd w:val="clear" w:color="auto" w:fill="DBDBDB"/>
          </w:tcPr>
          <w:p>
            <w:pPr>
              <w:spacing w:after="0"/>
              <w:rPr>
                <w:sz w:val="13"/>
                <w:szCs w:val="13"/>
                <w:color w:val="auto"/>
              </w:rPr>
            </w:pP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85.9</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70.8</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Prepaid expenses and other current assets</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9.1</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9.1</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Income taxes receivable</w:t>
            </w:r>
          </w:p>
        </w:tc>
        <w:tc>
          <w:tcPr>
            <w:tcW w:w="542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9.2</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9.6</w:t>
            </w:r>
          </w:p>
        </w:tc>
      </w:tr>
      <w:tr>
        <w:trPr>
          <w:trHeight w:val="141"/>
        </w:trPr>
        <w:tc>
          <w:tcPr>
            <w:tcW w:w="296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Total current assets</w:t>
            </w:r>
          </w:p>
        </w:tc>
        <w:tc>
          <w:tcPr>
            <w:tcW w:w="5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244.5</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220.1</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Property, plant and equipment, net</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525.2</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523.2</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Operating lease right-of-use assets</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71.4</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72.4</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Equity method investees</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28.6</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31.0</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Deferred income tax assets, net</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8.7</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32"/>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Goodwill</w:t>
            </w:r>
          </w:p>
        </w:tc>
        <w:tc>
          <w:tcPr>
            <w:tcW w:w="2180" w:type="dxa"/>
            <w:vAlign w:val="bottom"/>
            <w:tcBorders>
              <w:bottom w:val="single" w:sz="8" w:color="DBDBDB"/>
            </w:tcBorders>
            <w:shd w:val="clear" w:color="auto" w:fill="DBDBDB"/>
          </w:tcPr>
          <w:p>
            <w:pPr>
              <w:spacing w:after="0"/>
              <w:rPr>
                <w:sz w:val="13"/>
                <w:szCs w:val="13"/>
                <w:color w:val="auto"/>
              </w:rPr>
            </w:pP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39.4</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39.4</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Intangible asset, net</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0.2</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32"/>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Other assets</w:t>
            </w:r>
          </w:p>
        </w:tc>
        <w:tc>
          <w:tcPr>
            <w:tcW w:w="2180" w:type="dxa"/>
            <w:vAlign w:val="bottom"/>
            <w:tcBorders>
              <w:bottom w:val="single" w:sz="8" w:color="DBDBDB"/>
            </w:tcBorders>
            <w:shd w:val="clear" w:color="auto" w:fill="DBDBDB"/>
          </w:tcPr>
          <w:p>
            <w:pPr>
              <w:spacing w:after="0"/>
              <w:rPr>
                <w:sz w:val="15"/>
                <w:szCs w:val="15"/>
                <w:color w:val="auto"/>
              </w:rPr>
            </w:pPr>
          </w:p>
        </w:tc>
        <w:tc>
          <w:tcPr>
            <w:tcW w:w="542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19.5</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19.7</w:t>
            </w:r>
          </w:p>
        </w:tc>
      </w:tr>
      <w:tr>
        <w:trPr>
          <w:trHeight w:val="141"/>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Total assets</w:t>
            </w:r>
          </w:p>
        </w:tc>
        <w:tc>
          <w:tcPr>
            <w:tcW w:w="2180" w:type="dxa"/>
            <w:vAlign w:val="bottom"/>
            <w:tcBorders>
              <w:top w:val="single" w:sz="8" w:color="auto"/>
            </w:tcBorders>
          </w:tcPr>
          <w:p>
            <w:pPr>
              <w:spacing w:after="0"/>
              <w:rPr>
                <w:sz w:val="12"/>
                <w:szCs w:val="12"/>
                <w:color w:val="auto"/>
              </w:rPr>
            </w:pPr>
          </w:p>
        </w:tc>
        <w:tc>
          <w:tcPr>
            <w:tcW w:w="5420" w:type="dxa"/>
            <w:vAlign w:val="bottom"/>
            <w:tcBorders>
              <w:top w:val="single" w:sz="8" w:color="auto"/>
            </w:tcBorders>
          </w:tcPr>
          <w:p>
            <w:pPr>
              <w:jc w:val="right"/>
              <w:ind w:right="572"/>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937.5</w:t>
            </w:r>
          </w:p>
        </w:tc>
        <w:tc>
          <w:tcPr>
            <w:tcW w:w="560" w:type="dxa"/>
            <w:vAlign w:val="bottom"/>
            <w:tcBorders>
              <w:top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914.8</w:t>
            </w:r>
          </w:p>
        </w:tc>
      </w:tr>
      <w:tr>
        <w:trPr>
          <w:trHeight w:val="32"/>
        </w:trPr>
        <w:tc>
          <w:tcPr>
            <w:tcW w:w="2960" w:type="dxa"/>
            <w:vAlign w:val="bottom"/>
            <w:tcBorders>
              <w:bottom w:val="single" w:sz="8" w:color="auto"/>
            </w:tcBorders>
            <w:gridSpan w:val="2"/>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3"/>
        </w:trPr>
        <w:tc>
          <w:tcPr>
            <w:tcW w:w="780" w:type="dxa"/>
            <w:vAlign w:val="bottom"/>
            <w:shd w:val="clear" w:color="auto" w:fill="DBDBDB"/>
          </w:tcPr>
          <w:p>
            <w:pPr>
              <w:spacing w:after="0"/>
              <w:rPr>
                <w:sz w:val="15"/>
                <w:szCs w:val="15"/>
                <w:color w:val="auto"/>
              </w:rPr>
            </w:pPr>
          </w:p>
        </w:tc>
        <w:tc>
          <w:tcPr>
            <w:tcW w:w="2180" w:type="dxa"/>
            <w:vAlign w:val="bottom"/>
            <w:shd w:val="clear" w:color="auto" w:fill="DBDBDB"/>
          </w:tcPr>
          <w:p>
            <w:pPr>
              <w:spacing w:after="0"/>
              <w:rPr>
                <w:sz w:val="15"/>
                <w:szCs w:val="15"/>
                <w:color w:val="auto"/>
              </w:rPr>
            </w:pPr>
          </w:p>
        </w:tc>
        <w:tc>
          <w:tcPr>
            <w:tcW w:w="54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r>
      <w:tr>
        <w:trPr>
          <w:trHeight w:val="154"/>
        </w:trPr>
        <w:tc>
          <w:tcPr>
            <w:tcW w:w="2960" w:type="dxa"/>
            <w:vAlign w:val="bottom"/>
            <w:gridSpan w:val="2"/>
          </w:tcPr>
          <w:p>
            <w:pPr>
              <w:ind w:left="20"/>
              <w:spacing w:after="0"/>
              <w:rPr>
                <w:sz w:val="20"/>
                <w:szCs w:val="20"/>
                <w:color w:val="auto"/>
              </w:rPr>
            </w:pPr>
            <w:r>
              <w:rPr>
                <w:rFonts w:ascii="Arial" w:cs="Arial" w:eastAsia="Arial" w:hAnsi="Arial"/>
                <w:sz w:val="10"/>
                <w:szCs w:val="10"/>
                <w:b w:val="1"/>
                <w:bCs w:val="1"/>
                <w:color w:val="auto"/>
              </w:rPr>
              <w:t>Liabilities and Equity</w:t>
            </w:r>
          </w:p>
        </w:tc>
        <w:tc>
          <w:tcPr>
            <w:tcW w:w="5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6"/>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Liabilities</w:t>
            </w:r>
          </w:p>
        </w:tc>
        <w:tc>
          <w:tcPr>
            <w:tcW w:w="2180" w:type="dxa"/>
            <w:vAlign w:val="bottom"/>
            <w:tcBorders>
              <w:bottom w:val="single" w:sz="8" w:color="DBDBDB"/>
            </w:tcBorders>
            <w:shd w:val="clear" w:color="auto" w:fill="DBDBDB"/>
          </w:tcPr>
          <w:p>
            <w:pPr>
              <w:spacing w:after="0"/>
              <w:rPr>
                <w:sz w:val="13"/>
                <w:szCs w:val="13"/>
                <w:color w:val="auto"/>
              </w:rPr>
            </w:pP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Accounts payable</w:t>
            </w:r>
          </w:p>
        </w:tc>
        <w:tc>
          <w:tcPr>
            <w:tcW w:w="5420" w:type="dxa"/>
            <w:vAlign w:val="bottom"/>
          </w:tcPr>
          <w:p>
            <w:pPr>
              <w:jc w:val="right"/>
              <w:ind w:right="57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26.7</w:t>
            </w:r>
          </w:p>
        </w:tc>
        <w:tc>
          <w:tcPr>
            <w:tcW w:w="56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27.2</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Accrued expenses</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29.1</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26.4</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Income taxes payable</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2.8</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1.6</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Grower payables</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36.9</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26.4</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Short-term borrowings</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2.8</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Notes payable</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0.5</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Loans from noncontrolling interest holders—current portion</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0.2</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Long-term debt—current portion</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3.3</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3.4</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Operating leases—current portion</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7.0</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6.6</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Finance leases—current portion</w:t>
            </w:r>
          </w:p>
        </w:tc>
        <w:tc>
          <w:tcPr>
            <w:tcW w:w="542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1.4</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w:t>
            </w:r>
          </w:p>
        </w:tc>
      </w:tr>
      <w:tr>
        <w:trPr>
          <w:trHeight w:val="141"/>
        </w:trPr>
        <w:tc>
          <w:tcPr>
            <w:tcW w:w="296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Total current liabilities</w:t>
            </w:r>
          </w:p>
        </w:tc>
        <w:tc>
          <w:tcPr>
            <w:tcW w:w="5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107.9</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97.5</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Long-term debt, net of current portion</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152.8</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148.6</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Loans from noncontrolling interest holders, net of current portion</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1.8</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Operating leases, net of current portion</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70.3</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71.0</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Finance leases, net of current portion</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20.1</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14.7</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Income taxes payable</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2.3</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Deferred income tax liabilities, net</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22.8</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23.5</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Other long-term liabilities</w:t>
            </w:r>
          </w:p>
        </w:tc>
        <w:tc>
          <w:tcPr>
            <w:tcW w:w="542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27.7</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26.4</w:t>
            </w:r>
          </w:p>
        </w:tc>
      </w:tr>
      <w:tr>
        <w:trPr>
          <w:trHeight w:val="141"/>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Total liabilities</w:t>
            </w:r>
          </w:p>
        </w:tc>
        <w:tc>
          <w:tcPr>
            <w:tcW w:w="2180" w:type="dxa"/>
            <w:vAlign w:val="bottom"/>
            <w:tcBorders>
              <w:top w:val="single" w:sz="8" w:color="auto"/>
            </w:tcBorders>
          </w:tcPr>
          <w:p>
            <w:pPr>
              <w:spacing w:after="0"/>
              <w:rPr>
                <w:sz w:val="12"/>
                <w:szCs w:val="12"/>
                <w:color w:val="auto"/>
              </w:rPr>
            </w:pPr>
          </w:p>
        </w:tc>
        <w:tc>
          <w:tcPr>
            <w:tcW w:w="5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405.7</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386.5</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Commitments and contingencies (Note 7)</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Shareholders’ Equity</w:t>
            </w:r>
          </w:p>
        </w:tc>
        <w:tc>
          <w:tcPr>
            <w:tcW w:w="5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2"/>
        </w:trPr>
        <w:tc>
          <w:tcPr>
            <w:tcW w:w="838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42"/>
        </w:trPr>
        <w:tc>
          <w:tcPr>
            <w:tcW w:w="8380" w:type="dxa"/>
            <w:vAlign w:val="bottom"/>
            <w:gridSpan w:val="3"/>
            <w:shd w:val="clear" w:color="auto" w:fill="DBDBDB"/>
          </w:tcPr>
          <w:p>
            <w:pPr>
              <w:ind w:left="220"/>
              <w:spacing w:after="0"/>
              <w:rPr>
                <w:sz w:val="20"/>
                <w:szCs w:val="20"/>
                <w:color w:val="auto"/>
              </w:rPr>
            </w:pPr>
            <w:r>
              <w:rPr>
                <w:rFonts w:ascii="Arial" w:cs="Arial" w:eastAsia="Arial" w:hAnsi="Arial"/>
                <w:sz w:val="10"/>
                <w:szCs w:val="10"/>
                <w:color w:val="auto"/>
              </w:rPr>
              <w:t>Common stock ($0.001 par value, 1,000,000,000 shares authorized; 70,841,303 and 70,728,404 shares issued and outstanding as of January 31, 2024 and</w:t>
            </w:r>
          </w:p>
        </w:tc>
        <w:tc>
          <w:tcPr>
            <w:tcW w:w="1080" w:type="dxa"/>
            <w:vAlign w:val="bottom"/>
            <w:shd w:val="clear" w:color="auto" w:fill="DBDBDB"/>
          </w:tcPr>
          <w:p>
            <w:pPr>
              <w:jc w:val="right"/>
              <w:ind w:right="148"/>
              <w:spacing w:after="0"/>
              <w:rPr>
                <w:sz w:val="20"/>
                <w:szCs w:val="20"/>
                <w:color w:val="auto"/>
              </w:rPr>
            </w:pPr>
            <w:r>
              <w:rPr>
                <w:rFonts w:ascii="Arial" w:cs="Arial" w:eastAsia="Arial" w:hAnsi="Arial"/>
                <w:sz w:val="10"/>
                <w:szCs w:val="10"/>
                <w:color w:val="auto"/>
              </w:rPr>
              <w:t>0.1</w:t>
            </w:r>
          </w:p>
        </w:tc>
        <w:tc>
          <w:tcPr>
            <w:tcW w:w="56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0.1</w:t>
            </w:r>
          </w:p>
        </w:tc>
      </w:tr>
      <w:tr>
        <w:trPr>
          <w:trHeight w:val="155"/>
        </w:trPr>
        <w:tc>
          <w:tcPr>
            <w:tcW w:w="2960" w:type="dxa"/>
            <w:vAlign w:val="bottom"/>
            <w:gridSpan w:val="2"/>
            <w:shd w:val="clear" w:color="auto" w:fill="DBDBDB"/>
          </w:tcPr>
          <w:p>
            <w:pPr>
              <w:ind w:left="380"/>
              <w:spacing w:after="0"/>
              <w:rPr>
                <w:sz w:val="20"/>
                <w:szCs w:val="20"/>
                <w:color w:val="auto"/>
              </w:rPr>
            </w:pPr>
            <w:r>
              <w:rPr>
                <w:rFonts w:ascii="Arial" w:cs="Arial" w:eastAsia="Arial" w:hAnsi="Arial"/>
                <w:sz w:val="10"/>
                <w:szCs w:val="10"/>
                <w:color w:val="auto"/>
              </w:rPr>
              <w:t>October 31, 2023, respectively)</w:t>
            </w:r>
          </w:p>
        </w:tc>
        <w:tc>
          <w:tcPr>
            <w:tcW w:w="542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Additional paid-in capital</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234.1</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233.4</w:t>
            </w:r>
          </w:p>
        </w:tc>
      </w:tr>
      <w:tr>
        <w:trPr>
          <w:trHeight w:val="32"/>
        </w:trPr>
        <w:tc>
          <w:tcPr>
            <w:tcW w:w="296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Accumulated other comprehensive loss</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(0.1)</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(0.9)</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Retained earnings</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271.0</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271.0</w:t>
            </w:r>
          </w:p>
        </w:tc>
      </w:tr>
      <w:tr>
        <w:trPr>
          <w:trHeight w:val="32"/>
        </w:trPr>
        <w:tc>
          <w:tcPr>
            <w:tcW w:w="2960" w:type="dxa"/>
            <w:vAlign w:val="bottom"/>
            <w:tcBorders>
              <w:bottom w:val="single" w:sz="8" w:color="auto"/>
            </w:tcBorders>
            <w:gridSpan w:val="2"/>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3"/>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Mission Produce shareholders' equity</w:t>
            </w:r>
          </w:p>
        </w:tc>
        <w:tc>
          <w:tcPr>
            <w:tcW w:w="54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505.1</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503.6</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Noncontrolling interest</w:t>
            </w:r>
          </w:p>
        </w:tc>
        <w:tc>
          <w:tcPr>
            <w:tcW w:w="542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0"/>
                <w:szCs w:val="10"/>
                <w:color w:val="auto"/>
              </w:rPr>
              <w:t>26.7</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24.7</w:t>
            </w:r>
          </w:p>
        </w:tc>
      </w:tr>
      <w:tr>
        <w:trPr>
          <w:trHeight w:val="32"/>
        </w:trPr>
        <w:tc>
          <w:tcPr>
            <w:tcW w:w="7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8"/>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equity</w:t>
            </w:r>
          </w:p>
        </w:tc>
        <w:tc>
          <w:tcPr>
            <w:tcW w:w="2180" w:type="dxa"/>
            <w:vAlign w:val="bottom"/>
            <w:tcBorders>
              <w:bottom w:val="single" w:sz="8" w:color="DBDBDB"/>
            </w:tcBorders>
            <w:shd w:val="clear" w:color="auto" w:fill="DBDBDB"/>
          </w:tcPr>
          <w:p>
            <w:pPr>
              <w:spacing w:after="0"/>
              <w:rPr>
                <w:sz w:val="15"/>
                <w:szCs w:val="15"/>
                <w:color w:val="auto"/>
              </w:rPr>
            </w:pPr>
          </w:p>
        </w:tc>
        <w:tc>
          <w:tcPr>
            <w:tcW w:w="542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531.8</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528.3</w:t>
            </w:r>
          </w:p>
        </w:tc>
      </w:tr>
      <w:tr>
        <w:trPr>
          <w:trHeight w:val="141"/>
        </w:trPr>
        <w:tc>
          <w:tcPr>
            <w:tcW w:w="296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Total liabilities and equity</w:t>
            </w:r>
          </w:p>
        </w:tc>
        <w:tc>
          <w:tcPr>
            <w:tcW w:w="5420" w:type="dxa"/>
            <w:vAlign w:val="bottom"/>
            <w:tcBorders>
              <w:top w:val="single" w:sz="8" w:color="auto"/>
            </w:tcBorders>
          </w:tcPr>
          <w:p>
            <w:pPr>
              <w:jc w:val="right"/>
              <w:ind w:right="572"/>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937.5</w:t>
            </w:r>
          </w:p>
        </w:tc>
        <w:tc>
          <w:tcPr>
            <w:tcW w:w="560" w:type="dxa"/>
            <w:vAlign w:val="bottom"/>
            <w:tcBorders>
              <w:top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914.8</w:t>
            </w:r>
          </w:p>
        </w:tc>
      </w:tr>
      <w:tr>
        <w:trPr>
          <w:trHeight w:val="32"/>
        </w:trPr>
        <w:tc>
          <w:tcPr>
            <w:tcW w:w="7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5" w:name="page6"/>
    <w:bookmarkEnd w:id="5"/>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INCOME (LOSS) (UNAUDITED)</w:t>
      </w:r>
    </w:p>
    <w:p>
      <w:pPr>
        <w:spacing w:after="0" w:line="200" w:lineRule="exact"/>
        <w:rPr>
          <w:sz w:val="20"/>
          <w:szCs w:val="20"/>
          <w:color w:val="auto"/>
        </w:rPr>
      </w:pP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7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r>
      <w:tr>
        <w:trPr>
          <w:trHeight w:val="196"/>
        </w:trPr>
        <w:tc>
          <w:tcPr>
            <w:tcW w:w="76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40" w:type="dxa"/>
            <w:vAlign w:val="bottom"/>
            <w:tcBorders>
              <w:bottom w:val="single" w:sz="8" w:color="auto"/>
            </w:tcBorders>
          </w:tcPr>
          <w:p>
            <w:pPr>
              <w:spacing w:after="0"/>
              <w:rPr>
                <w:sz w:val="17"/>
                <w:szCs w:val="17"/>
                <w:color w:val="auto"/>
              </w:rPr>
            </w:pPr>
          </w:p>
        </w:tc>
      </w:tr>
      <w:tr>
        <w:trPr>
          <w:trHeight w:val="212"/>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 share amounts)</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258.7</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213.5</w:t>
            </w:r>
          </w:p>
        </w:tc>
      </w:tr>
      <w:tr>
        <w:trPr>
          <w:trHeight w:val="199"/>
        </w:trPr>
        <w:tc>
          <w:tcPr>
            <w:tcW w:w="76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230.0</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204.5</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28.7</w:t>
            </w:r>
          </w:p>
        </w:tc>
        <w:tc>
          <w:tcPr>
            <w:tcW w:w="10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199"/>
        </w:trPr>
        <w:tc>
          <w:tcPr>
            <w:tcW w:w="76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20.7</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 (loss)</w:t>
            </w: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8.0</w:t>
            </w:r>
          </w:p>
        </w:tc>
        <w:tc>
          <w:tcPr>
            <w:tcW w:w="10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(10.1)</w:t>
            </w:r>
          </w:p>
        </w:tc>
      </w:tr>
      <w:tr>
        <w:trPr>
          <w:trHeight w:val="199"/>
        </w:trPr>
        <w:tc>
          <w:tcPr>
            <w:tcW w:w="76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(3.3)</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7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0.4</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62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58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(1.0)</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(loss) before income taxes</w:t>
            </w: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4.1</w:t>
            </w:r>
          </w:p>
        </w:tc>
        <w:tc>
          <w:tcPr>
            <w:tcW w:w="10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(12.3)</w:t>
            </w:r>
          </w:p>
        </w:tc>
      </w:tr>
      <w:tr>
        <w:trPr>
          <w:trHeight w:val="199"/>
        </w:trPr>
        <w:tc>
          <w:tcPr>
            <w:tcW w:w="762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2.1</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(10.6)</w:t>
            </w:r>
          </w:p>
        </w:tc>
      </w:tr>
      <w:tr>
        <w:trPr>
          <w:trHeight w:val="186"/>
        </w:trPr>
        <w:tc>
          <w:tcPr>
            <w:tcW w:w="7620" w:type="dxa"/>
            <w:vAlign w:val="bottom"/>
          </w:tcPr>
          <w:p>
            <w:pPr>
              <w:ind w:left="20"/>
              <w:spacing w:after="0"/>
              <w:rPr>
                <w:sz w:val="20"/>
                <w:szCs w:val="20"/>
                <w:color w:val="auto"/>
              </w:rPr>
            </w:pPr>
            <w:r>
              <w:rPr>
                <w:rFonts w:ascii="Arial" w:cs="Arial" w:eastAsia="Arial" w:hAnsi="Arial"/>
                <w:sz w:val="14"/>
                <w:szCs w:val="14"/>
                <w:color w:val="auto"/>
              </w:rPr>
              <w:t>Less:</w:t>
            </w: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0"/>
        </w:trPr>
        <w:tc>
          <w:tcPr>
            <w:tcW w:w="7620" w:type="dxa"/>
            <w:vAlign w:val="bottom"/>
          </w:tcPr>
          <w:p>
            <w:pPr>
              <w:ind w:left="140"/>
              <w:spacing w:after="0"/>
              <w:rPr>
                <w:sz w:val="20"/>
                <w:szCs w:val="20"/>
                <w:color w:val="auto"/>
              </w:rPr>
            </w:pPr>
            <w:r>
              <w:rPr>
                <w:rFonts w:ascii="Arial" w:cs="Arial" w:eastAsia="Arial" w:hAnsi="Arial"/>
                <w:sz w:val="14"/>
                <w:szCs w:val="14"/>
                <w:color w:val="auto"/>
              </w:rPr>
              <w:t>Net income (loss) attributable to noncontrolling interest</w:t>
            </w:r>
          </w:p>
        </w:tc>
        <w:tc>
          <w:tcPr>
            <w:tcW w:w="580" w:type="dxa"/>
            <w:vAlign w:val="bottom"/>
          </w:tcPr>
          <w:p>
            <w:pPr>
              <w:spacing w:after="0"/>
              <w:rPr>
                <w:sz w:val="15"/>
                <w:szCs w:val="15"/>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2.0</w:t>
            </w:r>
          </w:p>
        </w:tc>
        <w:tc>
          <w:tcPr>
            <w:tcW w:w="10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attributable to Mission Produce</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(8.8)</w:t>
            </w:r>
          </w:p>
        </w:tc>
      </w:tr>
      <w:tr>
        <w:trPr>
          <w:trHeight w:val="258"/>
        </w:trPr>
        <w:tc>
          <w:tcPr>
            <w:tcW w:w="7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99"/>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per share attributable to Mission Produce:</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r>
      <w:tr>
        <w:trPr>
          <w:trHeight w:val="199"/>
        </w:trPr>
        <w:tc>
          <w:tcPr>
            <w:tcW w:w="7620" w:type="dxa"/>
            <w:vAlign w:val="bottom"/>
          </w:tcPr>
          <w:p>
            <w:pPr>
              <w:ind w:left="340"/>
              <w:spacing w:after="0"/>
              <w:rPr>
                <w:sz w:val="20"/>
                <w:szCs w:val="20"/>
                <w:color w:val="auto"/>
              </w:rPr>
            </w:pPr>
            <w:r>
              <w:rPr>
                <w:rFonts w:ascii="Arial" w:cs="Arial" w:eastAsia="Arial" w:hAnsi="Arial"/>
                <w:sz w:val="14"/>
                <w:szCs w:val="14"/>
                <w:color w:val="auto"/>
              </w:rPr>
              <w:t>Basic</w:t>
            </w: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0.00</w:t>
            </w:r>
          </w:p>
        </w:tc>
        <w:tc>
          <w:tcPr>
            <w:tcW w:w="1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(0.12)</w:t>
            </w:r>
          </w:p>
        </w:tc>
      </w:tr>
      <w:tr>
        <w:trPr>
          <w:trHeight w:val="20"/>
        </w:trPr>
        <w:tc>
          <w:tcPr>
            <w:tcW w:w="7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62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Diluted</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0.00</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(0.12)</w:t>
            </w:r>
          </w:p>
        </w:tc>
      </w:tr>
      <w:tr>
        <w:trPr>
          <w:trHeight w:val="20"/>
        </w:trPr>
        <w:tc>
          <w:tcPr>
            <w:tcW w:w="7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7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r>
      <w:tr>
        <w:trPr>
          <w:trHeight w:val="196"/>
        </w:trPr>
        <w:tc>
          <w:tcPr>
            <w:tcW w:w="76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60" w:type="dxa"/>
            <w:vAlign w:val="bottom"/>
            <w:tcBorders>
              <w:bottom w:val="single" w:sz="8" w:color="auto"/>
            </w:tcBorders>
          </w:tcPr>
          <w:p>
            <w:pPr>
              <w:spacing w:after="0"/>
              <w:rPr>
                <w:sz w:val="17"/>
                <w:szCs w:val="17"/>
                <w:color w:val="auto"/>
              </w:rPr>
            </w:pPr>
          </w:p>
        </w:tc>
      </w:tr>
      <w:tr>
        <w:trPr>
          <w:trHeight w:val="21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(10.6)</w:t>
            </w:r>
          </w:p>
        </w:tc>
      </w:tr>
      <w:tr>
        <w:trPr>
          <w:trHeight w:val="199"/>
        </w:trPr>
        <w:tc>
          <w:tcPr>
            <w:tcW w:w="768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4"/>
        </w:trPr>
        <w:tc>
          <w:tcPr>
            <w:tcW w:w="768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Foreign currency translation adjustments</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0.8</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0.5</w:t>
            </w:r>
          </w:p>
        </w:tc>
      </w:tr>
      <w:tr>
        <w:trPr>
          <w:trHeight w:val="192"/>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comprehensive income (loss), net of tax</w:t>
            </w:r>
          </w:p>
        </w:tc>
        <w:tc>
          <w:tcPr>
            <w:tcW w:w="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2.8</w:t>
            </w:r>
          </w:p>
        </w:tc>
        <w:tc>
          <w:tcPr>
            <w:tcW w:w="10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Less:</w:t>
            </w:r>
          </w:p>
        </w:tc>
        <w:tc>
          <w:tcPr>
            <w:tcW w:w="56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r>
      <w:tr>
        <w:trPr>
          <w:trHeight w:val="206"/>
        </w:trPr>
        <w:tc>
          <w:tcPr>
            <w:tcW w:w="76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w:t>
            </w:r>
          </w:p>
        </w:tc>
      </w:tr>
      <w:tr>
        <w:trPr>
          <w:trHeight w:val="192"/>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Comprehensive income (loss)</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0.8</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6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Additional paid-in</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 except for shares)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comprehensive loss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Retained earnings</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Noncontrolling interest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2022</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70,669,535</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229.3</w:t>
            </w:r>
          </w:p>
        </w:tc>
        <w:tc>
          <w:tcPr>
            <w:tcW w:w="18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274.4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20.8</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522.9</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0.7</w:t>
            </w:r>
          </w:p>
        </w:tc>
        <w:tc>
          <w:tcPr>
            <w:tcW w:w="18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Exercise of stock options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8,500</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55,055</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(0.4)</w:t>
            </w:r>
          </w:p>
        </w:tc>
        <w:tc>
          <w:tcPr>
            <w:tcW w:w="1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Contributions from noncontrolling interest holders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70,733,090</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229.6</w:t>
            </w: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265.6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514.1</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Balance at October 31, 2023</w:t>
            </w:r>
          </w:p>
        </w:tc>
        <w:tc>
          <w:tcPr>
            <w:tcW w:w="1200" w:type="dxa"/>
            <w:vAlign w:val="bottom"/>
          </w:tcPr>
          <w:p>
            <w:pPr>
              <w:jc w:val="right"/>
              <w:spacing w:after="0"/>
              <w:rPr>
                <w:sz w:val="20"/>
                <w:szCs w:val="20"/>
                <w:color w:val="auto"/>
              </w:rPr>
            </w:pPr>
            <w:r>
              <w:rPr>
                <w:rFonts w:ascii="Arial" w:cs="Arial" w:eastAsia="Arial" w:hAnsi="Arial"/>
                <w:sz w:val="12"/>
                <w:szCs w:val="12"/>
                <w:color w:val="auto"/>
              </w:rPr>
              <w:t>70,728,404</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0.1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233.4</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271.0</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24.7</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528.3</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112,899</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(0.7)</w:t>
            </w:r>
          </w:p>
        </w:tc>
        <w:tc>
          <w:tcPr>
            <w:tcW w:w="1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0.8</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January 31, 2024</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70,841,303</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234.1</w:t>
            </w:r>
          </w:p>
        </w:tc>
        <w:tc>
          <w:tcPr>
            <w:tcW w:w="18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271.0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26.7</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531.8</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CASH FLOW (UNAUDITED)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Three Months Ended</w:t>
            </w:r>
          </w:p>
        </w:tc>
        <w:tc>
          <w:tcPr>
            <w:tcW w:w="820" w:type="dxa"/>
            <w:vAlign w:val="bottom"/>
          </w:tcPr>
          <w:p>
            <w:pPr>
              <w:spacing w:after="0"/>
              <w:rPr>
                <w:sz w:val="12"/>
                <w:szCs w:val="12"/>
                <w:color w:val="auto"/>
              </w:rPr>
            </w:pPr>
          </w:p>
        </w:tc>
      </w:tr>
      <w:tr>
        <w:trPr>
          <w:trHeight w:val="165"/>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January 31,</w:t>
            </w:r>
          </w:p>
        </w:tc>
        <w:tc>
          <w:tcPr>
            <w:tcW w:w="82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6"/>
        </w:trPr>
        <w:tc>
          <w:tcPr>
            <w:tcW w:w="7400" w:type="dxa"/>
            <w:vAlign w:val="bottom"/>
          </w:tcPr>
          <w:p>
            <w:pPr>
              <w:ind w:left="20"/>
              <w:spacing w:after="0"/>
              <w:rPr>
                <w:sz w:val="20"/>
                <w:szCs w:val="20"/>
                <w:color w:val="auto"/>
              </w:rPr>
            </w:pPr>
            <w:r>
              <w:rPr>
                <w:rFonts w:ascii="Calibri" w:cs="Calibri" w:eastAsia="Calibri" w:hAnsi="Calibri"/>
                <w:sz w:val="12"/>
                <w:szCs w:val="12"/>
                <w:color w:val="auto"/>
              </w:rPr>
              <w:t>(In millions)</w:t>
            </w:r>
          </w:p>
        </w:tc>
        <w:tc>
          <w:tcPr>
            <w:tcW w:w="680" w:type="dxa"/>
            <w:vAlign w:val="bottom"/>
          </w:tcPr>
          <w:p>
            <w:pPr>
              <w:spacing w:after="0"/>
              <w:rPr>
                <w:sz w:val="14"/>
                <w:szCs w:val="14"/>
                <w:color w:val="auto"/>
              </w:rPr>
            </w:pPr>
          </w:p>
        </w:tc>
        <w:tc>
          <w:tcPr>
            <w:tcW w:w="1180" w:type="dxa"/>
            <w:vAlign w:val="bottom"/>
          </w:tcPr>
          <w:p>
            <w:pPr>
              <w:jc w:val="right"/>
              <w:ind w:right="240"/>
              <w:spacing w:after="0"/>
              <w:rPr>
                <w:sz w:val="20"/>
                <w:szCs w:val="20"/>
                <w:color w:val="auto"/>
              </w:rPr>
            </w:pPr>
            <w:r>
              <w:rPr>
                <w:rFonts w:ascii="Arial" w:cs="Arial" w:eastAsia="Arial" w:hAnsi="Arial"/>
                <w:sz w:val="12"/>
                <w:szCs w:val="12"/>
                <w:b w:val="1"/>
                <w:bCs w:val="1"/>
                <w:color w:val="auto"/>
              </w:rPr>
              <w:t>2024</w:t>
            </w:r>
          </w:p>
        </w:tc>
        <w:tc>
          <w:tcPr>
            <w:tcW w:w="104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b w:val="1"/>
                <w:bCs w:val="1"/>
                <w:color w:val="auto"/>
              </w:rPr>
              <w:t>2023</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6"/>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680" w:type="dxa"/>
            <w:vAlign w:val="bottom"/>
            <w:tcBorders>
              <w:bottom w:val="single" w:sz="8" w:color="DBDBDB"/>
            </w:tcBorders>
            <w:shd w:val="clear" w:color="auto" w:fill="DBDBDB"/>
          </w:tcPr>
          <w:p>
            <w:pPr>
              <w:spacing w:after="0"/>
              <w:rPr>
                <w:sz w:val="14"/>
                <w:szCs w:val="14"/>
                <w:color w:val="auto"/>
              </w:rPr>
            </w:pPr>
          </w:p>
        </w:tc>
        <w:tc>
          <w:tcPr>
            <w:tcW w:w="118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820" w:type="dxa"/>
            <w:vAlign w:val="bottom"/>
            <w:tcBorders>
              <w:bottom w:val="single" w:sz="8" w:color="DBDBDB"/>
            </w:tcBorders>
            <w:shd w:val="clear" w:color="auto" w:fill="DBDBDB"/>
          </w:tcPr>
          <w:p>
            <w:pPr>
              <w:spacing w:after="0"/>
              <w:rPr>
                <w:sz w:val="14"/>
                <w:szCs w:val="14"/>
                <w:color w:val="auto"/>
              </w:rPr>
            </w:pP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2.0</w:t>
            </w:r>
          </w:p>
        </w:tc>
        <w:tc>
          <w:tcPr>
            <w:tcW w:w="104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Depreciation and amortization</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12.9</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Amortization of debt issuance costs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0.1</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Equity method income</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(0.4)</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Noncash lease expense</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1.5</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Stock-based compensation</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1.4</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0.7</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Dividends received from equity method investees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3.2</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Losses on asset impairment, disposals and sales, net of insurance recoveries</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0.2</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Deferred income taxes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(0.8)</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Other</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0.9</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Effect on cash of changes in operating assets and liabilities: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Trade accounts receivable</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(10.9)</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Grower fruit advances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(0.5)</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Other receivables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(0.7)</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Inventory</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(14.8)</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(3.8)</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Prepaid expenses and other current assets</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0.8</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Income taxes receivable</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0.3</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(3.2)</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Other assets</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0.1</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Accounts payable and accrued expenses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4.6</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Income taxes payable</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1.2</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Grower payables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10.1</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1.1</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Operating lease liabilities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(0.9)</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Other long-term liabilities</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1.2</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Net cash provided by (used in) operating activities</w:t>
            </w:r>
          </w:p>
        </w:tc>
        <w:tc>
          <w:tcPr>
            <w:tcW w:w="68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9.5</w:t>
            </w:r>
          </w:p>
        </w:tc>
        <w:tc>
          <w:tcPr>
            <w:tcW w:w="1040" w:type="dxa"/>
            <w:vAlign w:val="bottom"/>
            <w:tcBorders>
              <w:top w:val="single" w:sz="8" w:color="auto"/>
            </w:tcBorders>
          </w:tcPr>
          <w:p>
            <w:pPr>
              <w:jc w:val="right"/>
              <w:ind w:right="7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Purchases of property, plant and equipment</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(9.9)</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Investment in equity method investees</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(0.3)</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Net cash used in investing activities</w:t>
            </w:r>
          </w:p>
        </w:tc>
        <w:tc>
          <w:tcPr>
            <w:tcW w:w="68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(9.9)</w:t>
            </w:r>
          </w:p>
        </w:tc>
        <w:tc>
          <w:tcPr>
            <w:tcW w:w="1040" w:type="dxa"/>
            <w:vAlign w:val="bottom"/>
            <w:tcBorders>
              <w:top w:val="single" w:sz="8" w:color="auto"/>
            </w:tcBorders>
          </w:tcPr>
          <w:p>
            <w:pPr>
              <w:jc w:val="right"/>
              <w:ind w:right="7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(17.9)</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Borrowings on revolving credit facility</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15.0</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Payments on revolving credit facility</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(10.0)</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Repayment of short-term borrowings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(2.8)</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Principal payments on long-term debt obligations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(0.9)</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(0.9)</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Principal payments on finance lease obligations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(2.3)</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Payments for long-term supplier financing</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(0.3)</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Principal payments on loans due to noncontrolling interest holder</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(0.5)</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Payments of minimum withholding taxes on net share settlement of equity awards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(0.7)</w:t>
            </w: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(0.4)</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Equity contributions from noncontrolling interest holders</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6"/>
        </w:trPr>
        <w:tc>
          <w:tcPr>
            <w:tcW w:w="7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6"/>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cash (used in) provided by financing activities</w:t>
            </w:r>
          </w:p>
        </w:tc>
        <w:tc>
          <w:tcPr>
            <w:tcW w:w="680" w:type="dxa"/>
            <w:vAlign w:val="bottom"/>
            <w:tcBorders>
              <w:bottom w:val="single" w:sz="8" w:color="DBDBDB"/>
            </w:tcBorders>
            <w:shd w:val="clear" w:color="auto" w:fill="DBDBDB"/>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(2.5)</w:t>
            </w:r>
          </w:p>
        </w:tc>
        <w:tc>
          <w:tcPr>
            <w:tcW w:w="1040" w:type="dxa"/>
            <w:vAlign w:val="bottom"/>
            <w:tcBorders>
              <w:bottom w:val="single" w:sz="8" w:color="DBDBDB"/>
            </w:tcBorders>
            <w:shd w:val="clear" w:color="auto" w:fill="DBDBDB"/>
          </w:tcPr>
          <w:p>
            <w:pPr>
              <w:jc w:val="right"/>
              <w:ind w:right="7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5.5</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Effect of exchange rate changes on cash</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0.2</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7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6"/>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decrease in cash, cash equivalents and restricted cash</w:t>
            </w:r>
          </w:p>
        </w:tc>
        <w:tc>
          <w:tcPr>
            <w:tcW w:w="680" w:type="dxa"/>
            <w:vAlign w:val="bottom"/>
            <w:tcBorders>
              <w:bottom w:val="single" w:sz="8" w:color="DBDBDB"/>
            </w:tcBorders>
            <w:shd w:val="clear" w:color="auto" w:fill="DBDBDB"/>
          </w:tcPr>
          <w:p>
            <w:pPr>
              <w:spacing w:after="0"/>
              <w:rPr>
                <w:sz w:val="14"/>
                <w:szCs w:val="14"/>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(2.7)</w:t>
            </w:r>
          </w:p>
        </w:tc>
        <w:tc>
          <w:tcPr>
            <w:tcW w:w="1040" w:type="dxa"/>
            <w:vAlign w:val="bottom"/>
            <w:tcBorders>
              <w:bottom w:val="single" w:sz="8" w:color="DBDBDB"/>
            </w:tcBorders>
            <w:shd w:val="clear" w:color="auto" w:fill="DBDBDB"/>
          </w:tcPr>
          <w:p>
            <w:pPr>
              <w:spacing w:after="0"/>
              <w:rPr>
                <w:sz w:val="14"/>
                <w:szCs w:val="14"/>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(13.7)</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beginning of period</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43.2</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53.9</w:t>
            </w:r>
          </w:p>
        </w:tc>
      </w:tr>
      <w:tr>
        <w:trPr>
          <w:trHeight w:val="26"/>
        </w:trPr>
        <w:tc>
          <w:tcPr>
            <w:tcW w:w="7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Cash, cash equivalents and restricted cash, end of period</w:t>
            </w:r>
          </w:p>
        </w:tc>
        <w:tc>
          <w:tcPr>
            <w:tcW w:w="680" w:type="dxa"/>
            <w:vAlign w:val="bottom"/>
            <w:tcBorders>
              <w:bottom w:val="single" w:sz="8" w:color="DBDBDB"/>
            </w:tcBorders>
            <w:shd w:val="clear" w:color="auto" w:fill="DBDBDB"/>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40.5</w:t>
            </w:r>
          </w:p>
        </w:tc>
        <w:tc>
          <w:tcPr>
            <w:tcW w:w="1040" w:type="dxa"/>
            <w:vAlign w:val="bottom"/>
            <w:tcBorders>
              <w:bottom w:val="single" w:sz="8" w:color="DBDBDB"/>
            </w:tcBorders>
            <w:shd w:val="clear" w:color="auto" w:fill="DBDBDB"/>
          </w:tcPr>
          <w:p>
            <w:pPr>
              <w:jc w:val="right"/>
              <w:ind w:right="7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40.2</w:t>
            </w:r>
          </w:p>
        </w:tc>
      </w:tr>
      <w:tr>
        <w:trPr>
          <w:trHeight w:val="238"/>
        </w:trPr>
        <w:tc>
          <w:tcPr>
            <w:tcW w:w="7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Summary of cash, cash equivalents and restricted cash reported within the condensed consolidated balance sheets: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39.9</w:t>
            </w:r>
          </w:p>
        </w:tc>
        <w:tc>
          <w:tcPr>
            <w:tcW w:w="104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39.2</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Restricted cash</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0.6</w:t>
            </w:r>
          </w:p>
        </w:tc>
        <w:tc>
          <w:tcPr>
            <w:tcW w:w="10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Total cash, cash equivalents, and restricted cash shown in the condensed consolidated statements of cash flows</w:t>
            </w:r>
          </w:p>
        </w:tc>
        <w:tc>
          <w:tcPr>
            <w:tcW w:w="68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40.5</w:t>
            </w:r>
          </w:p>
        </w:tc>
        <w:tc>
          <w:tcPr>
            <w:tcW w:w="1040" w:type="dxa"/>
            <w:vAlign w:val="bottom"/>
            <w:tcBorders>
              <w:top w:val="single" w:sz="8" w:color="auto"/>
            </w:tcBorders>
          </w:tcPr>
          <w:p>
            <w:pPr>
              <w:jc w:val="right"/>
              <w:ind w:right="7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40.2</w:t>
            </w:r>
          </w:p>
        </w:tc>
      </w:tr>
      <w:tr>
        <w:trPr>
          <w:trHeight w:val="26"/>
        </w:trPr>
        <w:tc>
          <w:tcPr>
            <w:tcW w:w="7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120"/>
          </w:cols>
          <w:pgMar w:left="320" w:top="104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049" w:right="4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377"/>
        <w:spacing w:after="0"/>
        <w:tabs>
          <w:tab w:leader="none" w:pos="3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21" w:lineRule="exact"/>
        <w:rPr>
          <w:sz w:val="20"/>
          <w:szCs w:val="20"/>
          <w:color w:val="auto"/>
        </w:rPr>
      </w:pPr>
    </w:p>
    <w:p>
      <w:pPr>
        <w:ind w:right="220" w:firstLine="619"/>
        <w:spacing w:after="0" w:line="285" w:lineRule="auto"/>
        <w:rPr>
          <w:sz w:val="20"/>
          <w:szCs w:val="20"/>
          <w:color w:val="auto"/>
        </w:rPr>
      </w:pPr>
      <w:r>
        <w:rPr>
          <w:rFonts w:ascii="Arial" w:cs="Arial" w:eastAsia="Arial" w:hAnsi="Arial"/>
          <w:sz w:val="13"/>
          <w:szCs w:val="13"/>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and Distribution, International Farming and Blueberries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 and consolidation</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2023.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2024.</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221" w:lineRule="exact"/>
        <w:rPr>
          <w:sz w:val="20"/>
          <w:szCs w:val="20"/>
          <w:color w:val="auto"/>
        </w:rPr>
      </w:pPr>
    </w:p>
    <w:p>
      <w:pPr>
        <w:ind w:right="20" w:firstLine="619"/>
        <w:spacing w:after="0" w:line="276" w:lineRule="auto"/>
        <w:rPr>
          <w:sz w:val="20"/>
          <w:szCs w:val="20"/>
          <w:color w:val="auto"/>
        </w:rPr>
      </w:pPr>
      <w:r>
        <w:rPr>
          <w:rFonts w:ascii="Arial" w:cs="Arial" w:eastAsia="Arial" w:hAnsi="Arial"/>
          <w:sz w:val="13"/>
          <w:szCs w:val="13"/>
          <w:color w:val="auto"/>
        </w:rPr>
        <w:t>In December 2023, the Financial Accounting Standards Board (“FASB”) issued Accounting Standards Update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pacing w:after="0" w:line="172" w:lineRule="exact"/>
        <w:rPr>
          <w:sz w:val="20"/>
          <w:szCs w:val="20"/>
          <w:color w:val="auto"/>
        </w:rPr>
      </w:pPr>
    </w:p>
    <w:p>
      <w:pPr>
        <w:ind w:right="20" w:firstLine="619"/>
        <w:spacing w:after="0" w:line="252" w:lineRule="auto"/>
        <w:rPr>
          <w:sz w:val="20"/>
          <w:szCs w:val="20"/>
          <w:color w:val="auto"/>
        </w:rPr>
      </w:pPr>
      <w:r>
        <w:rPr>
          <w:rFonts w:ascii="Arial" w:cs="Arial" w:eastAsia="Arial" w:hAnsi="Arial"/>
          <w:sz w:val="14"/>
          <w:szCs w:val="14"/>
          <w:color w:val="auto"/>
        </w:rPr>
        <w:t>In November 2023, the FASB issued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are currently evaluating the impact of adoption on our financial disclosures.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Arial" w:cs="Arial" w:eastAsia="Arial" w:hAnsi="Arial"/>
                <w:sz w:val="17"/>
                <w:szCs w:val="17"/>
                <w:b w:val="1"/>
                <w:bCs w:val="1"/>
                <w:color w:val="auto"/>
              </w:rPr>
              <w:t>2.</w:t>
            </w:r>
          </w:p>
        </w:tc>
        <w:tc>
          <w:tcPr>
            <w:tcW w:w="5180" w:type="dxa"/>
            <w:vAlign w:val="bottom"/>
          </w:tcPr>
          <w:p>
            <w:pPr>
              <w:ind w:left="120"/>
              <w:spacing w:after="0"/>
              <w:rPr>
                <w:sz w:val="20"/>
                <w:szCs w:val="20"/>
                <w:color w:val="auto"/>
              </w:rPr>
            </w:pPr>
            <w:r>
              <w:rPr>
                <w:rFonts w:ascii="Arial" w:cs="Arial" w:eastAsia="Arial" w:hAnsi="Arial"/>
                <w:sz w:val="17"/>
                <w:szCs w:val="17"/>
                <w:b w:val="1"/>
                <w:bCs w:val="1"/>
                <w:color w:val="auto"/>
              </w:rPr>
              <w:t>Inventory</w:t>
            </w:r>
          </w:p>
        </w:tc>
        <w:tc>
          <w:tcPr>
            <w:tcW w:w="2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7"/>
        </w:trPr>
        <w:tc>
          <w:tcPr>
            <w:tcW w:w="260" w:type="dxa"/>
            <w:vAlign w:val="bottom"/>
          </w:tcPr>
          <w:p>
            <w:pPr>
              <w:spacing w:after="0"/>
              <w:rPr>
                <w:sz w:val="24"/>
                <w:szCs w:val="24"/>
                <w:color w:val="auto"/>
              </w:rPr>
            </w:pPr>
          </w:p>
        </w:tc>
        <w:tc>
          <w:tcPr>
            <w:tcW w:w="5180" w:type="dxa"/>
            <w:vAlign w:val="bottom"/>
          </w:tcPr>
          <w:p>
            <w:pPr>
              <w:ind w:left="360"/>
              <w:spacing w:after="0"/>
              <w:rPr>
                <w:sz w:val="20"/>
                <w:szCs w:val="20"/>
                <w:color w:val="auto"/>
              </w:rPr>
            </w:pPr>
            <w:r>
              <w:rPr>
                <w:rFonts w:ascii="Arial" w:cs="Arial" w:eastAsia="Arial" w:hAnsi="Arial"/>
                <w:sz w:val="14"/>
                <w:szCs w:val="14"/>
                <w:color w:val="auto"/>
              </w:rPr>
              <w:t>Major classes of inventory were as follows:</w:t>
            </w:r>
          </w:p>
        </w:tc>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8"/>
        </w:trPr>
        <w:tc>
          <w:tcPr>
            <w:tcW w:w="5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January 31, 2024</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6"/>
        </w:trPr>
        <w:tc>
          <w:tcPr>
            <w:tcW w:w="54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Finished goods</w:t>
            </w:r>
          </w:p>
        </w:tc>
        <w:tc>
          <w:tcPr>
            <w:tcW w:w="252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42.6</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29.5</w:t>
            </w:r>
          </w:p>
        </w:tc>
      </w:tr>
      <w:tr>
        <w:trPr>
          <w:trHeight w:val="199"/>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2520" w:type="dxa"/>
            <w:vAlign w:val="bottom"/>
          </w:tcPr>
          <w:p>
            <w:pPr>
              <w:spacing w:after="0"/>
              <w:rPr>
                <w:sz w:val="17"/>
                <w:szCs w:val="17"/>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24.8</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0"/>
        </w:trPr>
        <w:tc>
          <w:tcPr>
            <w:tcW w:w="54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54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Packaging and supplies</w:t>
            </w:r>
          </w:p>
        </w:tc>
        <w:tc>
          <w:tcPr>
            <w:tcW w:w="252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18.5</w:t>
            </w:r>
          </w:p>
        </w:tc>
        <w:tc>
          <w:tcPr>
            <w:tcW w:w="46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19.8</w:t>
            </w:r>
          </w:p>
        </w:tc>
      </w:tr>
      <w:tr>
        <w:trPr>
          <w:trHeight w:val="192"/>
        </w:trPr>
        <w:tc>
          <w:tcPr>
            <w:tcW w:w="5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25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85.9</w:t>
            </w:r>
          </w:p>
        </w:tc>
        <w:tc>
          <w:tcPr>
            <w:tcW w:w="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3.</w:t>
        <w:tab/>
        <w:t>Goodwill and Intangible Asset, net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International Farming</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Blueberries</w:t>
            </w: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Goodwill as of January 31, 2024 and October 31, 2023</w:t>
            </w:r>
          </w:p>
        </w:tc>
        <w:tc>
          <w:tcPr>
            <w:tcW w:w="14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26.9</w:t>
            </w:r>
          </w:p>
        </w:tc>
        <w:tc>
          <w:tcPr>
            <w:tcW w:w="580" w:type="dxa"/>
            <w:vAlign w:val="bottom"/>
            <w:tcBorders>
              <w:bottom w:val="single" w:sz="8" w:color="DBDBDB"/>
            </w:tcBorders>
            <w:shd w:val="clear" w:color="auto" w:fill="DBDBDB"/>
          </w:tcPr>
          <w:p>
            <w:pPr>
              <w:jc w:val="right"/>
              <w:ind w:right="3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12.5</w:t>
            </w:r>
          </w:p>
        </w:tc>
        <w:tc>
          <w:tcPr>
            <w:tcW w:w="780" w:type="dxa"/>
            <w:vAlign w:val="bottom"/>
            <w:tcBorders>
              <w:bottom w:val="single" w:sz="8" w:color="DBDBDB"/>
            </w:tcBorders>
            <w:shd w:val="clear" w:color="auto" w:fill="DBDBDB"/>
          </w:tcPr>
          <w:p>
            <w:pPr>
              <w:jc w:val="right"/>
              <w:ind w:right="5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ind w:left="640"/>
              <w:spacing w:after="0"/>
              <w:rPr>
                <w:sz w:val="20"/>
                <w:szCs w:val="20"/>
                <w:color w:val="auto"/>
              </w:rPr>
            </w:pPr>
            <w:r>
              <w:rPr>
                <w:rFonts w:ascii="Arial" w:cs="Arial" w:eastAsia="Arial" w:hAnsi="Arial"/>
                <w:sz w:val="14"/>
                <w:szCs w:val="14"/>
                <w:color w:val="auto"/>
              </w:rPr>
              <w:t>39.4</w:t>
            </w:r>
          </w:p>
        </w:tc>
      </w:tr>
      <w:tr>
        <w:trPr>
          <w:trHeight w:val="20"/>
        </w:trPr>
        <w:tc>
          <w:tcPr>
            <w:tcW w:w="46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63" w:lineRule="exact"/>
        <w:rPr>
          <w:sz w:val="20"/>
          <w:szCs w:val="20"/>
          <w:color w:val="auto"/>
        </w:rPr>
      </w:pPr>
    </w:p>
    <w:p>
      <w:pPr>
        <w:jc w:val="both"/>
        <w:ind w:right="200" w:firstLine="619"/>
        <w:spacing w:after="0" w:line="264" w:lineRule="auto"/>
        <w:rPr>
          <w:sz w:val="20"/>
          <w:szCs w:val="20"/>
          <w:color w:val="auto"/>
        </w:rPr>
      </w:pPr>
      <w:r>
        <w:rPr>
          <w:rFonts w:ascii="Arial" w:cs="Arial" w:eastAsia="Arial" w:hAnsi="Arial"/>
          <w:sz w:val="14"/>
          <w:szCs w:val="14"/>
          <w:color w:val="auto"/>
        </w:rPr>
        <w:t>The carrying amounts of goodwill as of January 31, 2024 and October 31, 2023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January 31,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October 31, 2023</w:t>
            </w:r>
          </w:p>
        </w:tc>
      </w:tr>
      <w:tr>
        <w:trPr>
          <w:trHeight w:val="196"/>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gross</w:t>
            </w:r>
          </w:p>
        </w:tc>
        <w:tc>
          <w:tcPr>
            <w:tcW w:w="33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center"/>
              <w:ind w:left="831"/>
              <w:spacing w:after="0"/>
              <w:rPr>
                <w:sz w:val="20"/>
                <w:szCs w:val="20"/>
                <w:color w:val="auto"/>
              </w:rPr>
            </w:pPr>
            <w:r>
              <w:rPr>
                <w:rFonts w:ascii="Arial" w:cs="Arial" w:eastAsia="Arial" w:hAnsi="Arial"/>
                <w:sz w:val="14"/>
                <w:szCs w:val="14"/>
                <w:color w:val="auto"/>
                <w:w w:val="92"/>
              </w:rPr>
              <w:t>2.8</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center"/>
              <w:ind w:left="971"/>
              <w:spacing w:after="0"/>
              <w:rPr>
                <w:sz w:val="20"/>
                <w:szCs w:val="20"/>
                <w:color w:val="auto"/>
              </w:rPr>
            </w:pPr>
            <w:r>
              <w:rPr>
                <w:rFonts w:ascii="Arial" w:cs="Arial" w:eastAsia="Arial" w:hAnsi="Arial"/>
                <w:sz w:val="14"/>
                <w:szCs w:val="14"/>
                <w:color w:val="auto"/>
                <w:w w:val="92"/>
              </w:rPr>
              <w:t>2.8</w:t>
            </w:r>
          </w:p>
        </w:tc>
      </w:tr>
      <w:tr>
        <w:trPr>
          <w:trHeight w:val="199"/>
        </w:trPr>
        <w:tc>
          <w:tcPr>
            <w:tcW w:w="4620" w:type="dxa"/>
            <w:vAlign w:val="bottom"/>
          </w:tcPr>
          <w:p>
            <w:pPr>
              <w:ind w:left="20"/>
              <w:spacing w:after="0"/>
              <w:rPr>
                <w:sz w:val="20"/>
                <w:szCs w:val="20"/>
                <w:color w:val="auto"/>
              </w:rPr>
            </w:pPr>
            <w:r>
              <w:rPr>
                <w:rFonts w:ascii="Arial" w:cs="Arial" w:eastAsia="Arial" w:hAnsi="Arial"/>
                <w:sz w:val="14"/>
                <w:szCs w:val="14"/>
                <w:color w:val="auto"/>
              </w:rPr>
              <w:t>Accumulated amortization</w:t>
            </w:r>
          </w:p>
        </w:tc>
        <w:tc>
          <w:tcPr>
            <w:tcW w:w="3340" w:type="dxa"/>
            <w:vAlign w:val="bottom"/>
          </w:tcPr>
          <w:p>
            <w:pPr>
              <w:spacing w:after="0"/>
              <w:rPr>
                <w:sz w:val="17"/>
                <w:szCs w:val="17"/>
                <w:color w:val="auto"/>
              </w:rPr>
            </w:pPr>
          </w:p>
        </w:tc>
        <w:tc>
          <w:tcPr>
            <w:tcW w:w="1480" w:type="dxa"/>
            <w:vAlign w:val="bottom"/>
          </w:tcPr>
          <w:p>
            <w:pPr>
              <w:jc w:val="center"/>
              <w:ind w:left="811"/>
              <w:spacing w:after="0"/>
              <w:rPr>
                <w:sz w:val="20"/>
                <w:szCs w:val="20"/>
                <w:color w:val="auto"/>
              </w:rPr>
            </w:pPr>
            <w:r>
              <w:rPr>
                <w:rFonts w:ascii="Arial" w:cs="Arial" w:eastAsia="Arial" w:hAnsi="Arial"/>
                <w:sz w:val="14"/>
                <w:szCs w:val="14"/>
                <w:color w:val="auto"/>
                <w:w w:val="97"/>
              </w:rPr>
              <w:t>(2.6)</w:t>
            </w:r>
          </w:p>
        </w:tc>
        <w:tc>
          <w:tcPr>
            <w:tcW w:w="460" w:type="dxa"/>
            <w:vAlign w:val="bottom"/>
          </w:tcPr>
          <w:p>
            <w:pPr>
              <w:spacing w:after="0"/>
              <w:rPr>
                <w:sz w:val="17"/>
                <w:szCs w:val="17"/>
                <w:color w:val="auto"/>
              </w:rPr>
            </w:pPr>
          </w:p>
        </w:tc>
        <w:tc>
          <w:tcPr>
            <w:tcW w:w="1340" w:type="dxa"/>
            <w:vAlign w:val="bottom"/>
          </w:tcPr>
          <w:p>
            <w:pPr>
              <w:jc w:val="center"/>
              <w:ind w:left="951"/>
              <w:spacing w:after="0"/>
              <w:rPr>
                <w:sz w:val="20"/>
                <w:szCs w:val="20"/>
                <w:color w:val="auto"/>
              </w:rPr>
            </w:pPr>
            <w:r>
              <w:rPr>
                <w:rFonts w:ascii="Arial" w:cs="Arial" w:eastAsia="Arial" w:hAnsi="Arial"/>
                <w:sz w:val="14"/>
                <w:szCs w:val="14"/>
                <w:color w:val="auto"/>
                <w:w w:val="97"/>
              </w:rPr>
              <w:t>(2.3)</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net</w:t>
            </w:r>
          </w:p>
        </w:tc>
        <w:tc>
          <w:tcPr>
            <w:tcW w:w="33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center"/>
              <w:ind w:left="831"/>
              <w:spacing w:after="0"/>
              <w:rPr>
                <w:sz w:val="20"/>
                <w:szCs w:val="20"/>
                <w:color w:val="auto"/>
              </w:rPr>
            </w:pPr>
            <w:r>
              <w:rPr>
                <w:rFonts w:ascii="Arial" w:cs="Arial" w:eastAsia="Arial" w:hAnsi="Arial"/>
                <w:sz w:val="14"/>
                <w:szCs w:val="14"/>
                <w:color w:val="auto"/>
                <w:w w:val="92"/>
              </w:rPr>
              <w:t>0.2</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center"/>
              <w:ind w:left="971"/>
              <w:spacing w:after="0"/>
              <w:rPr>
                <w:sz w:val="20"/>
                <w:szCs w:val="20"/>
                <w:color w:val="auto"/>
              </w:rPr>
            </w:pPr>
            <w:r>
              <w:rPr>
                <w:rFonts w:ascii="Arial" w:cs="Arial" w:eastAsia="Arial" w:hAnsi="Arial"/>
                <w:sz w:val="14"/>
                <w:szCs w:val="14"/>
                <w:color w:val="auto"/>
                <w:w w:val="92"/>
              </w:rPr>
              <w:t>0.5</w:t>
            </w:r>
          </w:p>
        </w:tc>
      </w:tr>
      <w:tr>
        <w:trPr>
          <w:trHeight w:val="20"/>
        </w:trPr>
        <w:tc>
          <w:tcPr>
            <w:tcW w:w="462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100" w:firstLine="619"/>
        <w:spacing w:after="0" w:line="253" w:lineRule="auto"/>
        <w:rPr>
          <w:sz w:val="20"/>
          <w:szCs w:val="20"/>
          <w:color w:val="auto"/>
        </w:rPr>
      </w:pPr>
      <w:r>
        <w:rPr>
          <w:rFonts w:ascii="Arial" w:cs="Arial" w:eastAsia="Arial" w:hAnsi="Arial"/>
          <w:sz w:val="14"/>
          <w:szCs w:val="14"/>
          <w:color w:val="auto"/>
        </w:rPr>
        <w:t>The intangible asset, net consists of a distributor relationship entirely attributed to the business combination with Moruga on May 1, 2022. The intangible asset has an amortizable life of 2 years, to be recognized in selling, general and administrative expenses coinciding with the timing of the estimated revenues. Amortization expense was $0.3 million and $1.2 million for the three months ended January 31, 2024 and 2023, respectively. The remaining amortization expense of $0.2 million is expected to be recognized during the year ended October 31, 2024.</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Details of Certain Account Balances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Accrued expenses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January 31,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6"/>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Employee-related</w:t>
            </w:r>
          </w:p>
        </w:tc>
        <w:tc>
          <w:tcPr>
            <w:tcW w:w="32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13.6</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12.8</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Freight</w:t>
            </w:r>
          </w:p>
        </w:tc>
        <w:tc>
          <w:tcPr>
            <w:tcW w:w="3260" w:type="dxa"/>
            <w:vAlign w:val="bottom"/>
          </w:tcPr>
          <w:p>
            <w:pPr>
              <w:spacing w:after="0"/>
              <w:rPr>
                <w:sz w:val="17"/>
                <w:szCs w:val="17"/>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5.5</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4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Outside fruit purchase</w:t>
            </w:r>
          </w:p>
        </w:tc>
        <w:tc>
          <w:tcPr>
            <w:tcW w:w="3260" w:type="dxa"/>
            <w:vAlign w:val="bottom"/>
            <w:tcBorders>
              <w:bottom w:val="single" w:sz="8" w:color="DBDBDB"/>
            </w:tcBorders>
            <w:shd w:val="clear" w:color="auto" w:fill="DBDBDB"/>
          </w:tcPr>
          <w:p>
            <w:pPr>
              <w:spacing w:after="0"/>
              <w:rPr>
                <w:sz w:val="17"/>
                <w:szCs w:val="17"/>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4.5</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2.7</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VAT and local taxes payable</w:t>
            </w:r>
          </w:p>
        </w:tc>
        <w:tc>
          <w:tcPr>
            <w:tcW w:w="3260" w:type="dxa"/>
            <w:vAlign w:val="bottom"/>
          </w:tcPr>
          <w:p>
            <w:pPr>
              <w:spacing w:after="0"/>
              <w:rPr>
                <w:sz w:val="17"/>
                <w:szCs w:val="17"/>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0.1</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4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Legal settlement</w:t>
            </w:r>
          </w:p>
        </w:tc>
        <w:tc>
          <w:tcPr>
            <w:tcW w:w="3260" w:type="dxa"/>
            <w:vAlign w:val="bottom"/>
            <w:tcBorders>
              <w:bottom w:val="single" w:sz="8" w:color="DBDBDB"/>
            </w:tcBorders>
            <w:shd w:val="clear" w:color="auto" w:fill="DBDBDB"/>
          </w:tcPr>
          <w:p>
            <w:pPr>
              <w:spacing w:after="0"/>
              <w:rPr>
                <w:sz w:val="17"/>
                <w:szCs w:val="17"/>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1.0</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Other</w:t>
            </w:r>
          </w:p>
        </w:tc>
        <w:tc>
          <w:tcPr>
            <w:tcW w:w="3260" w:type="dxa"/>
            <w:vAlign w:val="bottom"/>
          </w:tcPr>
          <w:p>
            <w:pPr>
              <w:spacing w:after="0"/>
              <w:rPr>
                <w:sz w:val="17"/>
                <w:szCs w:val="17"/>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4.4</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Accrued expenses</w:t>
            </w:r>
          </w:p>
        </w:tc>
        <w:tc>
          <w:tcPr>
            <w:tcW w:w="32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29.1</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26.4</w:t>
            </w:r>
          </w:p>
        </w:tc>
      </w:tr>
      <w:tr>
        <w:trPr>
          <w:trHeight w:val="20"/>
        </w:trPr>
        <w:tc>
          <w:tcPr>
            <w:tcW w:w="470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long-term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January 31,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6"/>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Uncertain tax positions</w:t>
            </w:r>
            <w:r>
              <w:rPr>
                <w:rFonts w:ascii="Arial" w:cs="Arial" w:eastAsia="Arial" w:hAnsi="Arial"/>
                <w:sz w:val="8"/>
                <w:szCs w:val="8"/>
                <w:color w:val="auto"/>
              </w:rPr>
              <w:t>(1)</w:t>
            </w:r>
          </w:p>
        </w:tc>
        <w:tc>
          <w:tcPr>
            <w:tcW w:w="26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20.7</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19.4</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Employee-related</w:t>
            </w:r>
          </w:p>
        </w:tc>
        <w:tc>
          <w:tcPr>
            <w:tcW w:w="2640" w:type="dxa"/>
            <w:vAlign w:val="bottom"/>
          </w:tcPr>
          <w:p>
            <w:pPr>
              <w:spacing w:after="0"/>
              <w:rPr>
                <w:sz w:val="17"/>
                <w:szCs w:val="17"/>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1.7</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5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Trade payables to noncontrolling interest holders</w:t>
            </w:r>
          </w:p>
        </w:tc>
        <w:tc>
          <w:tcPr>
            <w:tcW w:w="2640" w:type="dxa"/>
            <w:vAlign w:val="bottom"/>
            <w:tcBorders>
              <w:bottom w:val="single" w:sz="8" w:color="DBDBDB"/>
            </w:tcBorders>
            <w:shd w:val="clear" w:color="auto" w:fill="DBDBDB"/>
          </w:tcPr>
          <w:p>
            <w:pPr>
              <w:spacing w:after="0"/>
              <w:rPr>
                <w:sz w:val="17"/>
                <w:szCs w:val="17"/>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4.7</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Other</w:t>
            </w:r>
          </w:p>
        </w:tc>
        <w:tc>
          <w:tcPr>
            <w:tcW w:w="2640" w:type="dxa"/>
            <w:vAlign w:val="bottom"/>
          </w:tcPr>
          <w:p>
            <w:pPr>
              <w:spacing w:after="0"/>
              <w:rPr>
                <w:sz w:val="17"/>
                <w:szCs w:val="17"/>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0.6</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long-term liabilities</w:t>
            </w:r>
          </w:p>
        </w:tc>
        <w:tc>
          <w:tcPr>
            <w:tcW w:w="26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27.7</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26.4</w:t>
            </w:r>
          </w:p>
        </w:tc>
      </w:tr>
      <w:tr>
        <w:trPr>
          <w:trHeight w:val="20"/>
        </w:trPr>
        <w:tc>
          <w:tcPr>
            <w:tcW w:w="532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(1)Includes uncertain tax positions related to both income taxes and other statutory tax reserves, plus related penalties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net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r>
      <w:tr>
        <w:trPr>
          <w:trHeight w:val="196"/>
        </w:trPr>
        <w:tc>
          <w:tcPr>
            <w:tcW w:w="77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40" w:type="dxa"/>
            <w:vAlign w:val="bottom"/>
            <w:tcBorders>
              <w:bottom w:val="single" w:sz="8" w:color="auto"/>
            </w:tcBorders>
          </w:tcPr>
          <w:p>
            <w:pPr>
              <w:spacing w:after="0"/>
              <w:rPr>
                <w:sz w:val="17"/>
                <w:szCs w:val="17"/>
                <w:color w:val="auto"/>
              </w:rPr>
            </w:pPr>
          </w:p>
        </w:tc>
      </w:tr>
      <w:tr>
        <w:trPr>
          <w:trHeight w:val="21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Gains on derivative financial instruments</w:t>
            </w:r>
          </w:p>
        </w:tc>
        <w:tc>
          <w:tcPr>
            <w:tcW w:w="58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center"/>
              <w:ind w:left="371"/>
              <w:spacing w:after="0"/>
              <w:rPr>
                <w:sz w:val="20"/>
                <w:szCs w:val="20"/>
                <w:color w:val="auto"/>
              </w:rPr>
            </w:pPr>
            <w:r>
              <w:rPr>
                <w:rFonts w:ascii="Arial" w:cs="Arial" w:eastAsia="Arial" w:hAnsi="Arial"/>
                <w:sz w:val="14"/>
                <w:szCs w:val="14"/>
                <w:color w:val="auto"/>
                <w:w w:val="92"/>
              </w:rPr>
              <w:t>0.1</w:t>
            </w:r>
          </w:p>
        </w:tc>
      </w:tr>
      <w:tr>
        <w:trPr>
          <w:trHeight w:val="199"/>
        </w:trPr>
        <w:tc>
          <w:tcPr>
            <w:tcW w:w="7740" w:type="dxa"/>
            <w:vAlign w:val="bottom"/>
          </w:tcPr>
          <w:p>
            <w:pPr>
              <w:ind w:left="20"/>
              <w:spacing w:after="0"/>
              <w:rPr>
                <w:sz w:val="20"/>
                <w:szCs w:val="20"/>
                <w:color w:val="auto"/>
              </w:rPr>
            </w:pPr>
            <w:r>
              <w:rPr>
                <w:rFonts w:ascii="Arial" w:cs="Arial" w:eastAsia="Arial" w:hAnsi="Arial"/>
                <w:sz w:val="14"/>
                <w:szCs w:val="14"/>
                <w:color w:val="auto"/>
              </w:rPr>
              <w:t>Foreign currency transaction loss</w:t>
            </w:r>
          </w:p>
        </w:tc>
        <w:tc>
          <w:tcPr>
            <w:tcW w:w="58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1.4</w:t>
            </w:r>
          </w:p>
        </w:tc>
        <w:tc>
          <w:tcPr>
            <w:tcW w:w="1020" w:type="dxa"/>
            <w:vAlign w:val="bottom"/>
          </w:tcPr>
          <w:p>
            <w:pPr>
              <w:spacing w:after="0"/>
              <w:rPr>
                <w:sz w:val="17"/>
                <w:szCs w:val="17"/>
                <w:color w:val="auto"/>
              </w:rPr>
            </w:pPr>
          </w:p>
        </w:tc>
        <w:tc>
          <w:tcPr>
            <w:tcW w:w="740" w:type="dxa"/>
            <w:vAlign w:val="bottom"/>
          </w:tcPr>
          <w:p>
            <w:pPr>
              <w:jc w:val="center"/>
              <w:ind w:left="371"/>
              <w:spacing w:after="0"/>
              <w:rPr>
                <w:sz w:val="20"/>
                <w:szCs w:val="20"/>
                <w:color w:val="auto"/>
              </w:rPr>
            </w:pPr>
            <w:r>
              <w:rPr>
                <w:rFonts w:ascii="Arial" w:cs="Arial" w:eastAsia="Arial" w:hAnsi="Arial"/>
                <w:sz w:val="14"/>
                <w:szCs w:val="14"/>
                <w:color w:val="auto"/>
                <w:w w:val="92"/>
              </w:rPr>
              <w:t>0.9</w:t>
            </w:r>
          </w:p>
        </w:tc>
      </w:tr>
      <w:tr>
        <w:trPr>
          <w:trHeight w:val="20"/>
        </w:trPr>
        <w:tc>
          <w:tcPr>
            <w:tcW w:w="7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income</w:t>
            </w:r>
          </w:p>
        </w:tc>
        <w:tc>
          <w:tcPr>
            <w:tcW w:w="5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(0.3)</w:t>
            </w:r>
          </w:p>
        </w:tc>
        <w:tc>
          <w:tcPr>
            <w:tcW w:w="102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center"/>
              <w:ind w:left="351"/>
              <w:spacing w:after="0"/>
              <w:rPr>
                <w:sz w:val="20"/>
                <w:szCs w:val="20"/>
                <w:color w:val="auto"/>
              </w:rPr>
            </w:pPr>
            <w:r>
              <w:rPr>
                <w:rFonts w:ascii="Arial" w:cs="Arial" w:eastAsia="Arial" w:hAnsi="Arial"/>
                <w:sz w:val="14"/>
                <w:szCs w:val="14"/>
                <w:color w:val="auto"/>
                <w:w w:val="97"/>
              </w:rPr>
              <w:t>(0.2)</w:t>
            </w:r>
          </w:p>
        </w:tc>
      </w:tr>
      <w:tr>
        <w:trPr>
          <w:trHeight w:val="192"/>
        </w:trPr>
        <w:tc>
          <w:tcPr>
            <w:tcW w:w="7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Other expense, net</w:t>
            </w:r>
          </w:p>
        </w:tc>
        <w:tc>
          <w:tcPr>
            <w:tcW w:w="5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1.0</w:t>
            </w:r>
          </w:p>
        </w:tc>
        <w:tc>
          <w:tcPr>
            <w:tcW w:w="1020" w:type="dxa"/>
            <w:vAlign w:val="bottom"/>
            <w:tcBorders>
              <w:top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center"/>
              <w:ind w:left="371"/>
              <w:spacing w:after="0"/>
              <w:rPr>
                <w:sz w:val="20"/>
                <w:szCs w:val="20"/>
                <w:color w:val="auto"/>
              </w:rPr>
            </w:pPr>
            <w:r>
              <w:rPr>
                <w:rFonts w:ascii="Arial" w:cs="Arial" w:eastAsia="Arial" w:hAnsi="Arial"/>
                <w:sz w:val="14"/>
                <w:szCs w:val="14"/>
                <w:color w:val="auto"/>
                <w:w w:val="92"/>
              </w:rPr>
              <w:t>0.8</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amounts attributable to noncontrolling interest holders</w:t>
      </w:r>
    </w:p>
    <w:p>
      <w:pPr>
        <w:spacing w:after="0" w:line="234" w:lineRule="exact"/>
        <w:rPr>
          <w:sz w:val="20"/>
          <w:szCs w:val="20"/>
          <w:color w:val="auto"/>
        </w:rPr>
      </w:pPr>
    </w:p>
    <w:p>
      <w:pPr>
        <w:ind w:right="420" w:firstLine="619"/>
        <w:spacing w:after="0" w:line="254" w:lineRule="auto"/>
        <w:rPr>
          <w:sz w:val="20"/>
          <w:szCs w:val="20"/>
          <w:color w:val="auto"/>
        </w:rPr>
      </w:pPr>
      <w:r>
        <w:rPr>
          <w:rFonts w:ascii="Arial" w:cs="Arial" w:eastAsia="Arial" w:hAnsi="Arial"/>
          <w:sz w:val="14"/>
          <w:szCs w:val="14"/>
          <w:color w:val="auto"/>
        </w:rPr>
        <w:t>Amounts included in trade accounts receivable due from noncontrolling interest holders were $6.7 million and $5.7 million as of January 31, 2024 and October 31, 2023, respectively. Amounts included in trade accounts payable due to noncontrolling interest holders were $3.0 million and $3.2 million as of January 31, 2024 and October 31, 2023, respectively.</w:t>
      </w:r>
    </w:p>
    <w:p>
      <w:pPr>
        <w:spacing w:after="0" w:line="225" w:lineRule="exact"/>
        <w:rPr>
          <w:sz w:val="20"/>
          <w:szCs w:val="20"/>
          <w:color w:val="auto"/>
        </w:rPr>
      </w:pPr>
    </w:p>
    <w:p>
      <w:pPr>
        <w:ind w:left="440" w:hanging="437"/>
        <w:spacing w:after="0"/>
        <w:tabs>
          <w:tab w:leader="none" w:pos="4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Entity</w:t>
      </w:r>
    </w:p>
    <w:p>
      <w:pPr>
        <w:spacing w:after="0" w:line="228" w:lineRule="exact"/>
        <w:rPr>
          <w:sz w:val="20"/>
          <w:szCs w:val="20"/>
          <w:color w:val="auto"/>
        </w:rPr>
      </w:pPr>
    </w:p>
    <w:p>
      <w:pPr>
        <w:ind w:right="240" w:firstLine="619"/>
        <w:spacing w:after="0" w:line="278" w:lineRule="auto"/>
        <w:rPr>
          <w:sz w:val="20"/>
          <w:szCs w:val="20"/>
          <w:color w:val="auto"/>
        </w:rPr>
      </w:pPr>
      <w:r>
        <w:rPr>
          <w:rFonts w:ascii="Arial" w:cs="Arial" w:eastAsia="Arial" w:hAnsi="Arial"/>
          <w:sz w:val="14"/>
          <w:szCs w:val="14"/>
          <w:color w:val="auto"/>
        </w:rPr>
        <w:t>Assets of our variable interest in Moruga may only be used to settle its own liabilities and creditors of Moruga only have recourse for the liabilities of Moruga. A summary of these balances, which are wholly included in our condensed consolidated balance sheets,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January 31, 2024</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9"/>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Current assets</w:t>
            </w:r>
          </w:p>
        </w:tc>
        <w:tc>
          <w:tcPr>
            <w:tcW w:w="34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27.2</w:t>
            </w:r>
          </w:p>
        </w:tc>
        <w:tc>
          <w:tcPr>
            <w:tcW w:w="50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30.0</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assets</w:t>
            </w:r>
          </w:p>
        </w:tc>
        <w:tc>
          <w:tcPr>
            <w:tcW w:w="3480" w:type="dxa"/>
            <w:vAlign w:val="bottom"/>
          </w:tcPr>
          <w:p>
            <w:pPr>
              <w:spacing w:after="0"/>
              <w:rPr>
                <w:sz w:val="17"/>
                <w:szCs w:val="17"/>
                <w:color w:val="auto"/>
              </w:rPr>
            </w:pPr>
          </w:p>
        </w:tc>
        <w:tc>
          <w:tcPr>
            <w:tcW w:w="1520" w:type="dxa"/>
            <w:vAlign w:val="bottom"/>
          </w:tcPr>
          <w:p>
            <w:pPr>
              <w:jc w:val="right"/>
              <w:ind w:right="151"/>
              <w:spacing w:after="0"/>
              <w:rPr>
                <w:sz w:val="20"/>
                <w:szCs w:val="20"/>
                <w:color w:val="auto"/>
              </w:rPr>
            </w:pPr>
            <w:r>
              <w:rPr>
                <w:rFonts w:ascii="Arial" w:cs="Arial" w:eastAsia="Arial" w:hAnsi="Arial"/>
                <w:sz w:val="14"/>
                <w:szCs w:val="14"/>
                <w:color w:val="auto"/>
              </w:rPr>
              <w:t>71.4</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20"/>
        </w:trPr>
        <w:tc>
          <w:tcPr>
            <w:tcW w:w="4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9"/>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Current liabilities</w:t>
            </w:r>
          </w:p>
        </w:tc>
        <w:tc>
          <w:tcPr>
            <w:tcW w:w="348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12.8</w:t>
            </w:r>
          </w:p>
        </w:tc>
        <w:tc>
          <w:tcPr>
            <w:tcW w:w="50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17.0</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3480" w:type="dxa"/>
            <w:vAlign w:val="bottom"/>
          </w:tcPr>
          <w:p>
            <w:pPr>
              <w:spacing w:after="0"/>
              <w:rPr>
                <w:sz w:val="17"/>
                <w:szCs w:val="17"/>
                <w:color w:val="auto"/>
              </w:rPr>
            </w:pPr>
          </w:p>
        </w:tc>
        <w:tc>
          <w:tcPr>
            <w:tcW w:w="1520" w:type="dxa"/>
            <w:vAlign w:val="bottom"/>
          </w:tcPr>
          <w:p>
            <w:pPr>
              <w:jc w:val="right"/>
              <w:ind w:right="151"/>
              <w:spacing w:after="0"/>
              <w:rPr>
                <w:sz w:val="20"/>
                <w:szCs w:val="20"/>
                <w:color w:val="auto"/>
              </w:rPr>
            </w:pPr>
            <w:r>
              <w:rPr>
                <w:rFonts w:ascii="Arial" w:cs="Arial" w:eastAsia="Arial" w:hAnsi="Arial"/>
                <w:sz w:val="14"/>
                <w:szCs w:val="14"/>
                <w:color w:val="auto"/>
              </w:rPr>
              <w:t>29.7</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380" w:hanging="377"/>
        <w:spacing w:after="0"/>
        <w:tabs>
          <w:tab w:leader="none" w:pos="3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facility</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Long-term debt under our syndicated credit facility with Bank of America (“BoA”) Merrill Lynch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2024</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70"/>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Revolving line of credit. The interest rate is variable, based on SOFR plus a spread that varies with the Company’s leverage</w:t>
            </w:r>
          </w:p>
        </w:tc>
        <w:tc>
          <w:tcPr>
            <w:tcW w:w="42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60.0</w:t>
            </w:r>
          </w:p>
        </w:tc>
        <w:tc>
          <w:tcPr>
            <w:tcW w:w="38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55.0</w:t>
            </w:r>
          </w:p>
        </w:tc>
      </w:tr>
      <w:tr>
        <w:trPr>
          <w:trHeight w:val="168"/>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w w:val="99"/>
              </w:rPr>
              <w:t>ratio. As of January 31, 2024 and October 31, 2023, the interest rate was 7.43% and 7.42%, respectively. Interest is payable</w:t>
            </w:r>
          </w:p>
        </w:tc>
        <w:tc>
          <w:tcPr>
            <w:tcW w:w="42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181"/>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monthly and principal is due in full in October 2027</w:t>
            </w:r>
          </w:p>
        </w:tc>
        <w:tc>
          <w:tcPr>
            <w:tcW w:w="4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73"/>
        </w:trPr>
        <w:tc>
          <w:tcPr>
            <w:tcW w:w="770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SOFR plus a spread that varies with the Company’s leverage</w:t>
            </w:r>
          </w:p>
        </w:tc>
        <w:tc>
          <w:tcPr>
            <w:tcW w:w="420" w:type="dxa"/>
            <w:vAlign w:val="bottom"/>
          </w:tcPr>
          <w:p>
            <w:pPr>
              <w:spacing w:after="0"/>
              <w:rPr>
                <w:sz w:val="15"/>
                <w:szCs w:val="15"/>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46.9</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47.5</w:t>
            </w:r>
          </w:p>
        </w:tc>
      </w:tr>
      <w:tr>
        <w:trPr>
          <w:trHeight w:val="168"/>
        </w:trPr>
        <w:tc>
          <w:tcPr>
            <w:tcW w:w="7700" w:type="dxa"/>
            <w:vAlign w:val="bottom"/>
          </w:tcPr>
          <w:p>
            <w:pPr>
              <w:ind w:left="20"/>
              <w:spacing w:after="0"/>
              <w:rPr>
                <w:sz w:val="20"/>
                <w:szCs w:val="20"/>
                <w:color w:val="auto"/>
              </w:rPr>
            </w:pPr>
            <w:r>
              <w:rPr>
                <w:rFonts w:ascii="Arial" w:cs="Arial" w:eastAsia="Arial" w:hAnsi="Arial"/>
                <w:sz w:val="14"/>
                <w:szCs w:val="14"/>
                <w:color w:val="auto"/>
                <w:w w:val="99"/>
              </w:rPr>
              <w:t>ratio. As of January 31, 2024 and October 31, 2023, the interest rate was 7.43% and 7.42%, respectively. Interest is payable</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0"/>
        </w:trPr>
        <w:tc>
          <w:tcPr>
            <w:tcW w:w="7700" w:type="dxa"/>
            <w:vAlign w:val="bottom"/>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2027.</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3"/>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Senior term loan (A-2). The interest rate is variable, based on SOFR plus a spread that varies with the Company’s leverage</w:t>
            </w:r>
          </w:p>
        </w:tc>
        <w:tc>
          <w:tcPr>
            <w:tcW w:w="42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49.3</w:t>
            </w:r>
          </w:p>
        </w:tc>
        <w:tc>
          <w:tcPr>
            <w:tcW w:w="38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w:t>
            </w:r>
          </w:p>
        </w:tc>
      </w:tr>
      <w:tr>
        <w:trPr>
          <w:trHeight w:val="168"/>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January 31, 2024 and October 31, 2023, the interest rate was 7.68% and 7.67% respectively. Interest is payable</w:t>
            </w:r>
          </w:p>
        </w:tc>
        <w:tc>
          <w:tcPr>
            <w:tcW w:w="42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181"/>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2029.</w:t>
            </w:r>
          </w:p>
        </w:tc>
        <w:tc>
          <w:tcPr>
            <w:tcW w:w="4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73"/>
        </w:trPr>
        <w:tc>
          <w:tcPr>
            <w:tcW w:w="7700" w:type="dxa"/>
            <w:vAlign w:val="bottom"/>
          </w:tcPr>
          <w:p>
            <w:pPr>
              <w:ind w:left="20"/>
              <w:spacing w:after="0"/>
              <w:rPr>
                <w:sz w:val="20"/>
                <w:szCs w:val="20"/>
                <w:color w:val="auto"/>
              </w:rPr>
            </w:pPr>
            <w:r>
              <w:rPr>
                <w:rFonts w:ascii="Arial" w:cs="Arial" w:eastAsia="Arial" w:hAnsi="Arial"/>
                <w:sz w:val="14"/>
                <w:szCs w:val="14"/>
                <w:color w:val="auto"/>
              </w:rPr>
              <w:t>Note payable to BoA. Payable in monthly installments including interest at a rate of 3.96% as of both January 31, 2024 and</w:t>
            </w:r>
          </w:p>
        </w:tc>
        <w:tc>
          <w:tcPr>
            <w:tcW w:w="420" w:type="dxa"/>
            <w:vAlign w:val="bottom"/>
          </w:tcPr>
          <w:p>
            <w:pPr>
              <w:spacing w:after="0"/>
              <w:rPr>
                <w:sz w:val="15"/>
                <w:szCs w:val="15"/>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80"/>
        </w:trPr>
        <w:tc>
          <w:tcPr>
            <w:tcW w:w="7700" w:type="dxa"/>
            <w:vAlign w:val="bottom"/>
          </w:tcPr>
          <w:p>
            <w:pPr>
              <w:ind w:left="20"/>
              <w:spacing w:after="0"/>
              <w:rPr>
                <w:sz w:val="20"/>
                <w:szCs w:val="20"/>
                <w:color w:val="auto"/>
              </w:rPr>
            </w:pPr>
            <w:r>
              <w:rPr>
                <w:rFonts w:ascii="Arial" w:cs="Arial" w:eastAsia="Arial" w:hAnsi="Arial"/>
                <w:sz w:val="14"/>
                <w:szCs w:val="14"/>
                <w:color w:val="auto"/>
              </w:rPr>
              <w:t>October 31, 2023. Principal is due July 2024.</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3"/>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long-term debt</w:t>
            </w:r>
          </w:p>
        </w:tc>
        <w:tc>
          <w:tcPr>
            <w:tcW w:w="42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156.5</w:t>
            </w:r>
          </w:p>
        </w:tc>
        <w:tc>
          <w:tcPr>
            <w:tcW w:w="38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152.4</w:t>
            </w:r>
          </w:p>
        </w:tc>
      </w:tr>
      <w:tr>
        <w:trPr>
          <w:trHeight w:val="199"/>
        </w:trPr>
        <w:tc>
          <w:tcPr>
            <w:tcW w:w="7700" w:type="dxa"/>
            <w:vAlign w:val="bottom"/>
          </w:tcPr>
          <w:p>
            <w:pPr>
              <w:ind w:left="20"/>
              <w:spacing w:after="0"/>
              <w:rPr>
                <w:sz w:val="20"/>
                <w:szCs w:val="20"/>
                <w:color w:val="auto"/>
              </w:rPr>
            </w:pPr>
            <w:r>
              <w:rPr>
                <w:rFonts w:ascii="Arial" w:cs="Arial" w:eastAsia="Arial" w:hAnsi="Arial"/>
                <w:sz w:val="14"/>
                <w:szCs w:val="14"/>
                <w:color w:val="auto"/>
              </w:rPr>
              <w:t>Less debt issuance costs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(0.4)</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42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156.1</w:t>
            </w:r>
          </w:p>
        </w:tc>
        <w:tc>
          <w:tcPr>
            <w:tcW w:w="38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152.0</w:t>
            </w:r>
          </w:p>
        </w:tc>
      </w:tr>
      <w:tr>
        <w:trPr>
          <w:trHeight w:val="199"/>
        </w:trPr>
        <w:tc>
          <w:tcPr>
            <w:tcW w:w="7700" w:type="dxa"/>
            <w:vAlign w:val="bottom"/>
          </w:tcPr>
          <w:p>
            <w:pPr>
              <w:ind w:left="20"/>
              <w:spacing w:after="0"/>
              <w:rPr>
                <w:sz w:val="20"/>
                <w:szCs w:val="20"/>
                <w:color w:val="auto"/>
              </w:rPr>
            </w:pPr>
            <w:r>
              <w:rPr>
                <w:rFonts w:ascii="Arial" w:cs="Arial" w:eastAsia="Arial" w:hAnsi="Arial"/>
                <w:sz w:val="14"/>
                <w:szCs w:val="14"/>
                <w:color w:val="auto"/>
              </w:rPr>
              <w:t>Less current portion of long-term debt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current portion</w:t>
            </w:r>
          </w:p>
        </w:tc>
        <w:tc>
          <w:tcPr>
            <w:tcW w:w="4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152.8</w:t>
            </w:r>
          </w:p>
        </w:tc>
        <w:tc>
          <w:tcPr>
            <w:tcW w:w="3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148.6</w:t>
            </w:r>
          </w:p>
        </w:tc>
      </w:tr>
      <w:tr>
        <w:trPr>
          <w:trHeight w:val="20"/>
        </w:trPr>
        <w:tc>
          <w:tcPr>
            <w:tcW w:w="7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20" w:firstLine="619"/>
        <w:spacing w:after="0" w:line="264" w:lineRule="auto"/>
        <w:rPr>
          <w:sz w:val="20"/>
          <w:szCs w:val="20"/>
          <w:color w:val="auto"/>
        </w:rPr>
      </w:pPr>
      <w:r>
        <w:rPr>
          <w:rFonts w:ascii="Arial" w:cs="Arial" w:eastAsia="Arial" w:hAnsi="Arial"/>
          <w:sz w:val="14"/>
          <w:szCs w:val="14"/>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January 31, 2024, the Company was in compliance with all financial covenants of the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221" w:lineRule="exact"/>
        <w:rPr>
          <w:sz w:val="20"/>
          <w:szCs w:val="20"/>
          <w:color w:val="auto"/>
        </w:rPr>
      </w:pPr>
    </w:p>
    <w:p>
      <w:pPr>
        <w:ind w:right="20" w:firstLine="619"/>
        <w:spacing w:after="0" w:line="259" w:lineRule="auto"/>
        <w:rPr>
          <w:sz w:val="20"/>
          <w:szCs w:val="20"/>
          <w:color w:val="auto"/>
        </w:rPr>
      </w:pPr>
      <w:r>
        <w:rPr>
          <w:rFonts w:ascii="Arial" w:cs="Arial" w:eastAsia="Arial" w:hAnsi="Arial"/>
          <w:sz w:val="14"/>
          <w:szCs w:val="14"/>
          <w:color w:val="auto"/>
        </w:rPr>
        <w:t>Certain of our consolidated subsidiaries may also enter into short-term bank borrowings from time to time. As of January 31, 2024, no short-term borrowings were outstanding as the $2.8 million balance outstanding at October 31, 2023 had been repaid in full. The weighted average variable interest rate on the borrowings were 10.46%. Our Blueberries business also obtains loans from shareholders from time to time, which accrue interest at rates ranging from 5.0 to 6.5%. Amounts outstanding as of January 31, 2024 are expected to be repaid by the end of fiscal 2026.</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Company may issue standby letters of credit through banking institutions. As of January 31, 2024, total letters of credit outstanding were $0.7 million.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swaps</w:t>
      </w:r>
    </w:p>
    <w:p>
      <w:pPr>
        <w:spacing w:after="0" w:line="221" w:lineRule="exact"/>
        <w:rPr>
          <w:sz w:val="20"/>
          <w:szCs w:val="20"/>
          <w:color w:val="auto"/>
        </w:rPr>
      </w:pPr>
    </w:p>
    <w:p>
      <w:pPr>
        <w:ind w:right="80" w:firstLine="619"/>
        <w:spacing w:after="0" w:line="273" w:lineRule="auto"/>
        <w:rPr>
          <w:sz w:val="20"/>
          <w:szCs w:val="20"/>
          <w:color w:val="auto"/>
        </w:rPr>
      </w:pPr>
      <w:r>
        <w:rPr>
          <w:rFonts w:ascii="Arial" w:cs="Arial" w:eastAsia="Arial" w:hAnsi="Arial"/>
          <w:sz w:val="13"/>
          <w:szCs w:val="13"/>
          <w:color w:val="auto"/>
        </w:rPr>
        <w:t>The Company has four separate interest rate swaps with a total notional amount of $100 million to hedge changes in variable interest rates on the principal value of the Company’s term loans. The interest rate swaps carried fixed LIBOR rates ranging from 1.75% to 2.57%. Three of the four interest rate swaps matured during fiscal year 2023. As of January 31, 2024, the remaining interest swap notional amount of $25 million carries a fixed rate of 2.30% and matures in the second quarter of fiscal 2024. We account for the interest rate swaps in accordance with ASC 815, Derivatives and Hedging, as amended, which requires the recognition of all derivative instruments as either assets or liabilities in the consolidated balance sheets and measurement of those instruments at fair value. The Company has not designated the interest rate swaps as cash flow hedges, and as a result under the accounting guidance, changes in the fair value of the interest rate swaps have been recorded in other expense, net in the condensed consolidated statements of income (loss) and changes in the asset are presented in net cash provided by (used in) operating activities in the condensed consolidated statements of cash flow. Refer to Note 9 for more details.</w:t>
      </w:r>
    </w:p>
    <w:p>
      <w:pPr>
        <w:spacing w:after="0" w:line="216" w:lineRule="exact"/>
        <w:rPr>
          <w:sz w:val="20"/>
          <w:szCs w:val="20"/>
          <w:color w:val="auto"/>
        </w:rPr>
      </w:pPr>
    </w:p>
    <w:p>
      <w:pPr>
        <w:ind w:left="440" w:hanging="437"/>
        <w:spacing w:after="0"/>
        <w:tabs>
          <w:tab w:leader="none" w:pos="4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Company is involved from time to time in claims, proceedings, and litigation, including the following:</w:t>
      </w:r>
    </w:p>
    <w:p>
      <w:pPr>
        <w:spacing w:after="0" w:line="213" w:lineRule="exact"/>
        <w:rPr>
          <w:sz w:val="20"/>
          <w:szCs w:val="20"/>
          <w:color w:val="auto"/>
        </w:rPr>
      </w:pPr>
    </w:p>
    <w:p>
      <w:pPr>
        <w:ind w:firstLine="619"/>
        <w:spacing w:after="0" w:line="273" w:lineRule="auto"/>
        <w:rPr>
          <w:sz w:val="20"/>
          <w:szCs w:val="20"/>
          <w:color w:val="auto"/>
        </w:rPr>
      </w:pPr>
      <w:r>
        <w:rPr>
          <w:rFonts w:ascii="Arial" w:cs="Arial" w:eastAsia="Arial" w:hAnsi="Arial"/>
          <w:sz w:val="13"/>
          <w:szCs w:val="13"/>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w:t>
      </w:r>
    </w:p>
    <w:p>
      <w:pPr>
        <w:spacing w:after="0" w:line="174" w:lineRule="exact"/>
        <w:rPr>
          <w:sz w:val="20"/>
          <w:szCs w:val="20"/>
          <w:color w:val="auto"/>
        </w:rPr>
      </w:pPr>
    </w:p>
    <w:p>
      <w:pPr>
        <w:ind w:right="20" w:firstLine="619"/>
        <w:spacing w:after="0" w:line="259" w:lineRule="auto"/>
        <w:rPr>
          <w:sz w:val="20"/>
          <w:szCs w:val="20"/>
          <w:color w:val="auto"/>
        </w:rPr>
      </w:pPr>
      <w:r>
        <w:rPr>
          <w:rFonts w:ascii="Arial" w:cs="Arial" w:eastAsia="Arial" w:hAnsi="Arial"/>
          <w:sz w:val="14"/>
          <w:szCs w:val="14"/>
          <w:color w:val="auto"/>
        </w:rPr>
        <w:t>As a result of a dispute over the size of the settlement class, the Company recorded an additional reserve of $0.2 million in selling, general and administrative expenses in the condensed consolidated statements of income (loss) during the three months ended January 31, 2024. A final approval hearing is scheduled for June 2024.</w:t>
      </w:r>
    </w:p>
    <w:p>
      <w:pPr>
        <w:spacing w:after="0" w:line="181" w:lineRule="exact"/>
        <w:rPr>
          <w:sz w:val="20"/>
          <w:szCs w:val="20"/>
          <w:color w:val="auto"/>
        </w:rPr>
      </w:pPr>
    </w:p>
    <w:p>
      <w:pPr>
        <w:ind w:right="280" w:firstLine="619"/>
        <w:spacing w:after="0" w:line="264" w:lineRule="auto"/>
        <w:rPr>
          <w:sz w:val="20"/>
          <w:szCs w:val="20"/>
          <w:color w:val="auto"/>
        </w:rPr>
      </w:pPr>
      <w:r>
        <w:rPr>
          <w:rFonts w:ascii="Arial" w:cs="Arial" w:eastAsia="Arial" w:hAnsi="Arial"/>
          <w:sz w:val="14"/>
          <w:szCs w:val="14"/>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18" w:lineRule="exact"/>
        <w:rPr>
          <w:sz w:val="20"/>
          <w:szCs w:val="20"/>
          <w:color w:val="auto"/>
        </w:rPr>
      </w:pPr>
    </w:p>
    <w:p>
      <w:pPr>
        <w:ind w:left="380" w:hanging="377"/>
        <w:spacing w:after="0"/>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8" w:lineRule="exact"/>
        <w:rPr>
          <w:sz w:val="20"/>
          <w:szCs w:val="20"/>
          <w:color w:val="auto"/>
        </w:rPr>
      </w:pPr>
    </w:p>
    <w:p>
      <w:pPr>
        <w:ind w:right="120" w:firstLine="619"/>
        <w:spacing w:after="0" w:line="259" w:lineRule="auto"/>
        <w:rPr>
          <w:sz w:val="20"/>
          <w:szCs w:val="20"/>
          <w:color w:val="auto"/>
        </w:rPr>
      </w:pPr>
      <w:r>
        <w:rPr>
          <w:rFonts w:ascii="Arial" w:cs="Arial" w:eastAsia="Arial" w:hAnsi="Arial"/>
          <w:sz w:val="14"/>
          <w:szCs w:val="14"/>
          <w:color w:val="auto"/>
        </w:rPr>
        <w:t>The provision for income tax recorded for the three months ended January 31, 2024 and 2023 differs from the income taxes expected at the U.S. federal statutory tax rate of 21.0%, primarily due to income attributable to foreign jurisdictions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83"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taxed at different rates, changes in foreign exchange rates taxable in foreign jurisdictions, state taxes, nondeductible tax items, changes in uncertain tax positions (“UTP”), and changes in tax law affecting the rate in future years.</w:t>
      </w:r>
    </w:p>
    <w:p>
      <w:pPr>
        <w:spacing w:after="0" w:line="168" w:lineRule="exact"/>
        <w:rPr>
          <w:sz w:val="20"/>
          <w:szCs w:val="20"/>
          <w:color w:val="auto"/>
        </w:rPr>
      </w:pPr>
    </w:p>
    <w:p>
      <w:pPr>
        <w:ind w:right="200" w:firstLine="619"/>
        <w:spacing w:after="0" w:line="264" w:lineRule="auto"/>
        <w:rPr>
          <w:sz w:val="20"/>
          <w:szCs w:val="20"/>
          <w:color w:val="auto"/>
        </w:rPr>
      </w:pPr>
      <w:r>
        <w:rPr>
          <w:rFonts w:ascii="Arial" w:cs="Arial" w:eastAsia="Arial" w:hAnsi="Arial"/>
          <w:sz w:val="14"/>
          <w:szCs w:val="14"/>
          <w:color w:val="auto"/>
        </w:rPr>
        <w:t>As of January 31, 2024, the Company had $18.1 million accrued in UTP on income taxes, of which $10.0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net in the condensed consolidated statements of income (loss).</w:t>
      </w:r>
    </w:p>
    <w:p>
      <w:pPr>
        <w:spacing w:after="0" w:line="200" w:lineRule="exact"/>
        <w:rPr>
          <w:sz w:val="20"/>
          <w:szCs w:val="20"/>
          <w:color w:val="auto"/>
        </w:rPr>
      </w:pPr>
    </w:p>
    <w:p>
      <w:pPr>
        <w:spacing w:after="0" w:line="237" w:lineRule="exact"/>
        <w:rPr>
          <w:sz w:val="20"/>
          <w:szCs w:val="20"/>
          <w:color w:val="auto"/>
        </w:rPr>
      </w:pPr>
    </w:p>
    <w:p>
      <w:pPr>
        <w:ind w:left="380" w:hanging="377"/>
        <w:spacing w:after="0"/>
        <w:tabs>
          <w:tab w:leader="none" w:pos="3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Financial assets measured and recorded at fair value on a recurring basis included in the condensed consolidated balance sheets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January 31, 2024</w:t>
            </w:r>
          </w:p>
        </w:tc>
        <w:tc>
          <w:tcPr>
            <w:tcW w:w="10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October 31, 2023</w:t>
            </w:r>
          </w:p>
        </w:tc>
        <w:tc>
          <w:tcPr>
            <w:tcW w:w="1000" w:type="dxa"/>
            <w:vAlign w:val="bottom"/>
            <w:tcBorders>
              <w:bottom w:val="single" w:sz="8" w:color="auto"/>
            </w:tcBorders>
          </w:tcPr>
          <w:p>
            <w:pPr>
              <w:spacing w:after="0"/>
              <w:rPr>
                <w:sz w:val="17"/>
                <w:szCs w:val="17"/>
                <w:color w:val="auto"/>
              </w:rPr>
            </w:pPr>
          </w:p>
        </w:tc>
      </w:tr>
      <w:tr>
        <w:trPr>
          <w:trHeight w:val="150"/>
        </w:trPr>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Significant</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Significant</w:t>
            </w:r>
          </w:p>
        </w:tc>
        <w:tc>
          <w:tcPr>
            <w:tcW w:w="1000" w:type="dxa"/>
            <w:vAlign w:val="bottom"/>
          </w:tcPr>
          <w:p>
            <w:pPr>
              <w:spacing w:after="0"/>
              <w:rPr>
                <w:sz w:val="13"/>
                <w:szCs w:val="13"/>
                <w:color w:val="auto"/>
              </w:rPr>
            </w:pPr>
          </w:p>
        </w:tc>
      </w:tr>
      <w:tr>
        <w:trPr>
          <w:trHeight w:val="142"/>
        </w:trPr>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Quoted Prices</w:t>
            </w:r>
          </w:p>
        </w:tc>
        <w:tc>
          <w:tcPr>
            <w:tcW w:w="340" w:type="dxa"/>
            <w:vAlign w:val="bottom"/>
          </w:tcPr>
          <w:p>
            <w:pPr>
              <w:spacing w:after="0"/>
              <w:rPr>
                <w:sz w:val="12"/>
                <w:szCs w:val="12"/>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Other</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Significant</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Quoted Prices</w:t>
            </w:r>
          </w:p>
        </w:tc>
        <w:tc>
          <w:tcPr>
            <w:tcW w:w="340" w:type="dxa"/>
            <w:vAlign w:val="bottom"/>
          </w:tcPr>
          <w:p>
            <w:pPr>
              <w:spacing w:after="0"/>
              <w:rPr>
                <w:sz w:val="12"/>
                <w:szCs w:val="12"/>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Other</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Significant</w:t>
            </w:r>
          </w:p>
        </w:tc>
      </w:tr>
      <w:tr>
        <w:trPr>
          <w:trHeight w:val="142"/>
        </w:trPr>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in Active</w:t>
            </w:r>
          </w:p>
        </w:tc>
        <w:tc>
          <w:tcPr>
            <w:tcW w:w="340" w:type="dxa"/>
            <w:vAlign w:val="bottom"/>
          </w:tcPr>
          <w:p>
            <w:pPr>
              <w:spacing w:after="0"/>
              <w:rPr>
                <w:sz w:val="12"/>
                <w:szCs w:val="12"/>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Observable</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Unobservable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in Active</w:t>
            </w:r>
          </w:p>
        </w:tc>
        <w:tc>
          <w:tcPr>
            <w:tcW w:w="340" w:type="dxa"/>
            <w:vAlign w:val="bottom"/>
          </w:tcPr>
          <w:p>
            <w:pPr>
              <w:spacing w:after="0"/>
              <w:rPr>
                <w:sz w:val="12"/>
                <w:szCs w:val="12"/>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Observable</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Unobservable</w:t>
            </w:r>
          </w:p>
        </w:tc>
      </w:tr>
      <w:tr>
        <w:trPr>
          <w:trHeight w:val="155"/>
        </w:trPr>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Markets</w:t>
            </w:r>
          </w:p>
        </w:tc>
        <w:tc>
          <w:tcPr>
            <w:tcW w:w="340" w:type="dxa"/>
            <w:vAlign w:val="bottom"/>
          </w:tcPr>
          <w:p>
            <w:pPr>
              <w:spacing w:after="0"/>
              <w:rPr>
                <w:sz w:val="13"/>
                <w:szCs w:val="13"/>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Inputs</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Inputs</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16"/>
              <w:spacing w:after="0"/>
              <w:rPr>
                <w:sz w:val="20"/>
                <w:szCs w:val="20"/>
                <w:color w:val="auto"/>
              </w:rPr>
            </w:pPr>
            <w:r>
              <w:rPr>
                <w:rFonts w:ascii="Arial" w:cs="Arial" w:eastAsia="Arial" w:hAnsi="Arial"/>
                <w:sz w:val="12"/>
                <w:szCs w:val="12"/>
                <w:b w:val="1"/>
                <w:bCs w:val="1"/>
                <w:color w:val="auto"/>
              </w:rPr>
              <w:t>Markets</w:t>
            </w:r>
          </w:p>
        </w:tc>
        <w:tc>
          <w:tcPr>
            <w:tcW w:w="340" w:type="dxa"/>
            <w:vAlign w:val="bottom"/>
          </w:tcPr>
          <w:p>
            <w:pPr>
              <w:spacing w:after="0"/>
              <w:rPr>
                <w:sz w:val="13"/>
                <w:szCs w:val="13"/>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Inputs</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Inputs</w:t>
            </w:r>
          </w:p>
        </w:tc>
      </w:tr>
      <w:tr>
        <w:trPr>
          <w:trHeight w:val="179"/>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left="134"/>
              <w:spacing w:after="0"/>
              <w:rPr>
                <w:sz w:val="20"/>
                <w:szCs w:val="20"/>
                <w:color w:val="auto"/>
              </w:rPr>
            </w:pPr>
            <w:r>
              <w:rPr>
                <w:rFonts w:ascii="Arial" w:cs="Arial" w:eastAsia="Arial" w:hAnsi="Arial"/>
                <w:sz w:val="12"/>
                <w:szCs w:val="12"/>
                <w:b w:val="1"/>
                <w:bCs w:val="1"/>
                <w:color w:val="auto"/>
                <w:w w:val="97"/>
              </w:rPr>
              <w:t>Total</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b w:val="1"/>
                <w:bCs w:val="1"/>
                <w:color w:val="auto"/>
              </w:rPr>
              <w:t>(Level 2)</w:t>
            </w: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(Level 3)</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left="134"/>
              <w:spacing w:after="0"/>
              <w:rPr>
                <w:sz w:val="20"/>
                <w:szCs w:val="20"/>
                <w:color w:val="auto"/>
              </w:rPr>
            </w:pPr>
            <w:r>
              <w:rPr>
                <w:rFonts w:ascii="Arial" w:cs="Arial" w:eastAsia="Arial" w:hAnsi="Arial"/>
                <w:sz w:val="12"/>
                <w:szCs w:val="12"/>
                <w:b w:val="1"/>
                <w:bCs w:val="1"/>
                <w:color w:val="auto"/>
                <w:w w:val="97"/>
              </w:rPr>
              <w:t>Total</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37"/>
              <w:spacing w:after="0"/>
              <w:rPr>
                <w:sz w:val="20"/>
                <w:szCs w:val="20"/>
                <w:color w:val="auto"/>
              </w:rPr>
            </w:pPr>
            <w:r>
              <w:rPr>
                <w:rFonts w:ascii="Arial" w:cs="Arial" w:eastAsia="Arial" w:hAnsi="Arial"/>
                <w:sz w:val="12"/>
                <w:szCs w:val="12"/>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r>
      <w:tr>
        <w:trPr>
          <w:trHeight w:val="219"/>
        </w:trPr>
        <w:tc>
          <w:tcPr>
            <w:tcW w:w="14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199"/>
        </w:trPr>
        <w:tc>
          <w:tcPr>
            <w:tcW w:w="148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00" w:type="dxa"/>
            <w:vAlign w:val="bottom"/>
          </w:tcPr>
          <w:p>
            <w:pPr>
              <w:jc w:val="center"/>
              <w:ind w:left="114"/>
              <w:spacing w:after="0"/>
              <w:rPr>
                <w:sz w:val="20"/>
                <w:szCs w:val="20"/>
                <w:color w:val="auto"/>
              </w:rPr>
            </w:pPr>
            <w:r>
              <w:rPr>
                <w:rFonts w:ascii="Arial" w:cs="Arial" w:eastAsia="Arial" w:hAnsi="Arial"/>
                <w:sz w:val="14"/>
                <w:szCs w:val="14"/>
                <w:color w:val="auto"/>
                <w:w w:val="92"/>
              </w:rPr>
              <w:t>1.7</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
              <w:spacing w:after="0"/>
              <w:rPr>
                <w:sz w:val="20"/>
                <w:szCs w:val="20"/>
                <w:color w:val="auto"/>
              </w:rPr>
            </w:pPr>
            <w:r>
              <w:rPr>
                <w:rFonts w:ascii="Arial" w:cs="Arial" w:eastAsia="Arial" w:hAnsi="Arial"/>
                <w:sz w:val="14"/>
                <w:szCs w:val="14"/>
                <w:color w:val="auto"/>
              </w:rPr>
              <w:t>1.7</w:t>
            </w:r>
          </w:p>
        </w:tc>
        <w:tc>
          <w:tcPr>
            <w:tcW w:w="3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7"/>
              <w:spacing w:after="0"/>
              <w:rPr>
                <w:sz w:val="20"/>
                <w:szCs w:val="20"/>
                <w:color w:val="auto"/>
              </w:rPr>
            </w:pPr>
            <w:r>
              <w:rPr>
                <w:rFonts w:ascii="Arial" w:cs="Arial" w:eastAsia="Arial" w:hAnsi="Arial"/>
                <w:sz w:val="14"/>
                <w:szCs w:val="14"/>
                <w:color w:val="auto"/>
              </w:rPr>
              <w:t>—  $</w:t>
            </w:r>
          </w:p>
        </w:tc>
        <w:tc>
          <w:tcPr>
            <w:tcW w:w="11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00" w:type="dxa"/>
            <w:vAlign w:val="bottom"/>
          </w:tcPr>
          <w:p>
            <w:pPr>
              <w:jc w:val="center"/>
              <w:ind w:left="114"/>
              <w:spacing w:after="0"/>
              <w:rPr>
                <w:sz w:val="20"/>
                <w:szCs w:val="20"/>
                <w:color w:val="auto"/>
              </w:rPr>
            </w:pPr>
            <w:r>
              <w:rPr>
                <w:rFonts w:ascii="Arial" w:cs="Arial" w:eastAsia="Arial" w:hAnsi="Arial"/>
                <w:sz w:val="14"/>
                <w:szCs w:val="14"/>
                <w:color w:val="auto"/>
                <w:w w:val="92"/>
              </w:rPr>
              <w:t>1.4</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
              <w:spacing w:after="0"/>
              <w:rPr>
                <w:sz w:val="20"/>
                <w:szCs w:val="20"/>
                <w:color w:val="auto"/>
              </w:rPr>
            </w:pPr>
            <w:r>
              <w:rPr>
                <w:rFonts w:ascii="Arial" w:cs="Arial" w:eastAsia="Arial" w:hAnsi="Arial"/>
                <w:sz w:val="14"/>
                <w:szCs w:val="14"/>
                <w:color w:val="auto"/>
              </w:rPr>
              <w:t>1.4</w:t>
            </w:r>
          </w:p>
        </w:tc>
        <w:tc>
          <w:tcPr>
            <w:tcW w:w="3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37"/>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9"/>
        </w:trPr>
        <w:tc>
          <w:tcPr>
            <w:tcW w:w="1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rate swap</w:t>
            </w:r>
          </w:p>
        </w:tc>
        <w:tc>
          <w:tcPr>
            <w:tcW w:w="3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center"/>
              <w:ind w:left="114"/>
              <w:spacing w:after="0"/>
              <w:rPr>
                <w:sz w:val="20"/>
                <w:szCs w:val="20"/>
                <w:color w:val="auto"/>
              </w:rPr>
            </w:pPr>
            <w:r>
              <w:rPr>
                <w:rFonts w:ascii="Arial" w:cs="Arial" w:eastAsia="Arial" w:hAnsi="Arial"/>
                <w:sz w:val="14"/>
                <w:szCs w:val="14"/>
                <w:color w:val="auto"/>
                <w:w w:val="92"/>
              </w:rPr>
              <w:t>0.2</w:t>
            </w:r>
          </w:p>
        </w:tc>
        <w:tc>
          <w:tcPr>
            <w:tcW w:w="24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ind w:right="377"/>
              <w:spacing w:after="0"/>
              <w:rPr>
                <w:sz w:val="20"/>
                <w:szCs w:val="20"/>
                <w:color w:val="auto"/>
              </w:rPr>
            </w:pPr>
            <w:r>
              <w:rPr>
                <w:rFonts w:ascii="Arial" w:cs="Arial" w:eastAsia="Arial" w:hAnsi="Arial"/>
                <w:sz w:val="14"/>
                <w:szCs w:val="14"/>
                <w:color w:val="auto"/>
              </w:rPr>
              <w:t>0.2</w:t>
            </w:r>
          </w:p>
        </w:tc>
        <w:tc>
          <w:tcPr>
            <w:tcW w:w="1180" w:type="dxa"/>
            <w:vAlign w:val="bottom"/>
            <w:tcBorders>
              <w:bottom w:val="single" w:sz="8" w:color="DBDBDB"/>
            </w:tcBorders>
            <w:gridSpan w:val="2"/>
            <w:shd w:val="clear" w:color="auto" w:fill="DBDBDB"/>
          </w:tcPr>
          <w:p>
            <w:pPr>
              <w:ind w:left="8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center"/>
              <w:ind w:left="114"/>
              <w:spacing w:after="0"/>
              <w:rPr>
                <w:sz w:val="20"/>
                <w:szCs w:val="20"/>
                <w:color w:val="auto"/>
              </w:rPr>
            </w:pPr>
            <w:r>
              <w:rPr>
                <w:rFonts w:ascii="Arial" w:cs="Arial" w:eastAsia="Arial" w:hAnsi="Arial"/>
                <w:sz w:val="14"/>
                <w:szCs w:val="14"/>
                <w:color w:val="auto"/>
                <w:w w:val="92"/>
              </w:rPr>
              <w:t>0.4</w:t>
            </w:r>
          </w:p>
        </w:tc>
        <w:tc>
          <w:tcPr>
            <w:tcW w:w="26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ind w:right="397"/>
              <w:spacing w:after="0"/>
              <w:rPr>
                <w:sz w:val="20"/>
                <w:szCs w:val="20"/>
                <w:color w:val="auto"/>
              </w:rPr>
            </w:pPr>
            <w:r>
              <w:rPr>
                <w:rFonts w:ascii="Arial" w:cs="Arial" w:eastAsia="Arial" w:hAnsi="Arial"/>
                <w:sz w:val="14"/>
                <w:szCs w:val="14"/>
                <w:color w:val="auto"/>
              </w:rPr>
              <w:t>0.4</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mutual fund investments relate to our deferred compensation plan, which are held in a Rabbi trust which is included in other assets in our 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funds are measured at quoted prices in active markets, which is equivalent to their fair value.</w:t>
      </w:r>
    </w:p>
    <w:p>
      <w:pPr>
        <w:spacing w:after="0" w:line="188"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January 31, 2024 and October 31, 2023,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assets associated with the interest rate swaps have been included in prepaid expenses and other current assets in the condensed consolidated balance sheets and gains and losses for the interest rate swaps have been included in other expense, net in the condensed consolidated statements of income (loss).</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tab/>
        <w:t>Earnings Per Share</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b w:val="1"/>
                <w:bCs w:val="1"/>
                <w:color w:val="auto"/>
              </w:rPr>
              <w:t>January 31,</w:t>
            </w:r>
          </w:p>
        </w:tc>
        <w:tc>
          <w:tcPr>
            <w:tcW w:w="800" w:type="dxa"/>
            <w:vAlign w:val="bottom"/>
            <w:tcBorders>
              <w:bottom w:val="single" w:sz="8" w:color="auto"/>
            </w:tcBorders>
          </w:tcPr>
          <w:p>
            <w:pPr>
              <w:spacing w:after="0"/>
              <w:rPr>
                <w:sz w:val="17"/>
                <w:szCs w:val="17"/>
                <w:color w:val="auto"/>
              </w:rPr>
            </w:pPr>
          </w:p>
        </w:tc>
      </w:tr>
      <w:tr>
        <w:trPr>
          <w:trHeight w:val="212"/>
        </w:trPr>
        <w:tc>
          <w:tcPr>
            <w:tcW w:w="7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219"/>
        </w:trPr>
        <w:tc>
          <w:tcPr>
            <w:tcW w:w="7980" w:type="dxa"/>
            <w:vAlign w:val="bottom"/>
            <w:shd w:val="clear" w:color="auto" w:fill="DBDBDB"/>
          </w:tcPr>
          <w:p>
            <w:pPr>
              <w:spacing w:after="0"/>
              <w:rPr>
                <w:sz w:val="20"/>
                <w:szCs w:val="20"/>
                <w:color w:val="auto"/>
              </w:rPr>
            </w:pPr>
            <w:r>
              <w:rPr>
                <w:rFonts w:ascii="Arial" w:cs="Arial" w:eastAsia="Arial" w:hAnsi="Arial"/>
                <w:sz w:val="14"/>
                <w:szCs w:val="14"/>
                <w:b w:val="1"/>
                <w:bCs w:val="1"/>
                <w:color w:val="auto"/>
              </w:rPr>
              <w:t>Numerator:</w:t>
            </w:r>
          </w:p>
        </w:tc>
        <w:tc>
          <w:tcPr>
            <w:tcW w:w="38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199"/>
        </w:trPr>
        <w:tc>
          <w:tcPr>
            <w:tcW w:w="7980" w:type="dxa"/>
            <w:vAlign w:val="bottom"/>
          </w:tcPr>
          <w:p>
            <w:pPr>
              <w:spacing w:after="0"/>
              <w:rPr>
                <w:sz w:val="20"/>
                <w:szCs w:val="20"/>
                <w:color w:val="auto"/>
              </w:rPr>
            </w:pPr>
            <w:r>
              <w:rPr>
                <w:rFonts w:ascii="Arial" w:cs="Arial" w:eastAsia="Arial" w:hAnsi="Arial"/>
                <w:sz w:val="14"/>
                <w:szCs w:val="14"/>
                <w:color w:val="auto"/>
              </w:rPr>
              <w:t>Net loss attributable to Mission Produce (in millions)</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2"/>
        </w:trPr>
        <w:tc>
          <w:tcPr>
            <w:tcW w:w="7980" w:type="dxa"/>
            <w:vAlign w:val="bottom"/>
            <w:shd w:val="clear" w:color="auto" w:fill="DBDBDB"/>
          </w:tcPr>
          <w:p>
            <w:pPr>
              <w:spacing w:after="0"/>
              <w:rPr>
                <w:sz w:val="20"/>
                <w:szCs w:val="20"/>
                <w:color w:val="auto"/>
              </w:rPr>
            </w:pPr>
            <w:r>
              <w:rPr>
                <w:rFonts w:ascii="Arial" w:cs="Arial" w:eastAsia="Arial" w:hAnsi="Arial"/>
                <w:sz w:val="14"/>
                <w:szCs w:val="14"/>
                <w:b w:val="1"/>
                <w:bCs w:val="1"/>
                <w:color w:val="auto"/>
              </w:rPr>
              <w:t>Denominator:</w:t>
            </w:r>
          </w:p>
        </w:tc>
        <w:tc>
          <w:tcPr>
            <w:tcW w:w="3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199"/>
        </w:trPr>
        <w:tc>
          <w:tcPr>
            <w:tcW w:w="7980" w:type="dxa"/>
            <w:vAlign w:val="bottom"/>
          </w:tcPr>
          <w:p>
            <w:pPr>
              <w:spacing w:after="0"/>
              <w:rPr>
                <w:sz w:val="20"/>
                <w:szCs w:val="20"/>
                <w:color w:val="auto"/>
              </w:rPr>
            </w:pPr>
            <w:r>
              <w:rPr>
                <w:rFonts w:ascii="Arial" w:cs="Arial" w:eastAsia="Arial" w:hAnsi="Arial"/>
                <w:sz w:val="14"/>
                <w:szCs w:val="14"/>
                <w:color w:val="auto"/>
              </w:rPr>
              <w:t>Weighted average shares of common stock outstanding, used in computing basic earnings per share</w:t>
            </w:r>
          </w:p>
        </w:tc>
        <w:tc>
          <w:tcPr>
            <w:tcW w:w="38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70,761,022</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70,688,785</w:t>
            </w:r>
          </w:p>
        </w:tc>
      </w:tr>
      <w:tr>
        <w:trPr>
          <w:trHeight w:val="20"/>
        </w:trPr>
        <w:tc>
          <w:tcPr>
            <w:tcW w:w="7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79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Effect of dilutive stock options</w:t>
            </w:r>
          </w:p>
        </w:tc>
        <w:tc>
          <w:tcPr>
            <w:tcW w:w="38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980" w:type="dxa"/>
            <w:vAlign w:val="bottom"/>
          </w:tcPr>
          <w:p>
            <w:pPr>
              <w:spacing w:after="0"/>
              <w:rPr>
                <w:sz w:val="20"/>
                <w:szCs w:val="20"/>
                <w:color w:val="auto"/>
              </w:rPr>
            </w:pPr>
            <w:r>
              <w:rPr>
                <w:rFonts w:ascii="Arial" w:cs="Arial" w:eastAsia="Arial" w:hAnsi="Arial"/>
                <w:sz w:val="14"/>
                <w:szCs w:val="14"/>
                <w:color w:val="auto"/>
              </w:rPr>
              <w:t>Effect of dilutive RSUs</w:t>
            </w:r>
          </w:p>
        </w:tc>
        <w:tc>
          <w:tcPr>
            <w:tcW w:w="38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Weighted average shares of common stock outstanding, used in computing diluted earnings per share</w:t>
            </w:r>
          </w:p>
        </w:tc>
        <w:tc>
          <w:tcPr>
            <w:tcW w:w="3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70,761,022</w:t>
            </w:r>
          </w:p>
        </w:tc>
        <w:tc>
          <w:tcPr>
            <w:tcW w:w="74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70,688,785</w:t>
            </w:r>
          </w:p>
        </w:tc>
      </w:tr>
      <w:tr>
        <w:trPr>
          <w:trHeight w:val="192"/>
        </w:trPr>
        <w:tc>
          <w:tcPr>
            <w:tcW w:w="7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Earnings per share</w:t>
            </w:r>
          </w:p>
        </w:tc>
        <w:tc>
          <w:tcPr>
            <w:tcW w:w="3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79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0.00</w:t>
            </w:r>
          </w:p>
        </w:tc>
        <w:tc>
          <w:tcPr>
            <w:tcW w:w="740" w:type="dxa"/>
            <w:vAlign w:val="bottom"/>
            <w:tcBorders>
              <w:bottom w:val="single" w:sz="8" w:color="DBDBDB"/>
            </w:tcBorders>
            <w:shd w:val="clear" w:color="auto" w:fill="DBDBDB"/>
          </w:tcPr>
          <w:p>
            <w:pPr>
              <w:jc w:val="right"/>
              <w:ind w:right="4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(0.12)</w:t>
            </w:r>
          </w:p>
        </w:tc>
      </w:tr>
      <w:tr>
        <w:trPr>
          <w:trHeight w:val="199"/>
        </w:trPr>
        <w:tc>
          <w:tcPr>
            <w:tcW w:w="7980" w:type="dxa"/>
            <w:vAlign w:val="bottom"/>
          </w:tcPr>
          <w:p>
            <w:pPr>
              <w:ind w:left="160"/>
              <w:spacing w:after="0"/>
              <w:rPr>
                <w:sz w:val="20"/>
                <w:szCs w:val="20"/>
                <w:color w:val="auto"/>
              </w:rPr>
            </w:pPr>
            <w:r>
              <w:rPr>
                <w:rFonts w:ascii="Arial" w:cs="Arial" w:eastAsia="Arial" w:hAnsi="Arial"/>
                <w:sz w:val="14"/>
                <w:szCs w:val="14"/>
                <w:color w:val="auto"/>
              </w:rPr>
              <w:t>Diluted</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0.00</w:t>
            </w:r>
          </w:p>
        </w:tc>
        <w:tc>
          <w:tcPr>
            <w:tcW w:w="74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(0.12)</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40" w:firstLine="619"/>
        <w:spacing w:after="0" w:line="278" w:lineRule="auto"/>
        <w:rPr>
          <w:sz w:val="20"/>
          <w:szCs w:val="20"/>
          <w:color w:val="auto"/>
        </w:rPr>
      </w:pPr>
      <w:r>
        <w:rPr>
          <w:rFonts w:ascii="Arial" w:cs="Arial" w:eastAsia="Arial" w:hAnsi="Arial"/>
          <w:sz w:val="14"/>
          <w:szCs w:val="14"/>
          <w:color w:val="auto"/>
        </w:rPr>
        <w:t>Equity awards representing shares of common stock outstanding that were excluded in the computation of diluted earnings per share because their effect would have been anti-dilutive as a result of applying the treasury stock method,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0" w:type="dxa"/>
            <w:vAlign w:val="bottom"/>
          </w:tcPr>
          <w:p>
            <w:pPr>
              <w:spacing w:after="0"/>
              <w:rPr>
                <w:sz w:val="14"/>
                <w:szCs w:val="14"/>
                <w:color w:val="auto"/>
              </w:rPr>
            </w:pPr>
          </w:p>
        </w:tc>
        <w:tc>
          <w:tcPr>
            <w:tcW w:w="2340" w:type="dxa"/>
            <w:vAlign w:val="bottom"/>
          </w:tcPr>
          <w:p>
            <w:pPr>
              <w:jc w:val="right"/>
              <w:ind w:right="71"/>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r>
      <w:tr>
        <w:trPr>
          <w:trHeight w:val="196"/>
        </w:trPr>
        <w:tc>
          <w:tcPr>
            <w:tcW w:w="8200" w:type="dxa"/>
            <w:vAlign w:val="bottom"/>
          </w:tcPr>
          <w:p>
            <w:pPr>
              <w:spacing w:after="0"/>
              <w:rPr>
                <w:sz w:val="17"/>
                <w:szCs w:val="17"/>
                <w:color w:val="auto"/>
              </w:rPr>
            </w:pPr>
          </w:p>
        </w:tc>
        <w:tc>
          <w:tcPr>
            <w:tcW w:w="23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January 31,</w:t>
            </w:r>
          </w:p>
        </w:tc>
        <w:tc>
          <w:tcPr>
            <w:tcW w:w="700" w:type="dxa"/>
            <w:vAlign w:val="bottom"/>
            <w:tcBorders>
              <w:bottom w:val="single" w:sz="8" w:color="auto"/>
            </w:tcBorders>
          </w:tcPr>
          <w:p>
            <w:pPr>
              <w:spacing w:after="0"/>
              <w:rPr>
                <w:sz w:val="17"/>
                <w:szCs w:val="17"/>
                <w:color w:val="auto"/>
              </w:rPr>
            </w:pPr>
          </w:p>
        </w:tc>
      </w:tr>
      <w:tr>
        <w:trPr>
          <w:trHeight w:val="212"/>
        </w:trPr>
        <w:tc>
          <w:tcPr>
            <w:tcW w:w="8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8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Anti-dilutive stock options</w:t>
            </w:r>
          </w:p>
        </w:tc>
        <w:tc>
          <w:tcPr>
            <w:tcW w:w="234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4"/>
                <w:szCs w:val="14"/>
                <w:color w:val="auto"/>
              </w:rPr>
              <w:t>2,078,268</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547,187</w:t>
            </w:r>
          </w:p>
        </w:tc>
      </w:tr>
      <w:tr>
        <w:trPr>
          <w:trHeight w:val="199"/>
        </w:trPr>
        <w:tc>
          <w:tcPr>
            <w:tcW w:w="8200" w:type="dxa"/>
            <w:vAlign w:val="bottom"/>
          </w:tcPr>
          <w:p>
            <w:pPr>
              <w:ind w:left="20"/>
              <w:spacing w:after="0"/>
              <w:rPr>
                <w:sz w:val="20"/>
                <w:szCs w:val="20"/>
                <w:color w:val="auto"/>
              </w:rPr>
            </w:pPr>
            <w:r>
              <w:rPr>
                <w:rFonts w:ascii="Arial" w:cs="Arial" w:eastAsia="Arial" w:hAnsi="Arial"/>
                <w:sz w:val="14"/>
                <w:szCs w:val="14"/>
                <w:color w:val="auto"/>
              </w:rPr>
              <w:t>Anti-dilutive RSUs</w:t>
            </w:r>
          </w:p>
        </w:tc>
        <w:tc>
          <w:tcPr>
            <w:tcW w:w="2340" w:type="dxa"/>
            <w:vAlign w:val="bottom"/>
          </w:tcPr>
          <w:p>
            <w:pPr>
              <w:jc w:val="right"/>
              <w:ind w:right="891"/>
              <w:spacing w:after="0"/>
              <w:rPr>
                <w:sz w:val="20"/>
                <w:szCs w:val="20"/>
                <w:color w:val="auto"/>
              </w:rPr>
            </w:pPr>
            <w:r>
              <w:rPr>
                <w:rFonts w:ascii="Arial" w:cs="Arial" w:eastAsia="Arial" w:hAnsi="Arial"/>
                <w:sz w:val="14"/>
                <w:szCs w:val="14"/>
                <w:color w:val="auto"/>
              </w:rPr>
              <w:t>634,360</w:t>
            </w:r>
          </w:p>
        </w:tc>
        <w:tc>
          <w:tcPr>
            <w:tcW w:w="700" w:type="dxa"/>
            <w:vAlign w:val="bottom"/>
          </w:tcPr>
          <w:p>
            <w:pPr>
              <w:jc w:val="right"/>
              <w:spacing w:after="0"/>
              <w:rPr>
                <w:sz w:val="20"/>
                <w:szCs w:val="20"/>
                <w:color w:val="auto"/>
              </w:rPr>
            </w:pPr>
            <w:r>
              <w:rPr>
                <w:rFonts w:ascii="Arial" w:cs="Arial" w:eastAsia="Arial" w:hAnsi="Arial"/>
                <w:sz w:val="14"/>
                <w:szCs w:val="14"/>
                <w:color w:val="auto"/>
              </w:rPr>
              <w:t>287,780</w:t>
            </w: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Arial" w:cs="Arial" w:eastAsia="Arial" w:hAnsi="Arial"/>
                <w:sz w:val="17"/>
                <w:szCs w:val="17"/>
                <w:b w:val="1"/>
                <w:bCs w:val="1"/>
                <w:color w:val="auto"/>
              </w:rPr>
              <w:t>11.</w:t>
            </w:r>
          </w:p>
        </w:tc>
        <w:tc>
          <w:tcPr>
            <w:tcW w:w="236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Related Party Transactions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7"/>
        </w:trPr>
        <w:tc>
          <w:tcPr>
            <w:tcW w:w="420" w:type="dxa"/>
            <w:vAlign w:val="bottom"/>
          </w:tcPr>
          <w:p>
            <w:pPr>
              <w:spacing w:after="0"/>
              <w:rPr>
                <w:sz w:val="24"/>
                <w:szCs w:val="24"/>
                <w:color w:val="auto"/>
              </w:rPr>
            </w:pPr>
          </w:p>
        </w:tc>
        <w:tc>
          <w:tcPr>
            <w:tcW w:w="7280" w:type="dxa"/>
            <w:vAlign w:val="bottom"/>
            <w:gridSpan w:val="14"/>
          </w:tcPr>
          <w:p>
            <w:pPr>
              <w:jc w:val="right"/>
              <w:ind w:right="340"/>
              <w:spacing w:after="0"/>
              <w:rPr>
                <w:sz w:val="20"/>
                <w:szCs w:val="20"/>
                <w:color w:val="auto"/>
              </w:rPr>
            </w:pPr>
            <w:r>
              <w:rPr>
                <w:rFonts w:ascii="Arial" w:cs="Arial" w:eastAsia="Arial" w:hAnsi="Arial"/>
                <w:sz w:val="14"/>
                <w:szCs w:val="14"/>
                <w:color w:val="auto"/>
              </w:rPr>
              <w:t>Transactions with related parties included in the condensed consolidated financial statements were as follows:</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4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rPr>
              <w:t>Condensed Consolidated Balance Sheets</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6"/>
        </w:trPr>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640"/>
              <w:spacing w:after="0"/>
              <w:rPr>
                <w:sz w:val="20"/>
                <w:szCs w:val="20"/>
                <w:color w:val="auto"/>
              </w:rPr>
            </w:pPr>
            <w:r>
              <w:rPr>
                <w:rFonts w:ascii="Arial" w:cs="Arial" w:eastAsia="Arial" w:hAnsi="Arial"/>
                <w:sz w:val="12"/>
                <w:szCs w:val="12"/>
                <w:b w:val="1"/>
                <w:bCs w:val="1"/>
                <w:color w:val="auto"/>
              </w:rPr>
              <w:t>January 31, 2024</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w w:val="99"/>
              </w:rPr>
              <w:t>October 31, 2023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b w:val="1"/>
                <w:bCs w:val="1"/>
                <w:color w:val="auto"/>
              </w:rPr>
              <w:t>Accounts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Accounts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w w:val="99"/>
              </w:rPr>
              <w:t>Property, plant</w:t>
            </w:r>
          </w:p>
        </w:tc>
        <w:tc>
          <w:tcPr>
            <w:tcW w:w="320" w:type="dxa"/>
            <w:vAlign w:val="bottom"/>
          </w:tcPr>
          <w:p>
            <w:pPr>
              <w:spacing w:after="0"/>
              <w:rPr>
                <w:sz w:val="12"/>
                <w:szCs w:val="12"/>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b w:val="1"/>
                <w:bCs w:val="1"/>
                <w:color w:val="auto"/>
              </w:rPr>
              <w:t>payable &amp;</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Property, plant</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payable &amp;</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Accounts</w:t>
            </w:r>
          </w:p>
        </w:tc>
        <w:tc>
          <w:tcPr>
            <w:tcW w:w="14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auto"/>
              </w:rPr>
              <w:t>and equipment,</w:t>
            </w:r>
          </w:p>
        </w:tc>
        <w:tc>
          <w:tcPr>
            <w:tcW w:w="320" w:type="dxa"/>
            <w:vAlign w:val="bottom"/>
          </w:tcPr>
          <w:p>
            <w:pPr>
              <w:spacing w:after="0"/>
              <w:rPr>
                <w:sz w:val="12"/>
                <w:szCs w:val="12"/>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b w:val="1"/>
                <w:bCs w:val="1"/>
                <w:color w:val="auto"/>
              </w:rPr>
              <w:t>accrued</w:t>
            </w:r>
          </w:p>
        </w:tc>
        <w:tc>
          <w:tcPr>
            <w:tcW w:w="140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Finance lease</w:t>
            </w: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Accounts</w:t>
            </w:r>
          </w:p>
        </w:tc>
        <w:tc>
          <w:tcPr>
            <w:tcW w:w="1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and equipment,</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accrued</w:t>
            </w:r>
          </w:p>
        </w:tc>
        <w:tc>
          <w:tcPr>
            <w:tcW w:w="26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Finance lease</w:t>
            </w:r>
          </w:p>
        </w:tc>
      </w:tr>
      <w:tr>
        <w:trPr>
          <w:trHeight w:val="178"/>
        </w:trPr>
        <w:tc>
          <w:tcPr>
            <w:tcW w:w="1660" w:type="dxa"/>
            <w:vAlign w:val="bottom"/>
            <w:gridSpan w:val="2"/>
          </w:tcPr>
          <w:p>
            <w:pPr>
              <w:ind w:left="20"/>
              <w:spacing w:after="0"/>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receivable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5"/>
                <w:szCs w:val="15"/>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b w:val="1"/>
                <w:bCs w:val="1"/>
                <w:color w:val="auto"/>
              </w:rPr>
              <w:t>expenses</w:t>
            </w:r>
          </w:p>
        </w:tc>
        <w:tc>
          <w:tcPr>
            <w:tcW w:w="4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liabilities</w:t>
            </w:r>
          </w:p>
        </w:tc>
        <w:tc>
          <w:tcPr>
            <w:tcW w:w="3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receivable</w:t>
            </w:r>
          </w:p>
        </w:tc>
        <w:tc>
          <w:tcPr>
            <w:tcW w:w="680" w:type="dxa"/>
            <w:vAlign w:val="bottom"/>
          </w:tcPr>
          <w:p>
            <w:pPr>
              <w:spacing w:after="0"/>
              <w:rPr>
                <w:sz w:val="15"/>
                <w:szCs w:val="15"/>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b w:val="1"/>
                <w:bCs w:val="1"/>
                <w:color w:val="auto"/>
              </w:rPr>
              <w:t>net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expenses</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liabilities</w:t>
            </w:r>
          </w:p>
        </w:tc>
      </w:tr>
      <w:tr>
        <w:trPr>
          <w:trHeight w:val="20"/>
        </w:trPr>
        <w:tc>
          <w:tcPr>
            <w:tcW w:w="16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6"/>
        </w:trPr>
        <w:tc>
          <w:tcPr>
            <w:tcW w:w="16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26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1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48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52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50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1660" w:type="dxa"/>
            <w:vAlign w:val="bottom"/>
            <w:gridSpan w:val="2"/>
          </w:tcPr>
          <w:p>
            <w:pPr>
              <w:ind w:left="120"/>
              <w:spacing w:after="0"/>
              <w:rPr>
                <w:sz w:val="20"/>
                <w:szCs w:val="20"/>
                <w:color w:val="auto"/>
              </w:rPr>
            </w:pPr>
            <w:r>
              <w:rPr>
                <w:rFonts w:ascii="Arial" w:cs="Arial" w:eastAsia="Arial" w:hAnsi="Arial"/>
                <w:sz w:val="12"/>
                <w:szCs w:val="12"/>
                <w:color w:val="auto"/>
              </w:rPr>
              <w:t>Henry Avocado</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6"/>
        </w:trPr>
        <w:tc>
          <w:tcPr>
            <w:tcW w:w="1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73"/>
        </w:trPr>
        <w:tc>
          <w:tcPr>
            <w:tcW w:w="166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2"/>
                <w:szCs w:val="12"/>
                <w:color w:val="auto"/>
              </w:rPr>
              <w:t>Mr. Avocado</w:t>
            </w:r>
          </w:p>
        </w:tc>
        <w:tc>
          <w:tcPr>
            <w:tcW w:w="26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rPr>
              <w:t>2.4</w:t>
            </w:r>
          </w:p>
        </w:tc>
        <w:tc>
          <w:tcPr>
            <w:tcW w:w="14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2.9</w:t>
            </w:r>
          </w:p>
        </w:tc>
        <w:tc>
          <w:tcPr>
            <w:tcW w:w="68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r>
      <w:tr>
        <w:trPr>
          <w:trHeight w:val="173"/>
        </w:trPr>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1660" w:type="dxa"/>
            <w:vAlign w:val="bottom"/>
            <w:gridSpan w:val="2"/>
            <w:shd w:val="clear" w:color="auto" w:fill="DBDBDB"/>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260" w:type="dxa"/>
            <w:vAlign w:val="bottom"/>
            <w:shd w:val="clear" w:color="auto" w:fill="DBDBDB"/>
          </w:tcPr>
          <w:p>
            <w:pPr>
              <w:spacing w:after="0"/>
              <w:rPr>
                <w:sz w:val="16"/>
                <w:szCs w:val="16"/>
                <w:color w:val="auto"/>
              </w:rPr>
            </w:pPr>
          </w:p>
        </w:tc>
        <w:tc>
          <w:tcPr>
            <w:tcW w:w="86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0.1</w:t>
            </w: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20.7</w:t>
            </w:r>
          </w:p>
        </w:tc>
        <w:tc>
          <w:tcPr>
            <w:tcW w:w="32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20.2</w:t>
            </w: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82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0.1</w:t>
            </w:r>
          </w:p>
        </w:tc>
        <w:tc>
          <w:tcPr>
            <w:tcW w:w="680" w:type="dxa"/>
            <w:vAlign w:val="bottom"/>
            <w:shd w:val="clear" w:color="auto" w:fill="DBDBDB"/>
          </w:tcPr>
          <w:p>
            <w:pPr>
              <w:spacing w:after="0"/>
              <w:rPr>
                <w:sz w:val="16"/>
                <w:szCs w:val="16"/>
                <w:color w:val="auto"/>
              </w:rPr>
            </w:pPr>
          </w:p>
        </w:tc>
        <w:tc>
          <w:tcPr>
            <w:tcW w:w="50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15.2</w:t>
            </w:r>
          </w:p>
        </w:tc>
        <w:tc>
          <w:tcPr>
            <w:tcW w:w="1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0.2</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15.7</w:t>
            </w:r>
          </w:p>
        </w:tc>
        <w:tc>
          <w:tcPr>
            <w:tcW w:w="40" w:type="dxa"/>
            <w:vAlign w:val="bottom"/>
          </w:tcPr>
          <w:p>
            <w:pPr>
              <w:spacing w:after="0"/>
              <w:rPr>
                <w:sz w:val="16"/>
                <w:szCs w:val="16"/>
                <w:color w:val="auto"/>
              </w:rPr>
            </w:pPr>
          </w:p>
        </w:tc>
      </w:tr>
      <w:tr>
        <w:trPr>
          <w:trHeight w:val="193"/>
        </w:trPr>
        <w:tc>
          <w:tcPr>
            <w:tcW w:w="1660" w:type="dxa"/>
            <w:vAlign w:val="bottom"/>
            <w:gridSpan w:val="2"/>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260" w:type="dxa"/>
            <w:vAlign w:val="bottom"/>
          </w:tcPr>
          <w:p>
            <w:pPr>
              <w:spacing w:after="0"/>
              <w:rPr>
                <w:sz w:val="16"/>
                <w:szCs w:val="16"/>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48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0.5</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359"/>
        </w:trPr>
        <w:tc>
          <w:tcPr>
            <w:tcW w:w="4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720" w:type="dxa"/>
            <w:vAlign w:val="bottom"/>
            <w:tcBorders>
              <w:top w:val="single" w:sz="8" w:color="auto"/>
            </w:tcBorders>
            <w:gridSpan w:val="8"/>
          </w:tcPr>
          <w:p>
            <w:pPr>
              <w:jc w:val="right"/>
              <w:ind w:right="160"/>
              <w:spacing w:after="0"/>
              <w:rPr>
                <w:sz w:val="20"/>
                <w:szCs w:val="20"/>
                <w:color w:val="auto"/>
              </w:rPr>
            </w:pPr>
            <w:r>
              <w:rPr>
                <w:rFonts w:ascii="Arial" w:cs="Arial" w:eastAsia="Arial" w:hAnsi="Arial"/>
                <w:sz w:val="12"/>
                <w:szCs w:val="12"/>
                <w:b w:val="1"/>
                <w:bCs w:val="1"/>
                <w:color w:val="auto"/>
              </w:rPr>
              <w:t>Condensed Consolidated Statements of Income (Loss)</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r>
      <w:tr>
        <w:trPr>
          <w:trHeight w:val="166"/>
        </w:trPr>
        <w:tc>
          <w:tcPr>
            <w:tcW w:w="1660" w:type="dxa"/>
            <w:vAlign w:val="bottom"/>
            <w:gridSpan w:val="2"/>
          </w:tcPr>
          <w:p>
            <w:pPr>
              <w:ind w:left="20"/>
              <w:spacing w:after="0"/>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Net sales</w:t>
            </w:r>
          </w:p>
        </w:tc>
        <w:tc>
          <w:tcPr>
            <w:tcW w:w="14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Cost of sales</w:t>
            </w: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Interest expense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Net sales</w:t>
            </w:r>
          </w:p>
        </w:tc>
        <w:tc>
          <w:tcPr>
            <w:tcW w:w="180" w:type="dxa"/>
            <w:vAlign w:val="bottom"/>
          </w:tcPr>
          <w:p>
            <w:pPr>
              <w:spacing w:after="0"/>
              <w:rPr>
                <w:sz w:val="14"/>
                <w:szCs w:val="14"/>
                <w:color w:val="auto"/>
              </w:rPr>
            </w:pPr>
          </w:p>
        </w:tc>
        <w:tc>
          <w:tcPr>
            <w:tcW w:w="940" w:type="dxa"/>
            <w:vAlign w:val="bottom"/>
          </w:tcPr>
          <w:p>
            <w:pPr>
              <w:jc w:val="right"/>
              <w:ind w:right="120"/>
              <w:spacing w:after="0"/>
              <w:rPr>
                <w:sz w:val="20"/>
                <w:szCs w:val="20"/>
                <w:color w:val="auto"/>
              </w:rPr>
            </w:pPr>
            <w:r>
              <w:rPr>
                <w:rFonts w:ascii="Arial" w:cs="Arial" w:eastAsia="Arial" w:hAnsi="Arial"/>
                <w:sz w:val="12"/>
                <w:szCs w:val="12"/>
                <w:b w:val="1"/>
                <w:bCs w:val="1"/>
                <w:color w:val="auto"/>
                <w:w w:val="99"/>
              </w:rPr>
              <w:t>Cost of sales</w:t>
            </w:r>
          </w:p>
        </w:tc>
        <w:tc>
          <w:tcPr>
            <w:tcW w:w="2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Interest expense</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Three Months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5"/>
        </w:trPr>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January 31, 2024</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January 31, 2023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660" w:type="dxa"/>
            <w:vAlign w:val="bottom"/>
            <w:tcBorders>
              <w:bottom w:val="single" w:sz="8" w:color="DBDBDB"/>
            </w:tcBorders>
            <w:gridSpan w:val="2"/>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66"/>
        </w:trPr>
        <w:tc>
          <w:tcPr>
            <w:tcW w:w="16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26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1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48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52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50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40" w:type="dxa"/>
            <w:vAlign w:val="bottom"/>
            <w:tcBorders>
              <w:bottom w:val="single" w:sz="8" w:color="DBDBDB"/>
            </w:tcBorders>
            <w:shd w:val="clear" w:color="auto" w:fill="DBDBDB"/>
          </w:tcPr>
          <w:p>
            <w:pPr>
              <w:spacing w:after="0"/>
              <w:rPr>
                <w:sz w:val="14"/>
                <w:szCs w:val="14"/>
                <w:color w:val="auto"/>
              </w:rPr>
            </w:pPr>
          </w:p>
        </w:tc>
      </w:tr>
      <w:tr>
        <w:trPr>
          <w:trHeight w:val="167"/>
        </w:trPr>
        <w:tc>
          <w:tcPr>
            <w:tcW w:w="1660" w:type="dxa"/>
            <w:vAlign w:val="bottom"/>
            <w:gridSpan w:val="2"/>
          </w:tcPr>
          <w:p>
            <w:pPr>
              <w:ind w:left="120"/>
              <w:spacing w:after="0"/>
              <w:rPr>
                <w:sz w:val="20"/>
                <w:szCs w:val="20"/>
                <w:color w:val="auto"/>
              </w:rPr>
            </w:pPr>
            <w:r>
              <w:rPr>
                <w:rFonts w:ascii="Arial" w:cs="Arial" w:eastAsia="Arial" w:hAnsi="Arial"/>
                <w:sz w:val="12"/>
                <w:szCs w:val="12"/>
                <w:color w:val="auto"/>
              </w:rPr>
              <w:t>Mr. Avocado</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4"/>
                <w:szCs w:val="14"/>
                <w:color w:val="auto"/>
              </w:rPr>
            </w:pPr>
          </w:p>
        </w:tc>
        <w:tc>
          <w:tcPr>
            <w:tcW w:w="3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0.1</w:t>
            </w:r>
          </w:p>
        </w:tc>
        <w:tc>
          <w:tcPr>
            <w:tcW w:w="5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26"/>
        </w:trPr>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12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52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r>
      <w:tr>
        <w:trPr>
          <w:trHeight w:val="193"/>
        </w:trPr>
        <w:tc>
          <w:tcPr>
            <w:tcW w:w="1660" w:type="dxa"/>
            <w:vAlign w:val="bottom"/>
            <w:gridSpan w:val="2"/>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jc w:val="right"/>
              <w:ind w:right="80"/>
              <w:spacing w:after="0"/>
              <w:rPr>
                <w:sz w:val="20"/>
                <w:szCs w:val="20"/>
                <w:color w:val="auto"/>
              </w:rPr>
            </w:pPr>
            <w:r>
              <w:rPr>
                <w:rFonts w:ascii="Arial" w:cs="Arial" w:eastAsia="Arial" w:hAnsi="Arial"/>
                <w:sz w:val="12"/>
                <w:szCs w:val="12"/>
                <w:color w:val="auto"/>
                <w:w w:val="95"/>
              </w:rPr>
              <w:t>0.2</w:t>
            </w:r>
          </w:p>
        </w:tc>
        <w:tc>
          <w:tcPr>
            <w:tcW w:w="920" w:type="dxa"/>
            <w:vAlign w:val="bottom"/>
          </w:tcPr>
          <w:p>
            <w:pPr>
              <w:spacing w:after="0"/>
              <w:rPr>
                <w:sz w:val="16"/>
                <w:szCs w:val="16"/>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0.5</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0.2</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60"/>
              <w:spacing w:after="0"/>
              <w:rPr>
                <w:sz w:val="20"/>
                <w:szCs w:val="20"/>
                <w:color w:val="auto"/>
              </w:rPr>
            </w:pPr>
            <w:r>
              <w:rPr>
                <w:rFonts w:ascii="Arial" w:cs="Arial" w:eastAsia="Arial" w:hAnsi="Arial"/>
                <w:sz w:val="12"/>
                <w:szCs w:val="12"/>
                <w:color w:val="auto"/>
              </w:rPr>
              <w:t>0.2</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0.3</w:t>
            </w:r>
          </w:p>
        </w:tc>
        <w:tc>
          <w:tcPr>
            <w:tcW w:w="40" w:type="dxa"/>
            <w:vAlign w:val="bottom"/>
          </w:tcPr>
          <w:p>
            <w:pPr>
              <w:spacing w:after="0"/>
              <w:rPr>
                <w:sz w:val="16"/>
                <w:szCs w:val="16"/>
                <w:color w:val="auto"/>
              </w:rPr>
            </w:pPr>
          </w:p>
        </w:tc>
      </w:tr>
      <w:tr>
        <w:trPr>
          <w:trHeight w:val="193"/>
        </w:trPr>
        <w:tc>
          <w:tcPr>
            <w:tcW w:w="1660" w:type="dxa"/>
            <w:vAlign w:val="bottom"/>
            <w:tcBorders>
              <w:bottom w:val="single" w:sz="8" w:color="auto"/>
            </w:tcBorders>
            <w:gridSpan w:val="2"/>
            <w:shd w:val="clear" w:color="auto" w:fill="DBDBDB"/>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26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4.5</w:t>
            </w:r>
          </w:p>
        </w:tc>
        <w:tc>
          <w:tcPr>
            <w:tcW w:w="660" w:type="dxa"/>
            <w:vAlign w:val="bottom"/>
            <w:tcBorders>
              <w:bottom w:val="single" w:sz="8" w:color="auto"/>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ind w:right="160"/>
              <w:spacing w:after="0"/>
              <w:rPr>
                <w:sz w:val="20"/>
                <w:szCs w:val="20"/>
                <w:color w:val="auto"/>
              </w:rPr>
            </w:pPr>
            <w:r>
              <w:rPr>
                <w:rFonts w:ascii="Arial" w:cs="Arial" w:eastAsia="Arial" w:hAnsi="Arial"/>
                <w:sz w:val="12"/>
                <w:szCs w:val="12"/>
                <w:color w:val="auto"/>
              </w:rPr>
              <w:t>2.2</w:t>
            </w:r>
          </w:p>
        </w:tc>
        <w:tc>
          <w:tcPr>
            <w:tcW w:w="2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2"/>
                <w:szCs w:val="12"/>
                <w:color w:val="auto"/>
              </w:rPr>
              <w:t>—</w:t>
            </w:r>
          </w:p>
        </w:tc>
      </w:tr>
    </w:tbl>
    <w:p>
      <w:pPr>
        <w:spacing w:after="0" w:line="124" w:lineRule="exact"/>
        <w:rPr>
          <w:sz w:val="20"/>
          <w:szCs w:val="20"/>
          <w:color w:val="auto"/>
        </w:rPr>
      </w:pPr>
    </w:p>
    <w:p>
      <w:pPr>
        <w:ind w:left="160" w:right="40" w:hanging="154"/>
        <w:spacing w:after="0" w:line="258" w:lineRule="auto"/>
        <w:rPr>
          <w:sz w:val="20"/>
          <w:szCs w:val="20"/>
          <w:color w:val="auto"/>
        </w:rPr>
      </w:pPr>
      <w:r>
        <w:rPr>
          <w:rFonts w:ascii="Arial" w:cs="Arial" w:eastAsia="Arial" w:hAnsi="Arial"/>
          <w:sz w:val="12"/>
          <w:szCs w:val="12"/>
          <w:color w:val="auto"/>
        </w:rPr>
        <w:t>(1)The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income (loss). The portion of lease costs attributable to noncontrolling interest, net of income taxes, was $0.2 million for both the three months ended January 31, 2024 and 2023, and included as part of net income (loss) attributable to noncontrolling interest in the condensed consolidated statements of income (loss).</w:t>
      </w:r>
    </w:p>
    <w:p>
      <w:pPr>
        <w:spacing w:after="0" w:line="25" w:lineRule="exact"/>
        <w:rPr>
          <w:sz w:val="20"/>
          <w:szCs w:val="20"/>
          <w:color w:val="auto"/>
        </w:rPr>
      </w:pPr>
    </w:p>
    <w:p>
      <w:pPr>
        <w:ind w:left="160" w:right="180" w:hanging="154"/>
        <w:spacing w:after="0" w:line="282" w:lineRule="auto"/>
        <w:rPr>
          <w:sz w:val="20"/>
          <w:szCs w:val="20"/>
          <w:color w:val="auto"/>
        </w:rPr>
      </w:pPr>
      <w:r>
        <w:rPr>
          <w:rFonts w:ascii="Arial" w:cs="Arial" w:eastAsia="Arial" w:hAnsi="Arial"/>
          <w:sz w:val="12"/>
          <w:szCs w:val="12"/>
          <w:color w:val="auto"/>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pacing w:after="0" w:line="216" w:lineRule="exact"/>
        <w:rPr>
          <w:sz w:val="20"/>
          <w:szCs w:val="20"/>
          <w:color w:val="auto"/>
        </w:rPr>
      </w:pPr>
    </w:p>
    <w:p>
      <w:pPr>
        <w:ind w:left="480" w:hanging="477"/>
        <w:spacing w:after="0"/>
        <w:tabs>
          <w:tab w:leader="none" w:pos="4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Segment and Revenue Information</w:t>
      </w:r>
    </w:p>
    <w:p>
      <w:pPr>
        <w:spacing w:after="0" w:line="228" w:lineRule="exact"/>
        <w:rPr>
          <w:sz w:val="20"/>
          <w:szCs w:val="20"/>
          <w:color w:val="auto"/>
        </w:rPr>
      </w:pPr>
    </w:p>
    <w:p>
      <w:pPr>
        <w:ind w:right="260" w:firstLine="619"/>
        <w:spacing w:after="0" w:line="278" w:lineRule="auto"/>
        <w:rPr>
          <w:sz w:val="20"/>
          <w:szCs w:val="20"/>
          <w:color w:val="auto"/>
        </w:rPr>
      </w:pPr>
      <w:r>
        <w:rPr>
          <w:rFonts w:ascii="Arial" w:cs="Arial" w:eastAsia="Arial" w:hAnsi="Arial"/>
          <w:sz w:val="14"/>
          <w:szCs w:val="14"/>
          <w:color w:val="auto"/>
        </w:rPr>
        <w:t>We have three operating segments which are also reportable segments. Our reportable segments are presented based on how information is used by our CEO, who is the chief operating decision maker, to measure performance and allocate resources.</w:t>
      </w:r>
    </w:p>
    <w:p>
      <w:pPr>
        <w:spacing w:after="0" w:line="130"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Marketing and Distribution. </w:t>
      </w:r>
      <w:r>
        <w:rPr>
          <w:rFonts w:ascii="Arial" w:cs="Arial" w:eastAsia="Arial" w:hAnsi="Arial"/>
          <w:sz w:val="13"/>
          <w:szCs w:val="13"/>
          <w:color w:val="auto"/>
        </w:rPr>
        <w:t>Our Marketing and Distribution reportable segment sources fruit from growers and then distributes the fruit through our global distribution network.</w:t>
      </w:r>
    </w:p>
    <w:p>
      <w:pPr>
        <w:spacing w:after="0" w:line="185" w:lineRule="exact"/>
        <w:rPr>
          <w:rFonts w:ascii="Arial" w:cs="Arial" w:eastAsia="Arial" w:hAnsi="Arial"/>
          <w:sz w:val="13"/>
          <w:szCs w:val="13"/>
          <w:color w:val="auto"/>
        </w:rPr>
      </w:pPr>
    </w:p>
    <w:p>
      <w:pPr>
        <w:ind w:left="620" w:right="80" w:hanging="307"/>
        <w:spacing w:after="0" w:line="278" w:lineRule="auto"/>
        <w:tabs>
          <w:tab w:leader="none" w:pos="616"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and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right="40"/>
        <w:spacing w:after="0" w:line="278" w:lineRule="auto"/>
        <w:rPr>
          <w:sz w:val="20"/>
          <w:szCs w:val="20"/>
          <w:color w:val="auto"/>
        </w:rPr>
      </w:pPr>
      <w:r>
        <w:rPr>
          <w:rFonts w:ascii="Arial" w:cs="Arial" w:eastAsia="Arial" w:hAnsi="Arial"/>
          <w:sz w:val="14"/>
          <w:szCs w:val="14"/>
          <w:color w:val="auto"/>
        </w:rPr>
        <w:t>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w:t>
      </w:r>
    </w:p>
    <w:p>
      <w:pPr>
        <w:spacing w:after="0" w:line="130" w:lineRule="exact"/>
        <w:rPr>
          <w:sz w:val="20"/>
          <w:szCs w:val="20"/>
          <w:color w:val="auto"/>
        </w:rPr>
      </w:pPr>
    </w:p>
    <w:p>
      <w:pPr>
        <w:ind w:left="620" w:right="160" w:hanging="307"/>
        <w:spacing w:after="0" w:line="278" w:lineRule="auto"/>
        <w:tabs>
          <w:tab w:leader="none" w:pos="61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represents the results of Moruga. Moruga’s farming activities include cultivating early-stage blueberry plantings and harvesting mature</w:t>
      </w:r>
      <w:r>
        <w:rPr>
          <w:rFonts w:ascii="Arial" w:cs="Arial" w:eastAsia="Arial" w:hAnsi="Arial"/>
          <w:sz w:val="14"/>
          <w:szCs w:val="14"/>
          <w:i w:val="1"/>
          <w:iCs w:val="1"/>
          <w:color w:val="auto"/>
        </w:rPr>
        <w:t xml:space="preserve"> </w:t>
      </w:r>
      <w:r>
        <w:rPr>
          <w:rFonts w:ascii="Arial" w:cs="Arial" w:eastAsia="Arial" w:hAnsi="Arial"/>
          <w:sz w:val="14"/>
          <w:szCs w:val="14"/>
          <w:color w:val="auto"/>
        </w:rPr>
        <w:t>bushes. Substantially all blueberries produced are sold to a single distributor under an exclusive marketing agreement.</w:t>
      </w:r>
    </w:p>
    <w:p>
      <w:pPr>
        <w:spacing w:after="0" w:line="168" w:lineRule="exact"/>
        <w:rPr>
          <w:sz w:val="20"/>
          <w:szCs w:val="20"/>
          <w:color w:val="auto"/>
        </w:rPr>
      </w:pPr>
    </w:p>
    <w:p>
      <w:pPr>
        <w:ind w:right="20" w:firstLine="619"/>
        <w:spacing w:after="0" w:line="248" w:lineRule="auto"/>
        <w:rPr>
          <w:sz w:val="20"/>
          <w:szCs w:val="20"/>
          <w:color w:val="auto"/>
        </w:rPr>
      </w:pPr>
      <w:r>
        <w:rPr>
          <w:rFonts w:ascii="Arial" w:cs="Arial" w:eastAsia="Arial" w:hAnsi="Arial"/>
          <w:sz w:val="14"/>
          <w:szCs w:val="14"/>
          <w:color w:val="auto"/>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Net sales from each of our reportable segments were as follows.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40" w:type="dxa"/>
            <w:vAlign w:val="bottom"/>
          </w:tcPr>
          <w:p>
            <w:pPr>
              <w:spacing w:after="0"/>
              <w:rPr>
                <w:sz w:val="11"/>
                <w:szCs w:val="11"/>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rPr>
              <w:t>Total</w:t>
            </w:r>
          </w:p>
        </w:tc>
        <w:tc>
          <w:tcPr>
            <w:tcW w:w="360" w:type="dxa"/>
            <w:vAlign w:val="bottom"/>
          </w:tcPr>
          <w:p>
            <w:pPr>
              <w:spacing w:after="0"/>
              <w:rPr>
                <w:sz w:val="11"/>
                <w:szCs w:val="11"/>
                <w:color w:val="auto"/>
              </w:rPr>
            </w:pPr>
          </w:p>
        </w:tc>
        <w:tc>
          <w:tcPr>
            <w:tcW w:w="86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3"/>
          </w:tcPr>
          <w:p>
            <w:pPr>
              <w:jc w:val="right"/>
              <w:ind w:right="648"/>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2023</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224.6</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1.6</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258.7</w:t>
            </w:r>
          </w:p>
        </w:tc>
        <w:tc>
          <w:tcPr>
            <w:tcW w:w="3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181.8</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1.9</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29.8</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213.5</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4.2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780" w:type="dxa"/>
            <w:vAlign w:val="bottom"/>
          </w:tcPr>
          <w:p>
            <w:pPr>
              <w:jc w:val="right"/>
              <w:ind w:right="128"/>
              <w:spacing w:after="0"/>
              <w:rPr>
                <w:sz w:val="20"/>
                <w:szCs w:val="20"/>
                <w:color w:val="auto"/>
              </w:rPr>
            </w:pPr>
            <w:r>
              <w:rPr>
                <w:rFonts w:ascii="Arial" w:cs="Arial" w:eastAsia="Arial" w:hAnsi="Arial"/>
                <w:sz w:val="10"/>
                <w:szCs w:val="10"/>
                <w:color w:val="auto"/>
              </w:rPr>
              <w:t>4.2</w:t>
            </w:r>
          </w:p>
        </w:tc>
        <w:tc>
          <w:tcPr>
            <w:tcW w:w="360" w:type="dxa"/>
            <w:vAlign w:val="bottom"/>
          </w:tcPr>
          <w:p>
            <w:pPr>
              <w:spacing w:after="0"/>
              <w:rPr>
                <w:sz w:val="12"/>
                <w:szCs w:val="12"/>
                <w:color w:val="auto"/>
              </w:rPr>
            </w:pPr>
          </w:p>
        </w:tc>
        <w:tc>
          <w:tcPr>
            <w:tcW w:w="86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3.8</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1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224.6</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5.8</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32.5</w:t>
            </w:r>
          </w:p>
        </w:tc>
        <w:tc>
          <w:tcPr>
            <w:tcW w:w="44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262.9</w:t>
            </w:r>
          </w:p>
        </w:tc>
        <w:tc>
          <w:tcPr>
            <w:tcW w:w="360" w:type="dxa"/>
            <w:vAlign w:val="bottom"/>
            <w:tcBorders>
              <w:bottom w:val="single" w:sz="8" w:color="DBDBDB"/>
            </w:tcBorders>
            <w:shd w:val="clear" w:color="auto" w:fill="DBDBDB"/>
          </w:tcPr>
          <w:p>
            <w:pPr>
              <w:spacing w:after="0"/>
              <w:rPr>
                <w:sz w:val="13"/>
                <w:szCs w:val="13"/>
                <w:color w:val="auto"/>
              </w:rPr>
            </w:pP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181.8</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5.7</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29.8</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217.3</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(4.2)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780" w:type="dxa"/>
            <w:vAlign w:val="bottom"/>
          </w:tcPr>
          <w:p>
            <w:pPr>
              <w:jc w:val="right"/>
              <w:ind w:right="108"/>
              <w:spacing w:after="0"/>
              <w:rPr>
                <w:sz w:val="20"/>
                <w:szCs w:val="20"/>
                <w:color w:val="auto"/>
              </w:rPr>
            </w:pPr>
            <w:r>
              <w:rPr>
                <w:rFonts w:ascii="Arial" w:cs="Arial" w:eastAsia="Arial" w:hAnsi="Arial"/>
                <w:sz w:val="10"/>
                <w:szCs w:val="10"/>
                <w:color w:val="auto"/>
              </w:rPr>
              <w:t>(4.2)</w:t>
            </w:r>
          </w:p>
        </w:tc>
        <w:tc>
          <w:tcPr>
            <w:tcW w:w="360" w:type="dxa"/>
            <w:vAlign w:val="bottom"/>
          </w:tcPr>
          <w:p>
            <w:pPr>
              <w:spacing w:after="0"/>
              <w:rPr>
                <w:sz w:val="12"/>
                <w:szCs w:val="12"/>
                <w:color w:val="auto"/>
              </w:rPr>
            </w:pPr>
          </w:p>
        </w:tc>
        <w:tc>
          <w:tcPr>
            <w:tcW w:w="86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(3.8)</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224.6</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1.6</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258.7</w:t>
            </w:r>
          </w:p>
        </w:tc>
        <w:tc>
          <w:tcPr>
            <w:tcW w:w="3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181.8</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1.9</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29.8</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213.5</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40" w:type="dxa"/>
            <w:vAlign w:val="bottom"/>
          </w:tcPr>
          <w:p>
            <w:pPr>
              <w:ind w:left="620"/>
              <w:spacing w:after="0"/>
              <w:rPr>
                <w:sz w:val="20"/>
                <w:szCs w:val="20"/>
                <w:color w:val="auto"/>
              </w:rPr>
            </w:pPr>
            <w:r>
              <w:rPr>
                <w:rFonts w:ascii="Arial" w:cs="Arial" w:eastAsia="Arial" w:hAnsi="Arial"/>
                <w:sz w:val="14"/>
                <w:szCs w:val="14"/>
                <w:color w:val="auto"/>
              </w:rPr>
              <w:t>Supplemental sales information is as follows.</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98"/>
        </w:trPr>
        <w:tc>
          <w:tcPr>
            <w:tcW w:w="7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8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24"/>
                <w:szCs w:val="24"/>
                <w:color w:val="auto"/>
              </w:rPr>
            </w:pPr>
          </w:p>
        </w:tc>
      </w:tr>
      <w:tr>
        <w:trPr>
          <w:trHeight w:val="196"/>
        </w:trPr>
        <w:tc>
          <w:tcPr>
            <w:tcW w:w="77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40" w:type="dxa"/>
            <w:vAlign w:val="bottom"/>
            <w:tcBorders>
              <w:bottom w:val="single" w:sz="8" w:color="auto"/>
            </w:tcBorders>
          </w:tcPr>
          <w:p>
            <w:pPr>
              <w:spacing w:after="0"/>
              <w:rPr>
                <w:sz w:val="17"/>
                <w:szCs w:val="17"/>
                <w:color w:val="auto"/>
              </w:rPr>
            </w:pPr>
          </w:p>
        </w:tc>
      </w:tr>
      <w:tr>
        <w:trPr>
          <w:trHeight w:val="21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type</w:t>
            </w: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r>
      <w:tr>
        <w:trPr>
          <w:trHeight w:val="199"/>
        </w:trPr>
        <w:tc>
          <w:tcPr>
            <w:tcW w:w="7740" w:type="dxa"/>
            <w:vAlign w:val="bottom"/>
          </w:tcPr>
          <w:p>
            <w:pPr>
              <w:ind w:left="220"/>
              <w:spacing w:after="0"/>
              <w:rPr>
                <w:sz w:val="20"/>
                <w:szCs w:val="20"/>
                <w:color w:val="auto"/>
              </w:rPr>
            </w:pPr>
            <w:r>
              <w:rPr>
                <w:rFonts w:ascii="Arial" w:cs="Arial" w:eastAsia="Arial" w:hAnsi="Arial"/>
                <w:sz w:val="14"/>
                <w:szCs w:val="14"/>
                <w:color w:val="auto"/>
              </w:rPr>
              <w:t>Avocado</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212.3</w:t>
            </w:r>
          </w:p>
        </w:tc>
        <w:tc>
          <w:tcPr>
            <w:tcW w:w="10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174.0</w:t>
            </w:r>
          </w:p>
        </w:tc>
      </w:tr>
      <w:tr>
        <w:trPr>
          <w:trHeight w:val="20"/>
        </w:trPr>
        <w:tc>
          <w:tcPr>
            <w:tcW w:w="7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7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Blueberry</w:t>
            </w: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32.5</w:t>
            </w:r>
          </w:p>
        </w:tc>
        <w:tc>
          <w:tcPr>
            <w:tcW w:w="10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29.8</w:t>
            </w:r>
          </w:p>
        </w:tc>
      </w:tr>
      <w:tr>
        <w:trPr>
          <w:trHeight w:val="199"/>
        </w:trPr>
        <w:tc>
          <w:tcPr>
            <w:tcW w:w="7740" w:type="dxa"/>
            <w:vAlign w:val="bottom"/>
          </w:tcPr>
          <w:p>
            <w:pPr>
              <w:ind w:left="220"/>
              <w:spacing w:after="0"/>
              <w:rPr>
                <w:sz w:val="20"/>
                <w:szCs w:val="20"/>
                <w:color w:val="auto"/>
              </w:rPr>
            </w:pPr>
            <w:r>
              <w:rPr>
                <w:rFonts w:ascii="Arial" w:cs="Arial" w:eastAsia="Arial" w:hAnsi="Arial"/>
                <w:sz w:val="14"/>
                <w:szCs w:val="14"/>
                <w:color w:val="auto"/>
              </w:rPr>
              <w:t>Mango</w:t>
            </w:r>
          </w:p>
        </w:tc>
        <w:tc>
          <w:tcPr>
            <w:tcW w:w="58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10.9</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7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77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3.0</w:t>
            </w:r>
          </w:p>
        </w:tc>
        <w:tc>
          <w:tcPr>
            <w:tcW w:w="104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w:t>
            </w:r>
          </w:p>
        </w:tc>
      </w:tr>
      <w:tr>
        <w:trPr>
          <w:trHeight w:val="192"/>
        </w:trPr>
        <w:tc>
          <w:tcPr>
            <w:tcW w:w="7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258.7</w:t>
            </w:r>
          </w:p>
        </w:tc>
        <w:tc>
          <w:tcPr>
            <w:tcW w:w="1040" w:type="dxa"/>
            <w:vAlign w:val="bottom"/>
            <w:tcBorders>
              <w:top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213.5</w:t>
            </w:r>
          </w:p>
        </w:tc>
      </w:tr>
      <w:tr>
        <w:trPr>
          <w:trHeight w:val="20"/>
        </w:trPr>
        <w:tc>
          <w:tcPr>
            <w:tcW w:w="7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customer location</w:t>
            </w: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r>
      <w:tr>
        <w:trPr>
          <w:trHeight w:val="199"/>
        </w:trPr>
        <w:tc>
          <w:tcPr>
            <w:tcW w:w="774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211.8</w:t>
            </w:r>
          </w:p>
        </w:tc>
        <w:tc>
          <w:tcPr>
            <w:tcW w:w="10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174.6</w:t>
            </w:r>
          </w:p>
        </w:tc>
      </w:tr>
      <w:tr>
        <w:trPr>
          <w:trHeight w:val="20"/>
        </w:trPr>
        <w:tc>
          <w:tcPr>
            <w:tcW w:w="7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77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Rest of world</w:t>
            </w:r>
          </w:p>
        </w:tc>
        <w:tc>
          <w:tcPr>
            <w:tcW w:w="58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46.9</w:t>
            </w:r>
          </w:p>
        </w:tc>
        <w:tc>
          <w:tcPr>
            <w:tcW w:w="104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38.9</w:t>
            </w:r>
          </w:p>
        </w:tc>
      </w:tr>
      <w:tr>
        <w:trPr>
          <w:trHeight w:val="192"/>
        </w:trPr>
        <w:tc>
          <w:tcPr>
            <w:tcW w:w="7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258.7</w:t>
            </w:r>
          </w:p>
        </w:tc>
        <w:tc>
          <w:tcPr>
            <w:tcW w:w="1040" w:type="dxa"/>
            <w:vAlign w:val="bottom"/>
            <w:tcBorders>
              <w:top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213.5</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560" w:type="dxa"/>
            <w:vAlign w:val="bottom"/>
          </w:tcPr>
          <w:p>
            <w:pPr>
              <w:ind w:left="520"/>
              <w:spacing w:after="0"/>
              <w:rPr>
                <w:sz w:val="20"/>
                <w:szCs w:val="20"/>
                <w:color w:val="auto"/>
              </w:rPr>
            </w:pPr>
            <w:r>
              <w:rPr>
                <w:rFonts w:ascii="Arial" w:cs="Arial" w:eastAsia="Arial" w:hAnsi="Arial"/>
                <w:sz w:val="14"/>
                <w:szCs w:val="14"/>
                <w:color w:val="auto"/>
              </w:rPr>
              <w:t>Adjusted EBITDA (as defined above) for each of our reportable segments was as follows:</w:t>
            </w: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488"/>
        </w:trPr>
        <w:tc>
          <w:tcPr>
            <w:tcW w:w="7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24"/>
                <w:szCs w:val="24"/>
                <w:color w:val="auto"/>
              </w:rPr>
            </w:pPr>
          </w:p>
        </w:tc>
      </w:tr>
      <w:tr>
        <w:trPr>
          <w:trHeight w:val="196"/>
        </w:trPr>
        <w:tc>
          <w:tcPr>
            <w:tcW w:w="75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40" w:type="dxa"/>
            <w:vAlign w:val="bottom"/>
            <w:tcBorders>
              <w:bottom w:val="single" w:sz="8" w:color="auto"/>
            </w:tcBorders>
          </w:tcPr>
          <w:p>
            <w:pPr>
              <w:spacing w:after="0"/>
              <w:rPr>
                <w:sz w:val="17"/>
                <w:szCs w:val="17"/>
                <w:color w:val="auto"/>
              </w:rPr>
            </w:pPr>
          </w:p>
        </w:tc>
      </w:tr>
      <w:tr>
        <w:trPr>
          <w:trHeight w:val="212"/>
        </w:trPr>
        <w:tc>
          <w:tcPr>
            <w:tcW w:w="7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Marketing and Distribution adjusted EBITDA</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11.0</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4.6</w:t>
            </w: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International Farming adjusted EBITDA</w:t>
            </w:r>
          </w:p>
        </w:tc>
        <w:tc>
          <w:tcPr>
            <w:tcW w:w="58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Blueberries adjusted EBITDA</w:t>
            </w:r>
          </w:p>
        </w:tc>
        <w:tc>
          <w:tcPr>
            <w:tcW w:w="5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8.7</w:t>
            </w:r>
          </w:p>
        </w:tc>
        <w:tc>
          <w:tcPr>
            <w:tcW w:w="102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r>
      <w:tr>
        <w:trPr>
          <w:trHeight w:val="192"/>
        </w:trPr>
        <w:tc>
          <w:tcPr>
            <w:tcW w:w="7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reportable segment adjusted EBITDA</w:t>
            </w: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19.2</w:t>
            </w:r>
          </w:p>
        </w:tc>
        <w:tc>
          <w:tcPr>
            <w:tcW w:w="10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Net income (loss)</w:t>
            </w: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(10.6)</w:t>
            </w: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Provision (benefit) for income taxes</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w:t>
            </w:r>
          </w:p>
        </w:tc>
      </w:tr>
      <w:tr>
        <w:trPr>
          <w:trHeight w:val="219"/>
        </w:trPr>
        <w:tc>
          <w:tcPr>
            <w:tcW w:w="7560" w:type="dxa"/>
            <w:vAlign w:val="bottom"/>
          </w:tcPr>
          <w:p>
            <w:pPr>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(1)</w:t>
            </w:r>
          </w:p>
        </w:tc>
        <w:tc>
          <w:tcPr>
            <w:tcW w:w="5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12.9</w:t>
            </w: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(0.4)</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1.4</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Asset impairment and disposals, net of insurance recoveries</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Farming costs for nonproductive orchards</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7560" w:type="dxa"/>
            <w:vAlign w:val="bottom"/>
            <w:shd w:val="clear" w:color="auto" w:fill="DBDBDB"/>
          </w:tcPr>
          <w:p>
            <w:pPr>
              <w:spacing w:after="0"/>
              <w:rPr>
                <w:sz w:val="20"/>
                <w:szCs w:val="20"/>
                <w:color w:val="auto"/>
              </w:rPr>
            </w:pPr>
            <w:r>
              <w:rPr>
                <w:rFonts w:ascii="Arial" w:cs="Arial" w:eastAsia="Arial" w:hAnsi="Arial"/>
                <w:sz w:val="14"/>
                <w:szCs w:val="14"/>
                <w:color w:val="auto"/>
              </w:rPr>
              <w:t>ERP costs</w:t>
            </w:r>
            <w:r>
              <w:rPr>
                <w:rFonts w:ascii="Arial" w:cs="Arial" w:eastAsia="Arial" w:hAnsi="Arial"/>
                <w:sz w:val="17"/>
                <w:szCs w:val="17"/>
                <w:color w:val="auto"/>
                <w:vertAlign w:val="superscript"/>
              </w:rPr>
              <w:t>(2)</w:t>
            </w:r>
          </w:p>
        </w:tc>
        <w:tc>
          <w:tcPr>
            <w:tcW w:w="58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0.5</w:t>
            </w:r>
          </w:p>
        </w:tc>
        <w:tc>
          <w:tcPr>
            <w:tcW w:w="10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0.6</w:t>
            </w: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Severance</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1.3</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Legal settlement</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Transaction costs</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Amortization of inventory adjustment recognized from business combination</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0.7</w:t>
            </w: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Other expense, net</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75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(3)</w:t>
            </w:r>
          </w:p>
        </w:tc>
        <w:tc>
          <w:tcPr>
            <w:tcW w:w="58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(5.8)</w:t>
            </w:r>
          </w:p>
        </w:tc>
        <w:tc>
          <w:tcPr>
            <w:tcW w:w="102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2"/>
        </w:trPr>
        <w:tc>
          <w:tcPr>
            <w:tcW w:w="7560" w:type="dxa"/>
            <w:vAlign w:val="bottom"/>
          </w:tcPr>
          <w:p>
            <w:pPr>
              <w:spacing w:after="0"/>
              <w:rPr>
                <w:sz w:val="20"/>
                <w:szCs w:val="20"/>
                <w:color w:val="auto"/>
              </w:rPr>
            </w:pPr>
            <w:r>
              <w:rPr>
                <w:rFonts w:ascii="Arial" w:cs="Arial" w:eastAsia="Arial" w:hAnsi="Arial"/>
                <w:sz w:val="14"/>
                <w:szCs w:val="14"/>
                <w:color w:val="auto"/>
              </w:rPr>
              <w:t>Total adjusted EBITDA</w:t>
            </w: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19.2</w:t>
            </w:r>
          </w:p>
        </w:tc>
        <w:tc>
          <w:tcPr>
            <w:tcW w:w="1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(1)Includes depreciation and amortization of purchase accounting assets of $2.9 million and $1.6 million for the three months ended January 31, 2024 and 2023, respectively. The three months ended January 31,</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2024 include $4.1 million of accelerated depreciation expense for certain blueberry plants determined to have no remaining useful life.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(2)Recognition of deferred ERP implementation costs.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(3)Represents net income (loss) attributable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83" w:right="359" w:bottom="1440" w:gutter="0" w:footer="0" w:header="0"/>
        </w:sectPr>
      </w:pPr>
    </w:p>
    <w:bookmarkStart w:id="17" w:name="page18"/>
    <w:bookmarkEnd w:id="17"/>
    <w:p>
      <w:pPr>
        <w:spacing w:after="0" w:line="19"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34" w:lineRule="exact"/>
        <w:rPr>
          <w:sz w:val="20"/>
          <w:szCs w:val="20"/>
          <w:color w:val="auto"/>
        </w:rPr>
      </w:pPr>
    </w:p>
    <w:p>
      <w:pPr>
        <w:ind w:right="180" w:firstLine="619"/>
        <w:spacing w:after="0" w:line="253" w:lineRule="auto"/>
        <w:rPr>
          <w:sz w:val="20"/>
          <w:szCs w:val="20"/>
          <w:color w:val="auto"/>
        </w:rPr>
      </w:pPr>
      <w:r>
        <w:rPr>
          <w:rFonts w:ascii="Arial" w:cs="Arial" w:eastAsia="Arial" w:hAnsi="Arial"/>
          <w:sz w:val="14"/>
          <w:szCs w:val="14"/>
          <w:color w:val="auto"/>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right="140" w:firstLine="619"/>
        <w:spacing w:after="0" w:line="283" w:lineRule="auto"/>
        <w:rPr>
          <w:sz w:val="20"/>
          <w:szCs w:val="20"/>
          <w:color w:val="auto"/>
        </w:rPr>
      </w:pPr>
      <w:r>
        <w:rPr>
          <w:rFonts w:ascii="Arial" w:cs="Arial" w:eastAsia="Arial" w:hAnsi="Arial"/>
          <w:sz w:val="13"/>
          <w:szCs w:val="13"/>
          <w:color w:val="auto"/>
        </w:rPr>
        <w:t>We are a world leader in sourcing, producing and distributing Hass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have three operating segments which are also reportable segments:</w:t>
      </w:r>
    </w:p>
    <w:p>
      <w:pPr>
        <w:spacing w:after="0" w:line="174"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Marketing and Distribution. </w:t>
      </w:r>
      <w:r>
        <w:rPr>
          <w:rFonts w:ascii="Arial" w:cs="Arial" w:eastAsia="Arial" w:hAnsi="Arial"/>
          <w:sz w:val="13"/>
          <w:szCs w:val="13"/>
          <w:color w:val="auto"/>
        </w:rPr>
        <w:t>Our Marketing and Distribution reportable segment sources fruit from growers and then distributes the fruit through our global distribution network.</w:t>
      </w:r>
    </w:p>
    <w:p>
      <w:pPr>
        <w:spacing w:after="0" w:line="185" w:lineRule="exact"/>
        <w:rPr>
          <w:rFonts w:ascii="Arial" w:cs="Arial" w:eastAsia="Arial" w:hAnsi="Arial"/>
          <w:sz w:val="13"/>
          <w:szCs w:val="13"/>
          <w:color w:val="auto"/>
        </w:rPr>
      </w:pPr>
    </w:p>
    <w:p>
      <w:pPr>
        <w:ind w:left="620" w:right="40" w:hanging="307"/>
        <w:spacing w:after="0" w:line="259" w:lineRule="auto"/>
        <w:tabs>
          <w:tab w:leader="none" w:pos="61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and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w:t>
      </w:r>
    </w:p>
    <w:p>
      <w:pPr>
        <w:spacing w:after="0" w:line="143" w:lineRule="exact"/>
        <w:rPr>
          <w:rFonts w:ascii="Arial" w:cs="Arial" w:eastAsia="Arial" w:hAnsi="Arial"/>
          <w:sz w:val="14"/>
          <w:szCs w:val="14"/>
          <w:i w:val="1"/>
          <w:iCs w:val="1"/>
          <w:color w:val="auto"/>
        </w:rPr>
      </w:pPr>
    </w:p>
    <w:p>
      <w:pPr>
        <w:ind w:left="620" w:right="160" w:hanging="307"/>
        <w:spacing w:after="0" w:line="278" w:lineRule="auto"/>
        <w:tabs>
          <w:tab w:leader="none" w:pos="6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represents the results of Moruga. Moruga’s farming activities include cultivating early-stage blueberry plantings and harvesting mature</w:t>
      </w:r>
      <w:r>
        <w:rPr>
          <w:rFonts w:ascii="Arial" w:cs="Arial" w:eastAsia="Arial" w:hAnsi="Arial"/>
          <w:sz w:val="14"/>
          <w:szCs w:val="14"/>
          <w:i w:val="1"/>
          <w:iCs w:val="1"/>
          <w:color w:val="auto"/>
        </w:rPr>
        <w:t xml:space="preserve"> </w:t>
      </w:r>
      <w:r>
        <w:rPr>
          <w:rFonts w:ascii="Arial" w:cs="Arial" w:eastAsia="Arial" w:hAnsi="Arial"/>
          <w:sz w:val="14"/>
          <w:szCs w:val="14"/>
          <w:color w:val="auto"/>
        </w:rPr>
        <w:t>bushes. Substantially all blueberries produced are sold to a single distributor under an exclusive marketing agreement.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right="100" w:firstLine="619"/>
        <w:spacing w:after="0" w:line="253" w:lineRule="auto"/>
        <w:rPr>
          <w:sz w:val="20"/>
          <w:szCs w:val="20"/>
          <w:color w:val="auto"/>
        </w:rPr>
      </w:pPr>
      <w:r>
        <w:rPr>
          <w:rFonts w:ascii="Arial" w:cs="Arial" w:eastAsia="Arial" w:hAnsi="Arial"/>
          <w:sz w:val="14"/>
          <w:szCs w:val="14"/>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85"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63"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17780</wp:posOffset>
            </wp:positionV>
            <wp:extent cx="2562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r>
      <w:tr>
        <w:trPr>
          <w:trHeight w:val="21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percentages)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3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258.7</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213.5</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199"/>
        </w:trPr>
        <w:tc>
          <w:tcPr>
            <w:tcW w:w="71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360" w:type="dxa"/>
            <w:vAlign w:val="bottom"/>
          </w:tcPr>
          <w:p>
            <w:pPr>
              <w:spacing w:after="0"/>
              <w:rPr>
                <w:sz w:val="17"/>
                <w:szCs w:val="17"/>
                <w:color w:val="auto"/>
              </w:rPr>
            </w:pPr>
          </w:p>
        </w:tc>
        <w:tc>
          <w:tcPr>
            <w:tcW w:w="960" w:type="dxa"/>
            <w:vAlign w:val="bottom"/>
          </w:tcPr>
          <w:p>
            <w:pPr>
              <w:jc w:val="right"/>
              <w:ind w:right="211"/>
              <w:spacing w:after="0"/>
              <w:rPr>
                <w:sz w:val="20"/>
                <w:szCs w:val="20"/>
                <w:color w:val="auto"/>
              </w:rPr>
            </w:pPr>
            <w:r>
              <w:rPr>
                <w:rFonts w:ascii="Arial" w:cs="Arial" w:eastAsia="Arial" w:hAnsi="Arial"/>
                <w:sz w:val="14"/>
                <w:szCs w:val="14"/>
                <w:color w:val="auto"/>
              </w:rPr>
              <w:t>230.0</w:t>
            </w:r>
          </w:p>
        </w:tc>
        <w:tc>
          <w:tcPr>
            <w:tcW w:w="600" w:type="dxa"/>
            <w:vAlign w:val="bottom"/>
          </w:tcPr>
          <w:p>
            <w:pPr>
              <w:jc w:val="right"/>
              <w:spacing w:after="0"/>
              <w:rPr>
                <w:sz w:val="20"/>
                <w:szCs w:val="20"/>
                <w:color w:val="auto"/>
              </w:rPr>
            </w:pPr>
            <w:r>
              <w:rPr>
                <w:rFonts w:ascii="Arial" w:cs="Arial" w:eastAsia="Arial" w:hAnsi="Arial"/>
                <w:sz w:val="14"/>
                <w:szCs w:val="14"/>
                <w:color w:val="auto"/>
              </w:rPr>
              <w:t>89 %</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91"/>
              <w:spacing w:after="0"/>
              <w:rPr>
                <w:sz w:val="20"/>
                <w:szCs w:val="20"/>
                <w:color w:val="auto"/>
              </w:rPr>
            </w:pPr>
            <w:r>
              <w:rPr>
                <w:rFonts w:ascii="Arial" w:cs="Arial" w:eastAsia="Arial" w:hAnsi="Arial"/>
                <w:sz w:val="14"/>
                <w:szCs w:val="14"/>
                <w:color w:val="auto"/>
              </w:rPr>
              <w:t>204.5</w:t>
            </w:r>
          </w:p>
        </w:tc>
        <w:tc>
          <w:tcPr>
            <w:tcW w:w="600" w:type="dxa"/>
            <w:vAlign w:val="bottom"/>
          </w:tcPr>
          <w:p>
            <w:pPr>
              <w:jc w:val="right"/>
              <w:spacing w:after="0"/>
              <w:rPr>
                <w:sz w:val="20"/>
                <w:szCs w:val="20"/>
                <w:color w:val="auto"/>
              </w:rPr>
            </w:pPr>
            <w:r>
              <w:rPr>
                <w:rFonts w:ascii="Arial" w:cs="Arial" w:eastAsia="Arial" w:hAnsi="Arial"/>
                <w:sz w:val="14"/>
                <w:szCs w:val="14"/>
                <w:color w:val="auto"/>
              </w:rPr>
              <w:t>96 %</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2"/>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28.7</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11 %</w:t>
            </w:r>
          </w:p>
        </w:tc>
        <w:tc>
          <w:tcPr>
            <w:tcW w:w="1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9.0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r>
      <w:tr>
        <w:trPr>
          <w:trHeight w:val="199"/>
        </w:trPr>
        <w:tc>
          <w:tcPr>
            <w:tcW w:w="71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17"/>
                <w:szCs w:val="17"/>
                <w:color w:val="auto"/>
              </w:rPr>
            </w:pPr>
          </w:p>
        </w:tc>
        <w:tc>
          <w:tcPr>
            <w:tcW w:w="960" w:type="dxa"/>
            <w:vAlign w:val="bottom"/>
          </w:tcPr>
          <w:p>
            <w:pPr>
              <w:jc w:val="right"/>
              <w:ind w:right="211"/>
              <w:spacing w:after="0"/>
              <w:rPr>
                <w:sz w:val="20"/>
                <w:szCs w:val="20"/>
                <w:color w:val="auto"/>
              </w:rPr>
            </w:pPr>
            <w:r>
              <w:rPr>
                <w:rFonts w:ascii="Arial" w:cs="Arial" w:eastAsia="Arial" w:hAnsi="Arial"/>
                <w:sz w:val="14"/>
                <w:szCs w:val="14"/>
                <w:color w:val="auto"/>
              </w:rPr>
              <w:t>20.7</w:t>
            </w:r>
          </w:p>
        </w:tc>
        <w:tc>
          <w:tcPr>
            <w:tcW w:w="600" w:type="dxa"/>
            <w:vAlign w:val="bottom"/>
          </w:tcPr>
          <w:p>
            <w:pPr>
              <w:jc w:val="right"/>
              <w:spacing w:after="0"/>
              <w:rPr>
                <w:sz w:val="20"/>
                <w:szCs w:val="20"/>
                <w:color w:val="auto"/>
              </w:rPr>
            </w:pPr>
            <w:r>
              <w:rPr>
                <w:rFonts w:ascii="Arial" w:cs="Arial" w:eastAsia="Arial" w:hAnsi="Arial"/>
                <w:sz w:val="14"/>
                <w:szCs w:val="14"/>
                <w:color w:val="auto"/>
              </w:rPr>
              <w:t>8 %</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91"/>
              <w:spacing w:after="0"/>
              <w:rPr>
                <w:sz w:val="20"/>
                <w:szCs w:val="20"/>
                <w:color w:val="auto"/>
              </w:rPr>
            </w:pPr>
            <w:r>
              <w:rPr>
                <w:rFonts w:ascii="Arial" w:cs="Arial" w:eastAsia="Arial" w:hAnsi="Arial"/>
                <w:sz w:val="14"/>
                <w:szCs w:val="14"/>
                <w:color w:val="auto"/>
              </w:rPr>
              <w:t>19.1</w:t>
            </w:r>
          </w:p>
        </w:tc>
        <w:tc>
          <w:tcPr>
            <w:tcW w:w="60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2"/>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 (loss)</w:t>
            </w:r>
          </w:p>
        </w:tc>
        <w:tc>
          <w:tcPr>
            <w:tcW w:w="3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8.0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3 %</w:t>
            </w:r>
          </w:p>
        </w:tc>
        <w:tc>
          <w:tcPr>
            <w:tcW w:w="1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(10.1)</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71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(3.3)</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(2.4)</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7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9"/>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36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0.4</w:t>
            </w:r>
          </w:p>
        </w:tc>
        <w:tc>
          <w:tcPr>
            <w:tcW w:w="78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w:t>
            </w:r>
          </w:p>
        </w:tc>
      </w:tr>
      <w:tr>
        <w:trPr>
          <w:trHeight w:val="199"/>
        </w:trPr>
        <w:tc>
          <w:tcPr>
            <w:tcW w:w="714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36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7"/>
                <w:szCs w:val="17"/>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(0.8)</w:t>
            </w:r>
          </w:p>
        </w:tc>
        <w:tc>
          <w:tcPr>
            <w:tcW w:w="6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2"/>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(loss) before income taxes</w:t>
            </w:r>
          </w:p>
        </w:tc>
        <w:tc>
          <w:tcPr>
            <w:tcW w:w="3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4.1</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(12.3)</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714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360" w:type="dxa"/>
            <w:vAlign w:val="bottom"/>
          </w:tcPr>
          <w:p>
            <w:pPr>
              <w:spacing w:after="0"/>
              <w:rPr>
                <w:sz w:val="17"/>
                <w:szCs w:val="17"/>
                <w:color w:val="auto"/>
              </w:rPr>
            </w:pPr>
          </w:p>
        </w:tc>
        <w:tc>
          <w:tcPr>
            <w:tcW w:w="960" w:type="dxa"/>
            <w:vAlign w:val="bottom"/>
          </w:tcPr>
          <w:p>
            <w:pPr>
              <w:jc w:val="right"/>
              <w:ind w:right="211"/>
              <w:spacing w:after="0"/>
              <w:rPr>
                <w:sz w:val="20"/>
                <w:szCs w:val="20"/>
                <w:color w:val="auto"/>
              </w:rPr>
            </w:pPr>
            <w:r>
              <w:rPr>
                <w:rFonts w:ascii="Arial" w:cs="Arial" w:eastAsia="Arial" w:hAnsi="Arial"/>
                <w:sz w:val="14"/>
                <w:szCs w:val="14"/>
                <w:color w:val="auto"/>
              </w:rPr>
              <w:t>2.1</w:t>
            </w:r>
          </w:p>
        </w:tc>
        <w:tc>
          <w:tcPr>
            <w:tcW w:w="600" w:type="dxa"/>
            <w:vAlign w:val="bottom"/>
          </w:tcPr>
          <w:p>
            <w:pPr>
              <w:jc w:val="right"/>
              <w:spacing w:after="0"/>
              <w:rPr>
                <w:sz w:val="20"/>
                <w:szCs w:val="20"/>
                <w:color w:val="auto"/>
              </w:rPr>
            </w:pPr>
            <w:r>
              <w:rPr>
                <w:rFonts w:ascii="Arial" w:cs="Arial" w:eastAsia="Arial" w:hAnsi="Arial"/>
                <w:sz w:val="14"/>
                <w:szCs w:val="14"/>
                <w:color w:val="auto"/>
              </w:rPr>
              <w:t>1 %</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(1.7)</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7"/>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2.0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(10.6)</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w:t>
            </w:r>
          </w:p>
        </w:tc>
      </w:tr>
      <w:tr>
        <w:trPr>
          <w:trHeight w:val="179"/>
        </w:trPr>
        <w:tc>
          <w:tcPr>
            <w:tcW w:w="7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Less:</w:t>
            </w:r>
          </w:p>
        </w:tc>
        <w:tc>
          <w:tcPr>
            <w:tcW w:w="3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80"/>
        </w:trPr>
        <w:tc>
          <w:tcPr>
            <w:tcW w:w="7140" w:type="dxa"/>
            <w:vAlign w:val="bottom"/>
          </w:tcPr>
          <w:p>
            <w:pPr>
              <w:ind w:left="180"/>
              <w:spacing w:after="0"/>
              <w:rPr>
                <w:sz w:val="20"/>
                <w:szCs w:val="20"/>
                <w:color w:val="auto"/>
              </w:rPr>
            </w:pPr>
            <w:r>
              <w:rPr>
                <w:rFonts w:ascii="Arial" w:cs="Arial" w:eastAsia="Arial" w:hAnsi="Arial"/>
                <w:sz w:val="14"/>
                <w:szCs w:val="14"/>
                <w:color w:val="auto"/>
              </w:rPr>
              <w:t>Net income (loss) attributable to noncontrolling interest</w:t>
            </w:r>
          </w:p>
        </w:tc>
        <w:tc>
          <w:tcPr>
            <w:tcW w:w="360" w:type="dxa"/>
            <w:vAlign w:val="bottom"/>
          </w:tcPr>
          <w:p>
            <w:pPr>
              <w:spacing w:after="0"/>
              <w:rPr>
                <w:sz w:val="15"/>
                <w:szCs w:val="15"/>
                <w:color w:val="auto"/>
              </w:rPr>
            </w:pPr>
          </w:p>
        </w:tc>
        <w:tc>
          <w:tcPr>
            <w:tcW w:w="960" w:type="dxa"/>
            <w:vAlign w:val="bottom"/>
          </w:tcPr>
          <w:p>
            <w:pPr>
              <w:jc w:val="right"/>
              <w:ind w:right="211"/>
              <w:spacing w:after="0"/>
              <w:rPr>
                <w:sz w:val="20"/>
                <w:szCs w:val="20"/>
                <w:color w:val="auto"/>
              </w:rPr>
            </w:pPr>
            <w:r>
              <w:rPr>
                <w:rFonts w:ascii="Arial" w:cs="Arial" w:eastAsia="Arial" w:hAnsi="Arial"/>
                <w:sz w:val="14"/>
                <w:szCs w:val="14"/>
                <w:color w:val="auto"/>
              </w:rPr>
              <w:t>2.0</w:t>
            </w:r>
          </w:p>
        </w:tc>
        <w:tc>
          <w:tcPr>
            <w:tcW w:w="600" w:type="dxa"/>
            <w:vAlign w:val="bottom"/>
          </w:tcPr>
          <w:p>
            <w:pPr>
              <w:jc w:val="right"/>
              <w:spacing w:after="0"/>
              <w:rPr>
                <w:sz w:val="20"/>
                <w:szCs w:val="20"/>
                <w:color w:val="auto"/>
              </w:rPr>
            </w:pPr>
            <w:r>
              <w:rPr>
                <w:rFonts w:ascii="Arial" w:cs="Arial" w:eastAsia="Arial" w:hAnsi="Arial"/>
                <w:sz w:val="14"/>
                <w:szCs w:val="14"/>
                <w:color w:val="auto"/>
              </w:rPr>
              <w:t>1 %</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(1.8)</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2"/>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attributable to Mission Produce</w:t>
            </w:r>
          </w:p>
        </w:tc>
        <w:tc>
          <w:tcPr>
            <w:tcW w:w="3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(8.8)</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7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221" w:lineRule="exact"/>
        <w:rPr>
          <w:sz w:val="20"/>
          <w:szCs w:val="20"/>
          <w:color w:val="auto"/>
        </w:rPr>
      </w:pPr>
    </w:p>
    <w:p>
      <w:pPr>
        <w:ind w:right="80" w:firstLine="619"/>
        <w:spacing w:after="0" w:line="264" w:lineRule="auto"/>
        <w:rPr>
          <w:sz w:val="20"/>
          <w:szCs w:val="20"/>
          <w:color w:val="auto"/>
        </w:rPr>
      </w:pPr>
      <w:r>
        <w:rPr>
          <w:rFonts w:ascii="Arial" w:cs="Arial" w:eastAsia="Arial" w:hAnsi="Arial"/>
          <w:sz w:val="14"/>
          <w:szCs w:val="14"/>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r>
      <w:tr>
        <w:trPr>
          <w:trHeight w:val="196"/>
        </w:trPr>
        <w:tc>
          <w:tcPr>
            <w:tcW w:w="76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40" w:type="dxa"/>
            <w:vAlign w:val="bottom"/>
            <w:tcBorders>
              <w:bottom w:val="single" w:sz="8" w:color="auto"/>
            </w:tcBorders>
          </w:tcPr>
          <w:p>
            <w:pPr>
              <w:spacing w:after="0"/>
              <w:rPr>
                <w:sz w:val="17"/>
                <w:szCs w:val="17"/>
                <w:color w:val="auto"/>
              </w:rPr>
            </w:pPr>
          </w:p>
        </w:tc>
      </w:tr>
      <w:tr>
        <w:trPr>
          <w:trHeight w:val="215"/>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 by segment:</w:t>
            </w: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r>
      <w:tr>
        <w:trPr>
          <w:trHeight w:val="199"/>
        </w:trPr>
        <w:tc>
          <w:tcPr>
            <w:tcW w:w="766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224.6</w:t>
            </w:r>
          </w:p>
        </w:tc>
        <w:tc>
          <w:tcPr>
            <w:tcW w:w="10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181.8</w:t>
            </w:r>
          </w:p>
        </w:tc>
      </w:tr>
      <w:tr>
        <w:trPr>
          <w:trHeight w:val="20"/>
        </w:trPr>
        <w:tc>
          <w:tcPr>
            <w:tcW w:w="7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International Farming</w:t>
            </w: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1.6</w:t>
            </w:r>
          </w:p>
        </w:tc>
        <w:tc>
          <w:tcPr>
            <w:tcW w:w="10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w:t>
            </w:r>
          </w:p>
        </w:tc>
      </w:tr>
      <w:tr>
        <w:trPr>
          <w:trHeight w:val="199"/>
        </w:trPr>
        <w:tc>
          <w:tcPr>
            <w:tcW w:w="766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58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32.5</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58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258.7</w:t>
            </w:r>
          </w:p>
        </w:tc>
        <w:tc>
          <w:tcPr>
            <w:tcW w:w="104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213.5</w:t>
            </w:r>
          </w:p>
        </w:tc>
      </w:tr>
      <w:tr>
        <w:trPr>
          <w:trHeight w:val="20"/>
        </w:trPr>
        <w:tc>
          <w:tcPr>
            <w:tcW w:w="7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4"/>
          <w:szCs w:val="14"/>
          <w:color w:val="auto"/>
        </w:rPr>
        <w:t>Net sales increased $45.2 million or 21% in the three months ended January 31, 2024 compared to the same period last year, driven by higher average per-unit avocado sales prices, which increased by 23% despite flat volume sold compared to the same period last year. Blueberry revenue also increased $2.7 million or 9%, primarily due to a 90% increase in average per-unit sales price, substantially offset by a 43% decrease in volume sold, both of which were driven by significant reductions in industry blueberry supply from Peru during the 2023/2024 harvest season resulting from regional weather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w:t>
      </w:r>
    </w:p>
    <w:p>
      <w:pPr>
        <w:spacing w:after="0" w:line="234" w:lineRule="exact"/>
        <w:rPr>
          <w:sz w:val="20"/>
          <w:szCs w:val="20"/>
          <w:color w:val="auto"/>
        </w:rPr>
      </w:pPr>
    </w:p>
    <w:p>
      <w:pPr>
        <w:ind w:right="160" w:firstLine="619"/>
        <w:spacing w:after="0" w:line="253" w:lineRule="auto"/>
        <w:rPr>
          <w:sz w:val="20"/>
          <w:szCs w:val="20"/>
          <w:color w:val="auto"/>
        </w:rPr>
      </w:pPr>
      <w:r>
        <w:rPr>
          <w:rFonts w:ascii="Arial" w:cs="Arial" w:eastAsia="Arial" w:hAnsi="Arial"/>
          <w:sz w:val="14"/>
          <w:szCs w:val="14"/>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85" w:lineRule="exact"/>
        <w:rPr>
          <w:sz w:val="20"/>
          <w:szCs w:val="20"/>
          <w:color w:val="auto"/>
        </w:rPr>
      </w:pPr>
    </w:p>
    <w:p>
      <w:pPr>
        <w:ind w:right="200" w:firstLine="619"/>
        <w:spacing w:after="0" w:line="253" w:lineRule="auto"/>
        <w:rPr>
          <w:sz w:val="20"/>
          <w:szCs w:val="20"/>
          <w:color w:val="auto"/>
        </w:rPr>
      </w:pPr>
      <w:r>
        <w:rPr>
          <w:rFonts w:ascii="Arial" w:cs="Arial" w:eastAsia="Arial" w:hAnsi="Arial"/>
          <w:sz w:val="14"/>
          <w:szCs w:val="14"/>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36" w:lineRule="exact"/>
        <w:rPr>
          <w:sz w:val="20"/>
          <w:szCs w:val="20"/>
          <w:color w:val="auto"/>
        </w:rPr>
      </w:pPr>
    </w:p>
    <w:p>
      <w:pPr>
        <w:ind w:right="20" w:firstLine="619"/>
        <w:spacing w:after="0" w:line="253" w:lineRule="auto"/>
        <w:rPr>
          <w:sz w:val="20"/>
          <w:szCs w:val="20"/>
          <w:color w:val="auto"/>
        </w:rPr>
      </w:pPr>
      <w:r>
        <w:rPr>
          <w:rFonts w:ascii="Arial" w:cs="Arial" w:eastAsia="Arial" w:hAnsi="Arial"/>
          <w:sz w:val="14"/>
          <w:szCs w:val="14"/>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185" w:lineRule="exact"/>
        <w:rPr>
          <w:sz w:val="20"/>
          <w:szCs w:val="20"/>
          <w:color w:val="auto"/>
        </w:rPr>
      </w:pPr>
    </w:p>
    <w:p>
      <w:pPr>
        <w:jc w:val="both"/>
        <w:ind w:right="140" w:firstLine="619"/>
        <w:spacing w:after="0" w:line="278" w:lineRule="auto"/>
        <w:rPr>
          <w:sz w:val="20"/>
          <w:szCs w:val="20"/>
          <w:color w:val="auto"/>
        </w:rPr>
      </w:pPr>
      <w:r>
        <w:rPr>
          <w:rFonts w:ascii="Arial" w:cs="Arial" w:eastAsia="Arial" w:hAnsi="Arial"/>
          <w:sz w:val="14"/>
          <w:szCs w:val="14"/>
          <w:color w:val="auto"/>
        </w:rPr>
        <w:t>Gross profit percentage will fluctuate based upon per-unit sales price levels in relation to per-unit costs. Margin is primarily managed on a per-unit basis in our Marketing and Distribution segment, which can lead to movement in gross profit percentage when sales prices fluctuate.</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7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Three Months Ended</w:t>
            </w:r>
          </w:p>
        </w:tc>
        <w:tc>
          <w:tcPr>
            <w:tcW w:w="800" w:type="dxa"/>
            <w:vAlign w:val="bottom"/>
          </w:tcPr>
          <w:p>
            <w:pPr>
              <w:spacing w:after="0"/>
              <w:rPr>
                <w:sz w:val="14"/>
                <w:szCs w:val="14"/>
                <w:color w:val="auto"/>
              </w:rPr>
            </w:pPr>
          </w:p>
        </w:tc>
      </w:tr>
      <w:tr>
        <w:trPr>
          <w:trHeight w:val="196"/>
        </w:trPr>
        <w:tc>
          <w:tcPr>
            <w:tcW w:w="74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8"/>
              </w:rPr>
              <w:t>January 31,</w:t>
            </w:r>
          </w:p>
        </w:tc>
        <w:tc>
          <w:tcPr>
            <w:tcW w:w="800" w:type="dxa"/>
            <w:vAlign w:val="bottom"/>
            <w:tcBorders>
              <w:bottom w:val="single" w:sz="8" w:color="auto"/>
            </w:tcBorders>
          </w:tcPr>
          <w:p>
            <w:pPr>
              <w:spacing w:after="0"/>
              <w:rPr>
                <w:sz w:val="17"/>
                <w:szCs w:val="17"/>
                <w:color w:val="auto"/>
              </w:rPr>
            </w:pPr>
          </w:p>
        </w:tc>
      </w:tr>
      <w:tr>
        <w:trPr>
          <w:trHeight w:val="212"/>
        </w:trPr>
        <w:tc>
          <w:tcPr>
            <w:tcW w:w="7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 (in millions)</w:t>
            </w: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28.7</w:t>
            </w:r>
          </w:p>
        </w:tc>
        <w:tc>
          <w:tcPr>
            <w:tcW w:w="1040" w:type="dxa"/>
            <w:vAlign w:val="bottom"/>
            <w:tcBorders>
              <w:bottom w:val="single" w:sz="8" w:color="DBDBDB"/>
            </w:tcBorders>
            <w:shd w:val="clear" w:color="auto" w:fill="DBDBDB"/>
          </w:tcPr>
          <w:p>
            <w:pPr>
              <w:jc w:val="right"/>
              <w:ind w:right="8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9.0</w:t>
            </w: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Gross profit as a percentage of sales</w:t>
            </w:r>
          </w:p>
        </w:tc>
        <w:tc>
          <w:tcPr>
            <w:tcW w:w="6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11.1 %</w:t>
            </w:r>
          </w:p>
        </w:tc>
        <w:tc>
          <w:tcPr>
            <w:tcW w:w="10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right="120" w:firstLine="619"/>
        <w:spacing w:after="0" w:line="264" w:lineRule="auto"/>
        <w:rPr>
          <w:sz w:val="20"/>
          <w:szCs w:val="20"/>
          <w:color w:val="auto"/>
        </w:rPr>
      </w:pPr>
      <w:r>
        <w:rPr>
          <w:rFonts w:ascii="Arial" w:cs="Arial" w:eastAsia="Arial" w:hAnsi="Arial"/>
          <w:sz w:val="14"/>
          <w:szCs w:val="14"/>
          <w:color w:val="auto"/>
        </w:rPr>
        <w:t>Gross profit increased $19.7 million or 219% in the three months ended January 31, 2024 compared to the same period last year to $28.7 million and gross profit percentage increased 690 basis points to 11.1% of revenue, compared to the same period last year. The increases were driven by our Marketing and Distribution segment, where per-unit margins on avocados sold improved, and our Blueberries segment, where we benefited significantly from higher per-unit sales pricing.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general and administrative expenses</w:t>
      </w:r>
    </w:p>
    <w:p>
      <w:pPr>
        <w:spacing w:after="0" w:line="221" w:lineRule="exact"/>
        <w:rPr>
          <w:sz w:val="20"/>
          <w:szCs w:val="20"/>
          <w:color w:val="auto"/>
        </w:rPr>
      </w:pPr>
    </w:p>
    <w:p>
      <w:pPr>
        <w:ind w:right="300" w:firstLine="619"/>
        <w:spacing w:after="0" w:line="278" w:lineRule="auto"/>
        <w:rPr>
          <w:sz w:val="20"/>
          <w:szCs w:val="20"/>
          <w:color w:val="auto"/>
        </w:rPr>
      </w:pPr>
      <w:r>
        <w:rPr>
          <w:rFonts w:ascii="Arial" w:cs="Arial" w:eastAsia="Arial" w:hAnsi="Arial"/>
          <w:sz w:val="14"/>
          <w:szCs w:val="14"/>
          <w:color w:val="auto"/>
        </w:rPr>
        <w:t>Selling, general and administrative (“SG&amp;A”) expenses primarily include the costs associated with selling, professional fees, general corporate overhead and other related administrative functions.</w:t>
      </w:r>
    </w:p>
    <w:p>
      <w:pPr>
        <w:spacing w:after="0" w:line="218"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17780</wp:posOffset>
            </wp:positionV>
            <wp:extent cx="2226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5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12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20.7</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19.1</w:t>
            </w:r>
          </w:p>
        </w:tc>
      </w:tr>
      <w:tr>
        <w:trPr>
          <w:trHeight w:val="20"/>
        </w:trPr>
        <w:tc>
          <w:tcPr>
            <w:tcW w:w="522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63" w:lineRule="exact"/>
        <w:rPr>
          <w:sz w:val="20"/>
          <w:szCs w:val="20"/>
          <w:color w:val="auto"/>
        </w:rPr>
      </w:pPr>
    </w:p>
    <w:p>
      <w:pPr>
        <w:jc w:val="both"/>
        <w:ind w:right="200" w:firstLine="619"/>
        <w:spacing w:after="0" w:line="264" w:lineRule="auto"/>
        <w:rPr>
          <w:sz w:val="20"/>
          <w:szCs w:val="20"/>
          <w:color w:val="auto"/>
        </w:rPr>
      </w:pPr>
      <w:r>
        <w:rPr>
          <w:rFonts w:ascii="Arial" w:cs="Arial" w:eastAsia="Arial" w:hAnsi="Arial"/>
          <w:sz w:val="14"/>
          <w:szCs w:val="14"/>
          <w:color w:val="auto"/>
        </w:rPr>
        <w:t>SG&amp;A expenses increased $1.6 million or 8% in the three months ended January 31, 2024 compared to the same period last year, primarily due to higher employee related costs, including performance-based incentive compensation and stock-based compensation expense. These costs were partially offset by a reduction of approximately $1.0 million in general corporate expenses.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221" w:lineRule="exact"/>
        <w:rPr>
          <w:sz w:val="20"/>
          <w:szCs w:val="20"/>
          <w:color w:val="auto"/>
        </w:rPr>
      </w:pPr>
    </w:p>
    <w:p>
      <w:pPr>
        <w:ind w:right="280" w:firstLine="619"/>
        <w:spacing w:after="0" w:line="278" w:lineRule="auto"/>
        <w:rPr>
          <w:sz w:val="20"/>
          <w:szCs w:val="20"/>
          <w:color w:val="auto"/>
        </w:rPr>
      </w:pPr>
      <w:r>
        <w:rPr>
          <w:rFonts w:ascii="Arial" w:cs="Arial" w:eastAsia="Arial" w:hAnsi="Arial"/>
          <w:sz w:val="14"/>
          <w:szCs w:val="14"/>
          <w:color w:val="auto"/>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p>
      <w:pPr>
        <w:spacing w:after="0" w:line="295"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17780</wp:posOffset>
            </wp:positionV>
            <wp:extent cx="2226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39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3.3</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43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firstLine="619"/>
        <w:spacing w:after="0" w:line="254" w:lineRule="auto"/>
        <w:rPr>
          <w:sz w:val="20"/>
          <w:szCs w:val="20"/>
          <w:color w:val="auto"/>
        </w:rPr>
      </w:pPr>
      <w:r>
        <w:rPr>
          <w:rFonts w:ascii="Arial" w:cs="Arial" w:eastAsia="Arial" w:hAnsi="Arial"/>
          <w:sz w:val="14"/>
          <w:szCs w:val="14"/>
          <w:color w:val="auto"/>
        </w:rPr>
        <w:t>Interest expense increased $0.9 million or 38% in the three months ended January 31, 2024, respectively, compared to the same period last year, driven primarily by the rise in SOFR. Interest expense incurred from a significant financing lease in our Blueberries segment was $0.5 million and $0.3 million in the three months ended January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method income</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material equity method investees include Henry Avocado (“HAC”), Mr. Avocado and Copaltas.</w:t>
      </w:r>
    </w:p>
    <w:p>
      <w:pPr>
        <w:spacing w:after="0" w:line="262"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17780</wp:posOffset>
            </wp:positionV>
            <wp:extent cx="22269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3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0.4</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45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Equity method income decreased $0.6 million or 60% in the three months ended January 31, 2024 compared to the same period last year, primarily due to weak results at Mr.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Avocado resulting from low margins on fruit sold.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net</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Other expense, net consists of interest income, currency exchange gains or losses, interest rate derivative gains or losses and other miscellaneous income and expense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items.</w:t>
      </w:r>
    </w:p>
    <w:p>
      <w:pPr>
        <w:spacing w:after="0" w:line="3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17780</wp:posOffset>
            </wp:positionV>
            <wp:extent cx="2226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net</w:t>
            </w:r>
          </w:p>
        </w:tc>
        <w:tc>
          <w:tcPr>
            <w:tcW w:w="386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44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firstLine="619"/>
        <w:spacing w:after="0" w:line="278" w:lineRule="auto"/>
        <w:rPr>
          <w:sz w:val="20"/>
          <w:szCs w:val="20"/>
          <w:color w:val="auto"/>
        </w:rPr>
      </w:pPr>
      <w:r>
        <w:rPr>
          <w:rFonts w:ascii="Arial" w:cs="Arial" w:eastAsia="Arial" w:hAnsi="Arial"/>
          <w:sz w:val="14"/>
          <w:szCs w:val="14"/>
          <w:color w:val="auto"/>
        </w:rPr>
        <w:t>Other expense increased $0.2 million or 25% in three months ended January 31, 2024 compared to the same period last year, with the majority of the expense being driven by foreign currency transaction losses primarily due to the weakening of the U.S. dollar relative to the Mexican peso.</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221" w:lineRule="exact"/>
        <w:rPr>
          <w:sz w:val="20"/>
          <w:szCs w:val="20"/>
          <w:color w:val="auto"/>
        </w:rPr>
      </w:pPr>
    </w:p>
    <w:p>
      <w:pPr>
        <w:ind w:right="40" w:firstLine="619"/>
        <w:spacing w:after="0" w:line="253" w:lineRule="auto"/>
        <w:rPr>
          <w:sz w:val="20"/>
          <w:szCs w:val="20"/>
          <w:color w:val="auto"/>
        </w:rPr>
      </w:pPr>
      <w:r>
        <w:rPr>
          <w:rFonts w:ascii="Arial" w:cs="Arial" w:eastAsia="Arial" w:hAnsi="Arial"/>
          <w:sz w:val="14"/>
          <w:szCs w:val="14"/>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85" w:lineRule="exact"/>
        <w:rPr>
          <w:sz w:val="20"/>
          <w:szCs w:val="20"/>
          <w:color w:val="auto"/>
        </w:rPr>
      </w:pPr>
    </w:p>
    <w:p>
      <w:pPr>
        <w:ind w:right="160" w:firstLine="619"/>
        <w:spacing w:after="0" w:line="264" w:lineRule="auto"/>
        <w:rPr>
          <w:sz w:val="20"/>
          <w:szCs w:val="20"/>
          <w:color w:val="auto"/>
        </w:rPr>
      </w:pPr>
      <w:r>
        <w:rPr>
          <w:rFonts w:ascii="Arial" w:cs="Arial" w:eastAsia="Arial" w:hAnsi="Arial"/>
          <w:sz w:val="14"/>
          <w:szCs w:val="14"/>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78" w:lineRule="exact"/>
        <w:rPr>
          <w:sz w:val="20"/>
          <w:szCs w:val="20"/>
          <w:color w:val="auto"/>
        </w:rPr>
      </w:pPr>
    </w:p>
    <w:p>
      <w:pPr>
        <w:ind w:right="340" w:firstLine="619"/>
        <w:spacing w:after="0" w:line="259" w:lineRule="auto"/>
        <w:rPr>
          <w:sz w:val="20"/>
          <w:szCs w:val="20"/>
          <w:color w:val="auto"/>
        </w:rPr>
      </w:pPr>
      <w:r>
        <w:rPr>
          <w:rFonts w:ascii="Arial" w:cs="Arial" w:eastAsia="Arial" w:hAnsi="Arial"/>
          <w:sz w:val="14"/>
          <w:szCs w:val="14"/>
          <w:color w:val="auto"/>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7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Three Months Ended</w:t>
            </w:r>
          </w:p>
        </w:tc>
        <w:tc>
          <w:tcPr>
            <w:tcW w:w="800" w:type="dxa"/>
            <w:vAlign w:val="bottom"/>
          </w:tcPr>
          <w:p>
            <w:pPr>
              <w:spacing w:after="0"/>
              <w:rPr>
                <w:sz w:val="14"/>
                <w:szCs w:val="14"/>
                <w:color w:val="auto"/>
              </w:rPr>
            </w:pPr>
          </w:p>
        </w:tc>
      </w:tr>
      <w:tr>
        <w:trPr>
          <w:trHeight w:val="196"/>
        </w:trPr>
        <w:tc>
          <w:tcPr>
            <w:tcW w:w="74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8"/>
              </w:rPr>
              <w:t>January 31,</w:t>
            </w:r>
          </w:p>
        </w:tc>
        <w:tc>
          <w:tcPr>
            <w:tcW w:w="800" w:type="dxa"/>
            <w:vAlign w:val="bottom"/>
            <w:tcBorders>
              <w:bottom w:val="single" w:sz="8" w:color="auto"/>
            </w:tcBorders>
          </w:tcPr>
          <w:p>
            <w:pPr>
              <w:spacing w:after="0"/>
              <w:rPr>
                <w:sz w:val="17"/>
                <w:szCs w:val="17"/>
                <w:color w:val="auto"/>
              </w:rPr>
            </w:pPr>
          </w:p>
        </w:tc>
      </w:tr>
      <w:tr>
        <w:trPr>
          <w:trHeight w:val="212"/>
        </w:trPr>
        <w:tc>
          <w:tcPr>
            <w:tcW w:w="7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2023</w:t>
            </w:r>
          </w:p>
        </w:tc>
      </w:tr>
      <w:tr>
        <w:trPr>
          <w:trHeight w:val="199"/>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(benefit) for income taxes (in millions)</w:t>
            </w: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w:t>
            </w:r>
          </w:p>
        </w:tc>
        <w:tc>
          <w:tcPr>
            <w:tcW w:w="1040" w:type="dxa"/>
            <w:vAlign w:val="bottom"/>
            <w:tcBorders>
              <w:bottom w:val="single" w:sz="8" w:color="DBDBDB"/>
            </w:tcBorders>
            <w:shd w:val="clear" w:color="auto" w:fill="DBDBDB"/>
          </w:tcPr>
          <w:p>
            <w:pPr>
              <w:jc w:val="right"/>
              <w:ind w:right="8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4"/>
                <w:szCs w:val="14"/>
                <w:color w:val="auto"/>
              </w:rPr>
              <w:t>(1.7)</w:t>
            </w: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6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51.2 %</w:t>
            </w:r>
          </w:p>
        </w:tc>
        <w:tc>
          <w:tcPr>
            <w:tcW w:w="10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13.8 %</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80" w:firstLine="619"/>
        <w:spacing w:after="0" w:line="278" w:lineRule="auto"/>
        <w:rPr>
          <w:sz w:val="20"/>
          <w:szCs w:val="20"/>
          <w:color w:val="auto"/>
        </w:rPr>
      </w:pPr>
      <w:r>
        <w:rPr>
          <w:rFonts w:ascii="Arial" w:cs="Arial" w:eastAsia="Arial" w:hAnsi="Arial"/>
          <w:sz w:val="14"/>
          <w:szCs w:val="14"/>
          <w:color w:val="auto"/>
        </w:rPr>
        <w:t>The provision for income tax was $2.1 million in the three months ended January 31, 2024 compared to a benefit of $1.7 million in the same period last year. Our effective tax rate was impacted by book losses in jurisdictions where either a full valuation allowance has been recorded or where loss carryforward is disallowed.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228" w:lineRule="exact"/>
        <w:rPr>
          <w:sz w:val="20"/>
          <w:szCs w:val="20"/>
          <w:color w:val="auto"/>
        </w:rPr>
      </w:pPr>
    </w:p>
    <w:p>
      <w:pPr>
        <w:ind w:right="220" w:firstLine="619"/>
        <w:spacing w:after="0" w:line="264" w:lineRule="auto"/>
        <w:rPr>
          <w:sz w:val="20"/>
          <w:szCs w:val="20"/>
          <w:color w:val="auto"/>
        </w:rPr>
      </w:pPr>
      <w:r>
        <w:rPr>
          <w:rFonts w:ascii="Arial" w:cs="Arial" w:eastAsia="Arial" w:hAnsi="Arial"/>
          <w:sz w:val="14"/>
          <w:szCs w:val="14"/>
          <w:color w:val="auto"/>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36" w:lineRule="exact"/>
        <w:rPr>
          <w:sz w:val="20"/>
          <w:szCs w:val="20"/>
          <w:color w:val="auto"/>
        </w:rPr>
      </w:pPr>
    </w:p>
    <w:p>
      <w:pPr>
        <w:ind w:right="380"/>
        <w:spacing w:after="0" w:line="278" w:lineRule="auto"/>
        <w:rPr>
          <w:sz w:val="20"/>
          <w:szCs w:val="20"/>
          <w:color w:val="auto"/>
        </w:rPr>
      </w:pPr>
      <w:r>
        <w:rPr>
          <w:rFonts w:ascii="Arial" w:cs="Arial" w:eastAsia="Arial" w:hAnsi="Arial"/>
          <w:sz w:val="14"/>
          <w:szCs w:val="14"/>
          <w:color w:val="auto"/>
        </w:rPr>
        <w:t>the financial results of each reportable segment in relation to the Company as a whole. These measures are not in accordance with, nor are they a substitute for or superior to, the comparable GAAP financial measures.</w:t>
      </w:r>
    </w:p>
    <w:p>
      <w:pPr>
        <w:spacing w:after="0" w:line="168" w:lineRule="exact"/>
        <w:rPr>
          <w:sz w:val="20"/>
          <w:szCs w:val="20"/>
          <w:color w:val="auto"/>
        </w:rPr>
      </w:pPr>
    </w:p>
    <w:p>
      <w:pPr>
        <w:ind w:right="60" w:firstLine="619"/>
        <w:spacing w:after="0" w:line="252" w:lineRule="auto"/>
        <w:rPr>
          <w:sz w:val="20"/>
          <w:szCs w:val="20"/>
          <w:color w:val="auto"/>
        </w:rPr>
      </w:pPr>
      <w:r>
        <w:rPr>
          <w:rFonts w:ascii="Arial" w:cs="Arial" w:eastAsia="Arial" w:hAnsi="Arial"/>
          <w:sz w:val="14"/>
          <w:szCs w:val="14"/>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40" w:type="dxa"/>
            <w:vAlign w:val="bottom"/>
          </w:tcPr>
          <w:p>
            <w:pPr>
              <w:spacing w:after="0"/>
              <w:rPr>
                <w:sz w:val="11"/>
                <w:szCs w:val="11"/>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rPr>
              <w:t>Total</w:t>
            </w:r>
          </w:p>
        </w:tc>
        <w:tc>
          <w:tcPr>
            <w:tcW w:w="360" w:type="dxa"/>
            <w:vAlign w:val="bottom"/>
          </w:tcPr>
          <w:p>
            <w:pPr>
              <w:spacing w:after="0"/>
              <w:rPr>
                <w:sz w:val="11"/>
                <w:szCs w:val="11"/>
                <w:color w:val="auto"/>
              </w:rPr>
            </w:pPr>
          </w:p>
        </w:tc>
        <w:tc>
          <w:tcPr>
            <w:tcW w:w="86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3"/>
          </w:tcPr>
          <w:p>
            <w:pPr>
              <w:jc w:val="right"/>
              <w:ind w:right="648"/>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2023</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224.6</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1.6</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258.7</w:t>
            </w:r>
          </w:p>
        </w:tc>
        <w:tc>
          <w:tcPr>
            <w:tcW w:w="3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181.8</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1.9</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29.8</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213.5</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4.2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780" w:type="dxa"/>
            <w:vAlign w:val="bottom"/>
          </w:tcPr>
          <w:p>
            <w:pPr>
              <w:jc w:val="right"/>
              <w:ind w:right="128"/>
              <w:spacing w:after="0"/>
              <w:rPr>
                <w:sz w:val="20"/>
                <w:szCs w:val="20"/>
                <w:color w:val="auto"/>
              </w:rPr>
            </w:pPr>
            <w:r>
              <w:rPr>
                <w:rFonts w:ascii="Arial" w:cs="Arial" w:eastAsia="Arial" w:hAnsi="Arial"/>
                <w:sz w:val="10"/>
                <w:szCs w:val="10"/>
                <w:color w:val="auto"/>
              </w:rPr>
              <w:t>4.2</w:t>
            </w:r>
          </w:p>
        </w:tc>
        <w:tc>
          <w:tcPr>
            <w:tcW w:w="360" w:type="dxa"/>
            <w:vAlign w:val="bottom"/>
          </w:tcPr>
          <w:p>
            <w:pPr>
              <w:spacing w:after="0"/>
              <w:rPr>
                <w:sz w:val="12"/>
                <w:szCs w:val="12"/>
                <w:color w:val="auto"/>
              </w:rPr>
            </w:pPr>
          </w:p>
        </w:tc>
        <w:tc>
          <w:tcPr>
            <w:tcW w:w="86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3.8</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1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224.6</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5.8</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32.5</w:t>
            </w:r>
          </w:p>
        </w:tc>
        <w:tc>
          <w:tcPr>
            <w:tcW w:w="44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262.9</w:t>
            </w:r>
          </w:p>
        </w:tc>
        <w:tc>
          <w:tcPr>
            <w:tcW w:w="360" w:type="dxa"/>
            <w:vAlign w:val="bottom"/>
            <w:tcBorders>
              <w:bottom w:val="single" w:sz="8" w:color="DBDBDB"/>
            </w:tcBorders>
            <w:shd w:val="clear" w:color="auto" w:fill="DBDBDB"/>
          </w:tcPr>
          <w:p>
            <w:pPr>
              <w:spacing w:after="0"/>
              <w:rPr>
                <w:sz w:val="13"/>
                <w:szCs w:val="13"/>
                <w:color w:val="auto"/>
              </w:rPr>
            </w:pP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181.8</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5.7</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29.8</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217.3</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(4.2)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780" w:type="dxa"/>
            <w:vAlign w:val="bottom"/>
          </w:tcPr>
          <w:p>
            <w:pPr>
              <w:jc w:val="right"/>
              <w:ind w:right="108"/>
              <w:spacing w:after="0"/>
              <w:rPr>
                <w:sz w:val="20"/>
                <w:szCs w:val="20"/>
                <w:color w:val="auto"/>
              </w:rPr>
            </w:pPr>
            <w:r>
              <w:rPr>
                <w:rFonts w:ascii="Arial" w:cs="Arial" w:eastAsia="Arial" w:hAnsi="Arial"/>
                <w:sz w:val="10"/>
                <w:szCs w:val="10"/>
                <w:color w:val="auto"/>
              </w:rPr>
              <w:t>(4.2)</w:t>
            </w:r>
          </w:p>
        </w:tc>
        <w:tc>
          <w:tcPr>
            <w:tcW w:w="360" w:type="dxa"/>
            <w:vAlign w:val="bottom"/>
          </w:tcPr>
          <w:p>
            <w:pPr>
              <w:spacing w:after="0"/>
              <w:rPr>
                <w:sz w:val="12"/>
                <w:szCs w:val="12"/>
                <w:color w:val="auto"/>
              </w:rPr>
            </w:pPr>
          </w:p>
        </w:tc>
        <w:tc>
          <w:tcPr>
            <w:tcW w:w="86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(3.8)</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224.6</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1.6</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258.7</w:t>
            </w:r>
          </w:p>
        </w:tc>
        <w:tc>
          <w:tcPr>
            <w:tcW w:w="3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181.8</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1.9</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29.8</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213.5</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EBITDA</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80" w:type="dxa"/>
            <w:vAlign w:val="bottom"/>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5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Marketing and Distribution adjusted EBITDA</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11.0</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International Farming adjusted EBITDA</w:t>
            </w:r>
          </w:p>
        </w:tc>
        <w:tc>
          <w:tcPr>
            <w:tcW w:w="58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Blueberries adjusted EBITDA</w:t>
            </w:r>
          </w:p>
        </w:tc>
        <w:tc>
          <w:tcPr>
            <w:tcW w:w="5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8.7</w:t>
            </w:r>
          </w:p>
        </w:tc>
        <w:tc>
          <w:tcPr>
            <w:tcW w:w="102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2"/>
        </w:trPr>
        <w:tc>
          <w:tcPr>
            <w:tcW w:w="7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reportable segment adjusted EBITDA</w:t>
            </w: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19.2</w:t>
            </w:r>
          </w:p>
        </w:tc>
        <w:tc>
          <w:tcPr>
            <w:tcW w:w="10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Net income (loss)</w:t>
            </w: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Provision (benefit) for income taxes</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9"/>
        </w:trPr>
        <w:tc>
          <w:tcPr>
            <w:tcW w:w="7560" w:type="dxa"/>
            <w:vAlign w:val="bottom"/>
          </w:tcPr>
          <w:p>
            <w:pPr>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(1)</w:t>
            </w:r>
          </w:p>
        </w:tc>
        <w:tc>
          <w:tcPr>
            <w:tcW w:w="5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12.9</w:t>
            </w: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(0.4)</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1.4</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Asset impairment and disposals, net of insurance recoveries</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Farming costs for nonproductive orchards</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60" w:type="dxa"/>
            <w:vAlign w:val="bottom"/>
            <w:shd w:val="clear" w:color="auto" w:fill="DBDBDB"/>
          </w:tcPr>
          <w:p>
            <w:pPr>
              <w:spacing w:after="0"/>
              <w:rPr>
                <w:sz w:val="20"/>
                <w:szCs w:val="20"/>
                <w:color w:val="auto"/>
              </w:rPr>
            </w:pPr>
            <w:r>
              <w:rPr>
                <w:rFonts w:ascii="Arial" w:cs="Arial" w:eastAsia="Arial" w:hAnsi="Arial"/>
                <w:sz w:val="14"/>
                <w:szCs w:val="14"/>
                <w:color w:val="auto"/>
              </w:rPr>
              <w:t>ERP costs</w:t>
            </w:r>
            <w:r>
              <w:rPr>
                <w:rFonts w:ascii="Arial" w:cs="Arial" w:eastAsia="Arial" w:hAnsi="Arial"/>
                <w:sz w:val="17"/>
                <w:szCs w:val="17"/>
                <w:color w:val="auto"/>
                <w:vertAlign w:val="superscript"/>
              </w:rPr>
              <w:t>(2)</w:t>
            </w:r>
          </w:p>
        </w:tc>
        <w:tc>
          <w:tcPr>
            <w:tcW w:w="58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0.5</w:t>
            </w:r>
          </w:p>
        </w:tc>
        <w:tc>
          <w:tcPr>
            <w:tcW w:w="10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Severance</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1.3</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Legal settlement</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Transaction costs</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Amortization of inventory adjustment recognized from business combination</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4"/>
                <w:szCs w:val="14"/>
                <w:color w:val="auto"/>
              </w:rPr>
              <w:t>Other expense, net</w:t>
            </w:r>
          </w:p>
        </w:tc>
        <w:tc>
          <w:tcPr>
            <w:tcW w:w="5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(3)</w:t>
            </w:r>
          </w:p>
        </w:tc>
        <w:tc>
          <w:tcPr>
            <w:tcW w:w="58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(5.8)</w:t>
            </w:r>
          </w:p>
        </w:tc>
        <w:tc>
          <w:tcPr>
            <w:tcW w:w="102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7560" w:type="dxa"/>
            <w:vAlign w:val="bottom"/>
          </w:tcPr>
          <w:p>
            <w:pPr>
              <w:spacing w:after="0"/>
              <w:rPr>
                <w:sz w:val="20"/>
                <w:szCs w:val="20"/>
                <w:color w:val="auto"/>
              </w:rPr>
            </w:pPr>
            <w:r>
              <w:rPr>
                <w:rFonts w:ascii="Arial" w:cs="Arial" w:eastAsia="Arial" w:hAnsi="Arial"/>
                <w:sz w:val="14"/>
                <w:szCs w:val="14"/>
                <w:color w:val="auto"/>
              </w:rPr>
              <w:t>Total adjusted EBITDA</w:t>
            </w: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19.2</w:t>
            </w:r>
          </w:p>
        </w:tc>
        <w:tc>
          <w:tcPr>
            <w:tcW w:w="1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(1)Includes depreciation and amortization of purchase accounting assets of $2.9 million and $1.6 million for the three months ended January 31, 2024 and 2023, respectively. The three months ended January 31,</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2024 include $4.1 million of accelerated depreciation expense for certain blueberry plants determined to have no remaining useful life.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(2)Recognition of deferred ERP implementation costs.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(3)Represents net income (loss) attributable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and Distribution</w:t>
      </w:r>
    </w:p>
    <w:p>
      <w:pPr>
        <w:spacing w:after="0" w:line="213" w:lineRule="exact"/>
        <w:rPr>
          <w:sz w:val="20"/>
          <w:szCs w:val="20"/>
          <w:color w:val="auto"/>
        </w:rPr>
      </w:pPr>
    </w:p>
    <w:p>
      <w:pPr>
        <w:ind w:right="400" w:firstLine="619"/>
        <w:spacing w:after="0" w:line="278" w:lineRule="auto"/>
        <w:rPr>
          <w:sz w:val="20"/>
          <w:szCs w:val="20"/>
          <w:color w:val="auto"/>
        </w:rPr>
      </w:pPr>
      <w:r>
        <w:rPr>
          <w:rFonts w:ascii="Arial" w:cs="Arial" w:eastAsia="Arial" w:hAnsi="Arial"/>
          <w:sz w:val="14"/>
          <w:szCs w:val="14"/>
          <w:color w:val="auto"/>
        </w:rPr>
        <w:t>Net sales in our Marketing and Distribution segment increased $42.8 million or 24% in the three months ended January 31, 2024 compared to the same period last year, driven by avocado pricing increases as described above.</w:t>
      </w:r>
    </w:p>
    <w:p>
      <w:pPr>
        <w:spacing w:after="0" w:line="156" w:lineRule="exact"/>
        <w:rPr>
          <w:sz w:val="20"/>
          <w:szCs w:val="20"/>
          <w:color w:val="auto"/>
        </w:rPr>
      </w:pPr>
    </w:p>
    <w:p>
      <w:pPr>
        <w:ind w:right="80" w:firstLine="619"/>
        <w:spacing w:after="0" w:line="278" w:lineRule="auto"/>
        <w:rPr>
          <w:sz w:val="20"/>
          <w:szCs w:val="20"/>
          <w:color w:val="auto"/>
        </w:rPr>
      </w:pPr>
      <w:r>
        <w:rPr>
          <w:rFonts w:ascii="Arial" w:cs="Arial" w:eastAsia="Arial" w:hAnsi="Arial"/>
          <w:sz w:val="14"/>
          <w:szCs w:val="14"/>
          <w:color w:val="auto"/>
        </w:rPr>
        <w:t>Segment adjusted EBITDA increased $6.4 million or 139% in the three months ended January 31, 2024 compared to the same period last year primarily due to improved per-unit gross margin on avocados sold.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Farming</w:t>
      </w:r>
    </w:p>
    <w:p>
      <w:pPr>
        <w:spacing w:after="0" w:line="213"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The vast majority of fruit sales from our International Farming segment are made to the Marketing and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In addition, the Company operates approximately 700 acres of mangos in Peru that are largely in an early stage of production. The timing of the mango harvest is generally concentrated in the fiscal second quarter. However, in the current fiscal year, the harvest has largely concluded in the fiscal first quarter.</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Total segment sales in our International Farming segment were flat in the three months ended January 31, 2024, compared to the same period last year.</w:t>
      </w:r>
    </w:p>
    <w:p>
      <w:pPr>
        <w:spacing w:after="0" w:line="200" w:lineRule="exact"/>
        <w:rPr>
          <w:sz w:val="20"/>
          <w:szCs w:val="20"/>
          <w:color w:val="auto"/>
        </w:rPr>
      </w:pPr>
    </w:p>
    <w:p>
      <w:pPr>
        <w:ind w:right="320" w:firstLine="619"/>
        <w:spacing w:after="0" w:line="278" w:lineRule="auto"/>
        <w:rPr>
          <w:sz w:val="20"/>
          <w:szCs w:val="20"/>
          <w:color w:val="auto"/>
        </w:rPr>
      </w:pPr>
      <w:r>
        <w:rPr>
          <w:rFonts w:ascii="Arial" w:cs="Arial" w:eastAsia="Arial" w:hAnsi="Arial"/>
          <w:sz w:val="14"/>
          <w:szCs w:val="14"/>
          <w:color w:val="auto"/>
        </w:rPr>
        <w:t>Segment adjusted EBITDA increased by $1.3 million or 72% in the three months ended January 31, 2024, compared to the same period last year, primarily driven by cost savings measures in our mango farms, packing operations, and SG&amp;A in Peru.</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13" w:lineRule="exact"/>
        <w:rPr>
          <w:sz w:val="20"/>
          <w:szCs w:val="20"/>
          <w:color w:val="auto"/>
        </w:rPr>
      </w:pPr>
    </w:p>
    <w:p>
      <w:pPr>
        <w:ind w:right="320" w:firstLine="619"/>
        <w:spacing w:after="0" w:line="278" w:lineRule="auto"/>
        <w:rPr>
          <w:sz w:val="20"/>
          <w:szCs w:val="20"/>
          <w:color w:val="auto"/>
        </w:rPr>
      </w:pPr>
      <w:r>
        <w:rPr>
          <w:rFonts w:ascii="Arial" w:cs="Arial" w:eastAsia="Arial" w:hAnsi="Arial"/>
          <w:sz w:val="14"/>
          <w:szCs w:val="14"/>
          <w:color w:val="auto"/>
        </w:rPr>
        <w:t>Sales in our Blueberries segment have been concentrated in the first and fourth quarters of our fiscal year in alignment with the Peruvian blueberry harvest season, which typically runs from July through February.</w:t>
      </w:r>
    </w:p>
    <w:p>
      <w:pPr>
        <w:spacing w:after="0" w:line="156" w:lineRule="exact"/>
        <w:rPr>
          <w:sz w:val="20"/>
          <w:szCs w:val="20"/>
          <w:color w:val="auto"/>
        </w:rPr>
      </w:pPr>
    </w:p>
    <w:p>
      <w:pPr>
        <w:ind w:right="240" w:firstLine="619"/>
        <w:spacing w:after="0" w:line="278" w:lineRule="auto"/>
        <w:rPr>
          <w:sz w:val="20"/>
          <w:szCs w:val="20"/>
          <w:color w:val="auto"/>
        </w:rPr>
      </w:pPr>
      <w:r>
        <w:rPr>
          <w:rFonts w:ascii="Arial" w:cs="Arial" w:eastAsia="Arial" w:hAnsi="Arial"/>
          <w:sz w:val="14"/>
          <w:szCs w:val="14"/>
          <w:color w:val="auto"/>
        </w:rPr>
        <w:t>Net sales in our Blueberries segment increased $2.7 million or 9% in the three months ended January 31, 2024 compared to the same period last year, primarily due to the price and volume dynamics described above.</w:t>
      </w:r>
    </w:p>
    <w:p>
      <w:pPr>
        <w:spacing w:after="0" w:line="168" w:lineRule="exact"/>
        <w:rPr>
          <w:sz w:val="20"/>
          <w:szCs w:val="20"/>
          <w:color w:val="auto"/>
        </w:rPr>
      </w:pPr>
    </w:p>
    <w:p>
      <w:pPr>
        <w:ind w:right="440" w:firstLine="619"/>
        <w:spacing w:after="0" w:line="278" w:lineRule="auto"/>
        <w:rPr>
          <w:sz w:val="20"/>
          <w:szCs w:val="20"/>
          <w:color w:val="auto"/>
        </w:rPr>
      </w:pPr>
      <w:r>
        <w:rPr>
          <w:rFonts w:ascii="Arial" w:cs="Arial" w:eastAsia="Arial" w:hAnsi="Arial"/>
          <w:sz w:val="14"/>
          <w:szCs w:val="14"/>
          <w:color w:val="auto"/>
        </w:rPr>
        <w:t>Segment adjusted EBITDA increased $9.2 million or 1840% for the three months ended January 31, 2024 compared to the same period last year, primarily due to gross margin improvement driven by elevated sales pricing.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221" w:lineRule="exact"/>
        <w:rPr>
          <w:sz w:val="20"/>
          <w:szCs w:val="20"/>
          <w:color w:val="auto"/>
        </w:rPr>
      </w:pPr>
    </w:p>
    <w:p>
      <w:pPr>
        <w:ind w:right="20" w:firstLine="619"/>
        <w:spacing w:after="0" w:line="253" w:lineRule="auto"/>
        <w:rPr>
          <w:sz w:val="20"/>
          <w:szCs w:val="20"/>
          <w:color w:val="auto"/>
        </w:rPr>
      </w:pPr>
      <w:r>
        <w:rPr>
          <w:rFonts w:ascii="Arial" w:cs="Arial" w:eastAsia="Arial" w:hAnsi="Arial"/>
          <w:sz w:val="14"/>
          <w:szCs w:val="14"/>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8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(10.6)</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12.9</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7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Equity method income</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(0.4)</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Noncash lease expense</w:t>
            </w:r>
          </w:p>
        </w:tc>
        <w:tc>
          <w:tcPr>
            <w:tcW w:w="6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1.5</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7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Stock-based compensation</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1.4</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0.7</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Dividends received from equity method investees</w:t>
            </w:r>
          </w:p>
        </w:tc>
        <w:tc>
          <w:tcPr>
            <w:tcW w:w="6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3.2</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7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Deferred income taxes</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(0.8)</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Other</w:t>
            </w:r>
          </w:p>
        </w:tc>
        <w:tc>
          <w:tcPr>
            <w:tcW w:w="6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1.2</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7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Changes in working capital</w:t>
            </w:r>
          </w:p>
        </w:tc>
        <w:tc>
          <w:tcPr>
            <w:tcW w:w="60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(11.5)</w:t>
            </w:r>
          </w:p>
        </w:tc>
        <w:tc>
          <w:tcPr>
            <w:tcW w:w="102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w:t>
            </w:r>
          </w:p>
        </w:tc>
      </w:tr>
      <w:tr>
        <w:trPr>
          <w:trHeight w:val="19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60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9.5</w:t>
            </w:r>
          </w:p>
        </w:tc>
        <w:tc>
          <w:tcPr>
            <w:tcW w:w="102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60" w:firstLine="619"/>
        <w:spacing w:after="0" w:line="252" w:lineRule="auto"/>
        <w:rPr>
          <w:sz w:val="20"/>
          <w:szCs w:val="20"/>
          <w:color w:val="auto"/>
        </w:rPr>
      </w:pPr>
      <w:r>
        <w:rPr>
          <w:rFonts w:ascii="Arial" w:cs="Arial" w:eastAsia="Arial" w:hAnsi="Arial"/>
          <w:sz w:val="14"/>
          <w:szCs w:val="14"/>
          <w:color w:val="auto"/>
        </w:rPr>
        <w:t>Net cash provided by operating activities was $9.5 million for the three months ended January 31, 2024, compared to cash used of $1.3 million in the same period last year, driven by improved operating performance partially offset by working capital growth. Within working capital, unfavorable changes in inventory and accounts receivable were partially offset by favorable changes in grower payables. Changes in inventory were driven by higher per-unit cost of Mexican fruit on-hand and higher blueberry growing crop inventory in Peru due to extension of the harvest season compared to prior year. Changes in accounts receivable and grower payables were correlated with the higher avocado pricing/cost factors previously discussed.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8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(9.9)</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(17.6)</w:t>
            </w:r>
          </w:p>
        </w:tc>
      </w:tr>
      <w:tr>
        <w:trPr>
          <w:trHeight w:val="199"/>
        </w:trPr>
        <w:tc>
          <w:tcPr>
            <w:tcW w:w="7640" w:type="dxa"/>
            <w:vAlign w:val="bottom"/>
          </w:tcPr>
          <w:p>
            <w:pPr>
              <w:ind w:left="20"/>
              <w:spacing w:after="0"/>
              <w:rPr>
                <w:sz w:val="20"/>
                <w:szCs w:val="20"/>
                <w:color w:val="auto"/>
              </w:rPr>
            </w:pPr>
            <w:r>
              <w:rPr>
                <w:rFonts w:ascii="Arial" w:cs="Arial" w:eastAsia="Arial" w:hAnsi="Arial"/>
                <w:sz w:val="14"/>
                <w:szCs w:val="14"/>
                <w:color w:val="auto"/>
              </w:rPr>
              <w:t>Investment in equity method investees</w:t>
            </w:r>
          </w:p>
        </w:tc>
        <w:tc>
          <w:tcPr>
            <w:tcW w:w="6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used in investing activities</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(9.9)</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(17.9)</w:t>
            </w:r>
          </w:p>
        </w:tc>
      </w:tr>
      <w:tr>
        <w:trPr>
          <w:trHeight w:val="20"/>
        </w:trPr>
        <w:tc>
          <w:tcPr>
            <w:tcW w:w="7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plant and equipment</w:t>
      </w:r>
    </w:p>
    <w:p>
      <w:pPr>
        <w:spacing w:after="0" w:line="27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923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5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 by segment:</w:t>
            </w:r>
          </w:p>
        </w:tc>
        <w:tc>
          <w:tcPr>
            <w:tcW w:w="27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274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3.0</w:t>
            </w:r>
          </w:p>
        </w:tc>
        <w:tc>
          <w:tcPr>
            <w:tcW w:w="82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9"/>
        </w:trPr>
        <w:tc>
          <w:tcPr>
            <w:tcW w:w="55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International Farming</w:t>
            </w:r>
          </w:p>
        </w:tc>
        <w:tc>
          <w:tcPr>
            <w:tcW w:w="27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3.9</w:t>
            </w:r>
          </w:p>
        </w:tc>
        <w:tc>
          <w:tcPr>
            <w:tcW w:w="8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9.5</w:t>
            </w: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2740" w:type="dxa"/>
            <w:vAlign w:val="bottom"/>
          </w:tcPr>
          <w:p>
            <w:pPr>
              <w:spacing w:after="0"/>
              <w:rPr>
                <w:sz w:val="17"/>
                <w:szCs w:val="17"/>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3.0</w:t>
            </w: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5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purchases of property, plant and equipment</w:t>
            </w:r>
          </w:p>
        </w:tc>
        <w:tc>
          <w:tcPr>
            <w:tcW w:w="274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9.9</w:t>
            </w:r>
          </w:p>
        </w:tc>
        <w:tc>
          <w:tcPr>
            <w:tcW w:w="82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17.6</w:t>
            </w:r>
          </w:p>
        </w:tc>
      </w:tr>
      <w:tr>
        <w:trPr>
          <w:trHeight w:val="20"/>
        </w:trPr>
        <w:tc>
          <w:tcPr>
            <w:tcW w:w="55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80" w:firstLine="619"/>
        <w:spacing w:after="0" w:line="264" w:lineRule="auto"/>
        <w:rPr>
          <w:sz w:val="20"/>
          <w:szCs w:val="20"/>
          <w:color w:val="auto"/>
        </w:rPr>
      </w:pPr>
      <w:r>
        <w:rPr>
          <w:rFonts w:ascii="Arial" w:cs="Arial" w:eastAsia="Arial" w:hAnsi="Arial"/>
          <w:sz w:val="14"/>
          <w:szCs w:val="14"/>
          <w:color w:val="auto"/>
        </w:rPr>
        <w:t>In the three months ended January 31, 2024 and 2023, capital expenditures in our Marketing and Distribution segment were comprised of construction costs at our UK distribution facility; in our International Farming segment, expenditures were for avocado orchard development and pre-production orchard maintenance and land improvements in Peru and Guatemala; and at our Blueberries segment, capital expenditures related to early-stage plant cultivation.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method investees</w:t>
      </w:r>
    </w:p>
    <w:p>
      <w:pPr>
        <w:spacing w:after="0" w:line="200"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From time to time, we may make capital contributions or loans to equity method investees to support capital expansion or working capital needs. Capital contributions made in the three months ended January 31, 2023 were to Mr. Avocado.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r>
      <w:tr>
        <w:trPr>
          <w:trHeight w:val="196"/>
        </w:trPr>
        <w:tc>
          <w:tcPr>
            <w:tcW w:w="75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4"/>
                <w:szCs w:val="14"/>
                <w:b w:val="1"/>
                <w:bCs w:val="1"/>
                <w:color w:val="auto"/>
              </w:rPr>
              <w:t>January 31,</w:t>
            </w:r>
          </w:p>
        </w:tc>
        <w:tc>
          <w:tcPr>
            <w:tcW w:w="800" w:type="dxa"/>
            <w:vAlign w:val="bottom"/>
            <w:tcBorders>
              <w:bottom w:val="single" w:sz="8" w:color="auto"/>
            </w:tcBorders>
          </w:tcPr>
          <w:p>
            <w:pPr>
              <w:spacing w:after="0"/>
              <w:rPr>
                <w:sz w:val="17"/>
                <w:szCs w:val="17"/>
                <w:color w:val="auto"/>
              </w:rPr>
            </w:pPr>
          </w:p>
        </w:tc>
      </w:tr>
      <w:tr>
        <w:trPr>
          <w:trHeight w:val="21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4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15.0</w:t>
            </w:r>
          </w:p>
        </w:tc>
        <w:tc>
          <w:tcPr>
            <w:tcW w:w="106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10.0</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40" w:type="dxa"/>
            <w:vAlign w:val="bottom"/>
          </w:tcPr>
          <w:p>
            <w:pPr>
              <w:spacing w:after="0"/>
              <w:rPr>
                <w:sz w:val="17"/>
                <w:szCs w:val="17"/>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(10.0)</w:t>
            </w:r>
          </w:p>
        </w:tc>
        <w:tc>
          <w:tcPr>
            <w:tcW w:w="106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7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Repayment of short-term borrowings</w:t>
            </w:r>
          </w:p>
        </w:tc>
        <w:tc>
          <w:tcPr>
            <w:tcW w:w="64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(2.8)</w:t>
            </w:r>
          </w:p>
        </w:tc>
        <w:tc>
          <w:tcPr>
            <w:tcW w:w="106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40" w:type="dxa"/>
            <w:vAlign w:val="bottom"/>
          </w:tcPr>
          <w:p>
            <w:pPr>
              <w:spacing w:after="0"/>
              <w:rPr>
                <w:sz w:val="17"/>
                <w:szCs w:val="17"/>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(0.9)</w:t>
            </w:r>
          </w:p>
        </w:tc>
        <w:tc>
          <w:tcPr>
            <w:tcW w:w="10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7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4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(2.3)</w:t>
            </w:r>
          </w:p>
        </w:tc>
        <w:tc>
          <w:tcPr>
            <w:tcW w:w="106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640" w:type="dxa"/>
            <w:vAlign w:val="bottom"/>
          </w:tcPr>
          <w:p>
            <w:pPr>
              <w:spacing w:after="0"/>
              <w:rPr>
                <w:sz w:val="17"/>
                <w:szCs w:val="17"/>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(0.3)</w:t>
            </w:r>
          </w:p>
        </w:tc>
        <w:tc>
          <w:tcPr>
            <w:tcW w:w="106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7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loans due to noncontrolling interest holder</w:t>
            </w:r>
          </w:p>
        </w:tc>
        <w:tc>
          <w:tcPr>
            <w:tcW w:w="64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(0.5)</w:t>
            </w:r>
          </w:p>
        </w:tc>
        <w:tc>
          <w:tcPr>
            <w:tcW w:w="106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640" w:type="dxa"/>
            <w:vAlign w:val="bottom"/>
          </w:tcPr>
          <w:p>
            <w:pPr>
              <w:spacing w:after="0"/>
              <w:rPr>
                <w:sz w:val="17"/>
                <w:szCs w:val="17"/>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(0.7)</w:t>
            </w:r>
          </w:p>
        </w:tc>
        <w:tc>
          <w:tcPr>
            <w:tcW w:w="10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7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4"/>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contributions from noncontrolling interest holders</w:t>
            </w:r>
          </w:p>
        </w:tc>
        <w:tc>
          <w:tcPr>
            <w:tcW w:w="64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1.0</w:t>
            </w:r>
          </w:p>
        </w:tc>
      </w:tr>
      <w:tr>
        <w:trPr>
          <w:trHeight w:val="192"/>
        </w:trPr>
        <w:tc>
          <w:tcPr>
            <w:tcW w:w="75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64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(2.5)</w:t>
            </w:r>
          </w:p>
        </w:tc>
        <w:tc>
          <w:tcPr>
            <w:tcW w:w="106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5.5</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Borrowings and repayments of debt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utilize a revolving line of credit for short-term working capital purposes. Principal payments on our credit facility are made in accordance with debt maturity schedules.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00" w:lineRule="exact"/>
        <w:rPr>
          <w:sz w:val="20"/>
          <w:szCs w:val="20"/>
          <w:color w:val="auto"/>
        </w:rPr>
      </w:pPr>
    </w:p>
    <w:p>
      <w:pPr>
        <w:jc w:val="both"/>
        <w:ind w:right="40" w:firstLine="619"/>
        <w:spacing w:after="0" w:line="278" w:lineRule="auto"/>
        <w:rPr>
          <w:sz w:val="20"/>
          <w:szCs w:val="20"/>
          <w:color w:val="auto"/>
        </w:rPr>
      </w:pPr>
      <w:r>
        <w:rPr>
          <w:rFonts w:ascii="Arial" w:cs="Arial" w:eastAsia="Arial" w:hAnsi="Arial"/>
          <w:sz w:val="14"/>
          <w:szCs w:val="14"/>
          <w:color w:val="auto"/>
        </w:rPr>
        <w:t>Financing of our Blueberries segment consists of shareholder contributions and loans, as well as short-term bank borrowings, as needed. Principal payments on finance lease obligations primarily relate to a long-term land lease, which for accounting purposes has been classified as a finance lease.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resources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January 31,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6"/>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330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39.9</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42.9</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(1)</w:t>
            </w:r>
          </w:p>
        </w:tc>
        <w:tc>
          <w:tcPr>
            <w:tcW w:w="3300" w:type="dxa"/>
            <w:vAlign w:val="bottom"/>
          </w:tcPr>
          <w:p>
            <w:pPr>
              <w:spacing w:after="0"/>
              <w:rPr>
                <w:sz w:val="17"/>
                <w:szCs w:val="17"/>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136.6</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122.6</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(1)C</w:t>
      </w:r>
      <w:r>
        <w:rPr>
          <w:rFonts w:ascii="Arial" w:cs="Arial" w:eastAsia="Arial" w:hAnsi="Arial"/>
          <w:sz w:val="13"/>
          <w:szCs w:val="13"/>
          <w:color w:val="auto"/>
        </w:rPr>
        <w:t>urrent assets minus current liabilities.</w:t>
      </w:r>
    </w:p>
    <w:p>
      <w:pPr>
        <w:spacing w:after="0" w:line="224" w:lineRule="exact"/>
        <w:rPr>
          <w:sz w:val="20"/>
          <w:szCs w:val="20"/>
          <w:color w:val="auto"/>
        </w:rPr>
      </w:pPr>
    </w:p>
    <w:p>
      <w:pPr>
        <w:jc w:val="both"/>
        <w:ind w:right="60" w:firstLine="619"/>
        <w:spacing w:after="0" w:line="278" w:lineRule="auto"/>
        <w:rPr>
          <w:sz w:val="20"/>
          <w:szCs w:val="20"/>
          <w:color w:val="auto"/>
        </w:rPr>
      </w:pPr>
      <w:r>
        <w:rPr>
          <w:rFonts w:ascii="Arial" w:cs="Arial" w:eastAsia="Arial" w:hAnsi="Arial"/>
          <w:sz w:val="14"/>
          <w:szCs w:val="14"/>
          <w:color w:val="auto"/>
        </w:rPr>
        <w:t>Capital resources include cash flows from operations, cash and cash equivalents, and debt financing. Our Blueberries segment may also receive capital contributions or loans from shareholders.</w:t>
      </w:r>
    </w:p>
    <w:p>
      <w:pPr>
        <w:spacing w:after="0" w:line="168" w:lineRule="exact"/>
        <w:rPr>
          <w:sz w:val="20"/>
          <w:szCs w:val="20"/>
          <w:color w:val="auto"/>
        </w:rPr>
      </w:pPr>
    </w:p>
    <w:p>
      <w:pPr>
        <w:jc w:val="both"/>
        <w:ind w:right="80" w:firstLine="619"/>
        <w:spacing w:after="0" w:line="253" w:lineRule="auto"/>
        <w:rPr>
          <w:sz w:val="20"/>
          <w:szCs w:val="20"/>
          <w:color w:val="auto"/>
        </w:rPr>
      </w:pPr>
      <w:r>
        <w:rPr>
          <w:rFonts w:ascii="Arial" w:cs="Arial" w:eastAsia="Arial" w:hAnsi="Arial"/>
          <w:sz w:val="14"/>
          <w:szCs w:val="14"/>
          <w:color w:val="auto"/>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85" w:lineRule="exact"/>
        <w:rPr>
          <w:sz w:val="20"/>
          <w:szCs w:val="20"/>
          <w:color w:val="auto"/>
        </w:rPr>
      </w:pPr>
    </w:p>
    <w:p>
      <w:pPr>
        <w:ind w:right="240" w:firstLine="619"/>
        <w:spacing w:after="0" w:line="254" w:lineRule="auto"/>
        <w:rPr>
          <w:sz w:val="20"/>
          <w:szCs w:val="20"/>
          <w:color w:val="auto"/>
        </w:rPr>
      </w:pPr>
      <w:r>
        <w:rPr>
          <w:rFonts w:ascii="Arial" w:cs="Arial" w:eastAsia="Arial" w:hAnsi="Arial"/>
          <w:sz w:val="14"/>
          <w:szCs w:val="14"/>
          <w:color w:val="auto"/>
        </w:rPr>
        <w:t>As of January 31, 2024, we were required to comply with the following financial covenants: (a) a quarterly consolidated leverage ratio of not more than 3.5 to 1.00 and (b) a quarterly consolidated fixed charge coverage ratio of not less than 1.25 to 1.00. As of January 31, 2024, our consolidated leverage ratio was 2.43 to 1.00 and our consolidated fixed charge coverage ratio was 1.96 to 1.00 and we were in compliance with all such covenants of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cash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expenditures</w:t>
      </w:r>
    </w:p>
    <w:p>
      <w:pPr>
        <w:spacing w:after="0" w:line="213" w:lineRule="exact"/>
        <w:rPr>
          <w:sz w:val="20"/>
          <w:szCs w:val="20"/>
          <w:color w:val="auto"/>
        </w:rPr>
      </w:pPr>
    </w:p>
    <w:p>
      <w:pPr>
        <w:ind w:right="300" w:firstLine="619"/>
        <w:spacing w:after="0" w:line="278" w:lineRule="auto"/>
        <w:rPr>
          <w:sz w:val="20"/>
          <w:szCs w:val="20"/>
          <w:color w:val="auto"/>
        </w:rPr>
      </w:pPr>
      <w:r>
        <w:rPr>
          <w:rFonts w:ascii="Arial" w:cs="Arial" w:eastAsia="Arial" w:hAnsi="Arial"/>
          <w:sz w:val="14"/>
          <w:szCs w:val="14"/>
          <w:color w:val="auto"/>
        </w:rPr>
        <w:t>We have various capital projects in progress for farming expansion and facility improvements which we intend to fund through our operating cash flow as well as cash and cash equivalents on hand. For fiscal 2024, we expect capital expenditures to be between $30 million to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Moruga Blueberry Project</w:t>
      </w:r>
    </w:p>
    <w:p>
      <w:pPr>
        <w:spacing w:after="0" w:line="213" w:lineRule="exact"/>
        <w:rPr>
          <w:sz w:val="20"/>
          <w:szCs w:val="20"/>
          <w:color w:val="auto"/>
        </w:rPr>
      </w:pPr>
    </w:p>
    <w:p>
      <w:pPr>
        <w:ind w:right="120" w:firstLine="619"/>
        <w:spacing w:after="0" w:line="254" w:lineRule="auto"/>
        <w:rPr>
          <w:sz w:val="20"/>
          <w:szCs w:val="20"/>
          <w:color w:val="auto"/>
        </w:rPr>
      </w:pPr>
      <w:r>
        <w:rPr>
          <w:rFonts w:ascii="Arial" w:cs="Arial" w:eastAsia="Arial" w:hAnsi="Arial"/>
          <w:sz w:val="14"/>
          <w:szCs w:val="14"/>
          <w:color w:val="auto"/>
        </w:rPr>
        <w:t>In fiscal year 2023, Moruga commenced a long-term project to farm approximately 1,500 additional acres of blueberries in the Olmos region of Peru. The project is funded by cash flow generated by Moruga and supplemented by pro-rata shareholder contributions based on each shareholders’ respective ownership interest. As of January 31, 2024, the estimated remaining capital expenditures related to the project were approximately $35 million.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213" w:lineRule="exact"/>
        <w:rPr>
          <w:sz w:val="20"/>
          <w:szCs w:val="20"/>
          <w:color w:val="auto"/>
        </w:rPr>
      </w:pPr>
    </w:p>
    <w:p>
      <w:pPr>
        <w:ind w:right="320" w:firstLine="619"/>
        <w:spacing w:after="0" w:line="278" w:lineRule="auto"/>
        <w:rPr>
          <w:sz w:val="20"/>
          <w:szCs w:val="20"/>
          <w:color w:val="auto"/>
        </w:rPr>
      </w:pPr>
      <w:r>
        <w:rPr>
          <w:rFonts w:ascii="Arial" w:cs="Arial" w:eastAsia="Arial" w:hAnsi="Arial"/>
          <w:sz w:val="14"/>
          <w:szCs w:val="14"/>
          <w:color w:val="auto"/>
        </w:rPr>
        <w:t>We are party to various leases, the most material of which are for facilities and land. Our undiscounted cash liabilities were approximately $177.2 million as of January 31, 2024, of which, approximately $109.0 million was for long-term land leases in our International Farming and Blueberries segments.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Debt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As of January 31, 2024, remaining maturities on our term loans and notes were $156.5 million. See Note 6 to the consolidated financial statements for more information.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234" w:lineRule="exact"/>
        <w:rPr>
          <w:sz w:val="20"/>
          <w:szCs w:val="20"/>
          <w:color w:val="auto"/>
        </w:rPr>
      </w:pPr>
    </w:p>
    <w:p>
      <w:pPr>
        <w:ind w:right="100" w:firstLine="619"/>
        <w:spacing w:after="0" w:line="254" w:lineRule="auto"/>
        <w:rPr>
          <w:sz w:val="20"/>
          <w:szCs w:val="20"/>
          <w:color w:val="auto"/>
        </w:rPr>
      </w:pPr>
      <w:r>
        <w:rPr>
          <w:rFonts w:ascii="Arial" w:cs="Arial" w:eastAsia="Arial" w:hAnsi="Arial"/>
          <w:sz w:val="14"/>
          <w:szCs w:val="14"/>
          <w:color w:val="auto"/>
        </w:rPr>
        <w:t>For a discussion of our critical accounting estimates, see “Part II, Item 7. Management’s Discussion and Analysis of Financial Condition and Operations” in our Annual Report on Form 10-K for the year ended October 31, 2023, filed with the SEC on December 21, 2023. There have been no material changes to the critical accounting estimates disclosed in such Annual Report on Form 10-K.</w:t>
      </w:r>
    </w:p>
    <w:p>
      <w:pPr>
        <w:spacing w:after="0" w:line="300"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right="100" w:firstLine="619"/>
        <w:spacing w:after="0" w:line="259" w:lineRule="auto"/>
        <w:rPr>
          <w:sz w:val="20"/>
          <w:szCs w:val="20"/>
          <w:color w:val="auto"/>
        </w:rPr>
      </w:pPr>
      <w:r>
        <w:rPr>
          <w:rFonts w:ascii="Arial" w:cs="Arial" w:eastAsia="Arial" w:hAnsi="Arial"/>
          <w:sz w:val="14"/>
          <w:szCs w:val="14"/>
          <w:color w:val="auto"/>
        </w:rPr>
        <w:t>There have been no material changes to “Part II, Item 7A. Quantitative and Qualitative Disclosures About Market Risk” in our Annual Report on Form 10-K for the year ended October 31, 2023.</w:t>
      </w:r>
    </w:p>
    <w:p>
      <w:pPr>
        <w:spacing w:after="0" w:line="296"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21" w:lineRule="exact"/>
        <w:rPr>
          <w:sz w:val="20"/>
          <w:szCs w:val="20"/>
          <w:color w:val="auto"/>
        </w:rPr>
      </w:pPr>
    </w:p>
    <w:p>
      <w:pPr>
        <w:ind w:right="380" w:firstLine="619"/>
        <w:spacing w:after="0" w:line="278" w:lineRule="auto"/>
        <w:rPr>
          <w:sz w:val="20"/>
          <w:szCs w:val="20"/>
          <w:color w:val="auto"/>
        </w:rPr>
      </w:pPr>
      <w:r>
        <w:rPr>
          <w:rFonts w:ascii="Arial" w:cs="Arial" w:eastAsia="Arial" w:hAnsi="Arial"/>
          <w:sz w:val="14"/>
          <w:szCs w:val="14"/>
          <w:color w:val="auto"/>
        </w:rPr>
        <w:t>There were no changes in our internal control over financial reporting during the quarter ended January 31, 2024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221" w:lineRule="exact"/>
        <w:rPr>
          <w:sz w:val="20"/>
          <w:szCs w:val="20"/>
          <w:color w:val="auto"/>
        </w:rPr>
      </w:pPr>
    </w:p>
    <w:p>
      <w:pPr>
        <w:ind w:right="220" w:firstLine="619"/>
        <w:spacing w:after="0" w:line="278" w:lineRule="auto"/>
        <w:rPr>
          <w:sz w:val="20"/>
          <w:szCs w:val="20"/>
          <w:color w:val="auto"/>
        </w:rPr>
      </w:pPr>
      <w:r>
        <w:rPr>
          <w:rFonts w:ascii="Arial" w:cs="Arial" w:eastAsia="Arial" w:hAnsi="Arial"/>
          <w:sz w:val="13"/>
          <w:szCs w:val="13"/>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PART II- OTHER INFORMATION</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640" w:firstLine="619"/>
        <w:spacing w:after="0" w:line="278" w:lineRule="auto"/>
        <w:rPr>
          <w:sz w:val="20"/>
          <w:szCs w:val="20"/>
          <w:color w:val="auto"/>
        </w:rPr>
      </w:pPr>
      <w:r>
        <w:rPr>
          <w:rFonts w:ascii="Arial" w:cs="Arial" w:eastAsia="Arial" w:hAnsi="Arial"/>
          <w:sz w:val="14"/>
          <w:szCs w:val="14"/>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following updates the matter discussed in “Part I, Item 3. Legal Proceedings” in our Annual Report on Form 10-K for the year ended October 31, 2023:</w:t>
      </w:r>
    </w:p>
    <w:p>
      <w:pPr>
        <w:spacing w:after="0" w:line="213" w:lineRule="exact"/>
        <w:rPr>
          <w:sz w:val="20"/>
          <w:szCs w:val="20"/>
          <w:color w:val="auto"/>
        </w:rPr>
      </w:pPr>
    </w:p>
    <w:p>
      <w:pPr>
        <w:ind w:firstLine="619"/>
        <w:spacing w:after="0" w:line="273" w:lineRule="auto"/>
        <w:rPr>
          <w:sz w:val="20"/>
          <w:szCs w:val="20"/>
          <w:color w:val="auto"/>
        </w:rPr>
      </w:pPr>
      <w:r>
        <w:rPr>
          <w:rFonts w:ascii="Arial" w:cs="Arial" w:eastAsia="Arial" w:hAnsi="Arial"/>
          <w:sz w:val="13"/>
          <w:szCs w:val="13"/>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w:t>
      </w:r>
    </w:p>
    <w:p>
      <w:pPr>
        <w:spacing w:after="0" w:line="174" w:lineRule="exact"/>
        <w:rPr>
          <w:sz w:val="20"/>
          <w:szCs w:val="20"/>
          <w:color w:val="auto"/>
        </w:rPr>
      </w:pPr>
    </w:p>
    <w:p>
      <w:pPr>
        <w:ind w:right="20" w:firstLine="619"/>
        <w:spacing w:after="0" w:line="259" w:lineRule="auto"/>
        <w:rPr>
          <w:sz w:val="20"/>
          <w:szCs w:val="20"/>
          <w:color w:val="auto"/>
        </w:rPr>
      </w:pPr>
      <w:r>
        <w:rPr>
          <w:rFonts w:ascii="Arial" w:cs="Arial" w:eastAsia="Arial" w:hAnsi="Arial"/>
          <w:sz w:val="14"/>
          <w:szCs w:val="14"/>
          <w:color w:val="auto"/>
        </w:rPr>
        <w:t>As a result of a dispute over the size of the settlement class, the Company recorded an additional reserve of $0.2 million in selling, general and administrative expenses in the condensed consolidated statements of income (loss) during the three months ended January 31, 2024. A final approval hearing is scheduled for June 2024.</w:t>
      </w:r>
    </w:p>
    <w:p>
      <w:pPr>
        <w:spacing w:after="0" w:line="181" w:lineRule="exact"/>
        <w:rPr>
          <w:sz w:val="20"/>
          <w:szCs w:val="20"/>
          <w:color w:val="auto"/>
        </w:rPr>
      </w:pPr>
    </w:p>
    <w:p>
      <w:pPr>
        <w:ind w:right="280" w:firstLine="619"/>
        <w:spacing w:after="0" w:line="264" w:lineRule="auto"/>
        <w:rPr>
          <w:sz w:val="20"/>
          <w:szCs w:val="20"/>
          <w:color w:val="auto"/>
        </w:rPr>
      </w:pPr>
      <w:r>
        <w:rPr>
          <w:rFonts w:ascii="Arial" w:cs="Arial" w:eastAsia="Arial" w:hAnsi="Arial"/>
          <w:sz w:val="14"/>
          <w:szCs w:val="14"/>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93"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For a discussion of our risk factors, see “Part I, Item 1A. Risk Factors” in our Annual Report on Form 10-K for the year ended October 31, 2023, filed with the SEC on December 21, 2023. There have been no material changes from the risk factors previously disclosed in such Annual Report on Form 10-K, except as set forth below. The risks and uncertainties that we face are not limited to those set forth in the 2023 Form 10-K and in this quarterly report. You should carefully consider the risk factors in the 2023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304"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228" w:lineRule="exact"/>
        <w:rPr>
          <w:sz w:val="20"/>
          <w:szCs w:val="20"/>
          <w:color w:val="auto"/>
        </w:rPr>
      </w:pPr>
    </w:p>
    <w:p>
      <w:pPr>
        <w:ind w:right="20" w:firstLine="619"/>
        <w:spacing w:after="0" w:line="253" w:lineRule="auto"/>
        <w:rPr>
          <w:sz w:val="20"/>
          <w:szCs w:val="20"/>
          <w:color w:val="auto"/>
        </w:rPr>
      </w:pPr>
      <w:r>
        <w:rPr>
          <w:rFonts w:ascii="Arial" w:cs="Arial" w:eastAsia="Arial" w:hAnsi="Arial"/>
          <w:sz w:val="14"/>
          <w:szCs w:val="14"/>
          <w:color w:val="auto"/>
        </w:rPr>
        <w:t>On September 6, 2023, the Board of Directors approved a stock repurchase program, which permits the Company to repurchase up to $20 million of shares of the Company’s common stock within 36 months from adoption. Share repurchases may be made from time to time in open market or privately negotiated transactions and/or pursuant to Rule 10b5-1 trading plans in such quantities and at such prices as may be authorized by certain designated officers of the Company and are subject to market conditions, applicable legal requirements, trading restrictions under the Company’s insider trading policy and other relevant factors.</w:t>
      </w:r>
    </w:p>
    <w:p>
      <w:pPr>
        <w:spacing w:after="0" w:line="185" w:lineRule="exact"/>
        <w:rPr>
          <w:sz w:val="20"/>
          <w:szCs w:val="20"/>
          <w:color w:val="auto"/>
        </w:rPr>
      </w:pPr>
    </w:p>
    <w:p>
      <w:pPr>
        <w:ind w:right="120" w:firstLine="619"/>
        <w:spacing w:after="0" w:line="278" w:lineRule="auto"/>
        <w:rPr>
          <w:sz w:val="20"/>
          <w:szCs w:val="20"/>
          <w:color w:val="auto"/>
        </w:rPr>
      </w:pPr>
      <w:r>
        <w:rPr>
          <w:rFonts w:ascii="Arial" w:cs="Arial" w:eastAsia="Arial" w:hAnsi="Arial"/>
          <w:sz w:val="14"/>
          <w:szCs w:val="14"/>
          <w:color w:val="auto"/>
        </w:rPr>
        <w:t>No repurchases were made by us or our “affiliated purchasers” (as defined in Rule 10b-18(a)(3) of the Exchange Act) of registered equity securities during the first quarter of 2024. As of January 31, 2024, the approximate dollar value of shares that may yet be purchased as part of our stock repurchase program was $19.4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9"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Defaults Upon Senior Securities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315"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328"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10b-5(1) Trading Plans</w:t>
      </w:r>
    </w:p>
    <w:p>
      <w:pPr>
        <w:spacing w:after="0" w:line="234" w:lineRule="exact"/>
        <w:rPr>
          <w:sz w:val="20"/>
          <w:szCs w:val="20"/>
          <w:color w:val="auto"/>
        </w:rPr>
      </w:pPr>
    </w:p>
    <w:p>
      <w:pPr>
        <w:ind w:right="400" w:firstLine="619"/>
        <w:spacing w:after="0" w:line="278" w:lineRule="auto"/>
        <w:rPr>
          <w:sz w:val="20"/>
          <w:szCs w:val="20"/>
          <w:color w:val="auto"/>
        </w:rPr>
      </w:pPr>
      <w:r>
        <w:rPr>
          <w:rFonts w:ascii="Arial" w:cs="Arial" w:eastAsia="Arial" w:hAnsi="Arial"/>
          <w:sz w:val="14"/>
          <w:szCs w:val="14"/>
          <w:color w:val="auto"/>
        </w:rPr>
        <w:t>During the fiscal quarter ended January 31, 2024, no director or officer of the Company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277"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documents set forth are filed herewith or incorporated herein by reference.</w:t>
      </w: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INDEX</w:t>
      </w:r>
    </w:p>
    <w:p>
      <w:pPr>
        <w:spacing w:after="0" w:line="89"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2"/>
                <w:szCs w:val="12"/>
                <w:b w:val="1"/>
                <w:bCs w:val="1"/>
                <w:color w:val="auto"/>
              </w:rPr>
              <w:t>Incorporated by Reference</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Exhibit No.</w:t>
            </w: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vMerge w:val="restart"/>
          </w:tcPr>
          <w:p>
            <w:pPr>
              <w:ind w:left="460"/>
              <w:spacing w:after="0"/>
              <w:rPr>
                <w:sz w:val="20"/>
                <w:szCs w:val="20"/>
                <w:color w:val="auto"/>
              </w:rPr>
            </w:pPr>
            <w:r>
              <w:rPr>
                <w:rFonts w:ascii="Arial" w:cs="Arial" w:eastAsia="Arial" w:hAnsi="Arial"/>
                <w:sz w:val="12"/>
                <w:szCs w:val="12"/>
                <w:b w:val="1"/>
                <w:bCs w:val="1"/>
                <w:color w:val="auto"/>
                <w:w w:val="93"/>
              </w:rPr>
              <w:t>Fi</w:t>
            </w:r>
          </w:p>
        </w:tc>
        <w:tc>
          <w:tcPr>
            <w:tcW w:w="0" w:type="dxa"/>
            <w:vAlign w:val="bottom"/>
          </w:tcPr>
          <w:p>
            <w:pPr>
              <w:spacing w:after="0"/>
              <w:rPr>
                <w:sz w:val="1"/>
                <w:szCs w:val="1"/>
                <w:color w:val="auto"/>
              </w:rPr>
            </w:pPr>
          </w:p>
        </w:tc>
      </w:tr>
      <w:tr>
        <w:trPr>
          <w:trHeight w:val="143"/>
        </w:trPr>
        <w:tc>
          <w:tcPr>
            <w:tcW w:w="100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4380" w:type="dxa"/>
            <w:vAlign w:val="bottom"/>
            <w:gridSpan w:val="7"/>
            <w:vMerge w:val="restart"/>
          </w:tcPr>
          <w:p>
            <w:pPr>
              <w:ind w:left="740"/>
              <w:spacing w:after="0"/>
              <w:rPr>
                <w:sz w:val="20"/>
                <w:szCs w:val="20"/>
                <w:color w:val="auto"/>
              </w:rPr>
            </w:pPr>
            <w:r>
              <w:rPr>
                <w:rFonts w:ascii="Arial" w:cs="Arial" w:eastAsia="Arial" w:hAnsi="Arial"/>
                <w:sz w:val="12"/>
                <w:szCs w:val="12"/>
                <w:b w:val="1"/>
                <w:bCs w:val="1"/>
                <w:color w:val="auto"/>
              </w:rPr>
              <w:t>Exhibit Description</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700" w:type="dxa"/>
            <w:vAlign w:val="bottom"/>
            <w:vMerge w:val="restart"/>
          </w:tcPr>
          <w:p>
            <w:pPr>
              <w:jc w:val="center"/>
              <w:ind w:right="100"/>
              <w:spacing w:after="0"/>
              <w:rPr>
                <w:sz w:val="20"/>
                <w:szCs w:val="20"/>
                <w:color w:val="auto"/>
              </w:rPr>
            </w:pPr>
            <w:r>
              <w:rPr>
                <w:rFonts w:ascii="Arial" w:cs="Arial" w:eastAsia="Arial" w:hAnsi="Arial"/>
                <w:sz w:val="12"/>
                <w:szCs w:val="12"/>
                <w:b w:val="1"/>
                <w:bCs w:val="1"/>
                <w:color w:val="auto"/>
                <w:w w:val="99"/>
              </w:rPr>
              <w:t>Date</w:t>
            </w:r>
          </w:p>
        </w:tc>
        <w:tc>
          <w:tcPr>
            <w:tcW w:w="740" w:type="dxa"/>
            <w:vAlign w:val="bottom"/>
            <w:vMerge w:val="restart"/>
          </w:tcPr>
          <w:p>
            <w:pPr>
              <w:jc w:val="center"/>
              <w:ind w:right="160"/>
              <w:spacing w:after="0"/>
              <w:rPr>
                <w:sz w:val="20"/>
                <w:szCs w:val="20"/>
                <w:color w:val="auto"/>
              </w:rPr>
            </w:pPr>
            <w:r>
              <w:rPr>
                <w:rFonts w:ascii="Arial" w:cs="Arial" w:eastAsia="Arial" w:hAnsi="Arial"/>
                <w:sz w:val="12"/>
                <w:szCs w:val="12"/>
                <w:b w:val="1"/>
                <w:bCs w:val="1"/>
                <w:color w:val="auto"/>
                <w:w w:val="96"/>
              </w:rPr>
              <w:t>Number</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7"/>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w w:val="99"/>
              </w:rPr>
              <w:t>Her</w:t>
            </w:r>
          </w:p>
        </w:tc>
        <w:tc>
          <w:tcPr>
            <w:tcW w:w="0" w:type="dxa"/>
            <w:vAlign w:val="bottom"/>
          </w:tcPr>
          <w:p>
            <w:pPr>
              <w:spacing w:after="0"/>
              <w:rPr>
                <w:sz w:val="1"/>
                <w:szCs w:val="1"/>
                <w:color w:val="auto"/>
              </w:rPr>
            </w:pPr>
          </w:p>
        </w:tc>
      </w:tr>
      <w:tr>
        <w:trPr>
          <w:trHeight w:val="170"/>
        </w:trPr>
        <w:tc>
          <w:tcPr>
            <w:tcW w:w="1000" w:type="dxa"/>
            <w:vAlign w:val="bottom"/>
            <w:shd w:val="clear" w:color="auto" w:fill="DBDBDB"/>
          </w:tcPr>
          <w:p>
            <w:pPr>
              <w:jc w:val="center"/>
              <w:ind w:right="60"/>
              <w:spacing w:after="0"/>
              <w:rPr>
                <w:sz w:val="20"/>
                <w:szCs w:val="20"/>
                <w:color w:val="auto"/>
              </w:rPr>
            </w:pPr>
            <w:r>
              <w:rPr>
                <w:rFonts w:ascii="Arial" w:cs="Arial" w:eastAsia="Arial" w:hAnsi="Arial"/>
                <w:sz w:val="12"/>
                <w:szCs w:val="12"/>
                <w:color w:val="auto"/>
              </w:rPr>
              <w:t>3.1#</w:t>
            </w:r>
          </w:p>
        </w:tc>
        <w:tc>
          <w:tcPr>
            <w:tcW w:w="6060" w:type="dxa"/>
            <w:vAlign w:val="bottom"/>
            <w:gridSpan w:val="8"/>
            <w:shd w:val="clear" w:color="auto" w:fill="DBDBDB"/>
          </w:tcPr>
          <w:p>
            <w:pPr>
              <w:spacing w:after="0"/>
              <w:rPr>
                <w:rFonts w:ascii="Arial" w:cs="Arial" w:eastAsia="Arial" w:hAnsi="Arial"/>
                <w:sz w:val="12"/>
                <w:szCs w:val="12"/>
                <w:color w:val="auto"/>
              </w:rPr>
            </w:pPr>
            <w:hyperlink r:id="rId47">
              <w:r>
                <w:rPr>
                  <w:rFonts w:ascii="Arial" w:cs="Arial" w:eastAsia="Arial" w:hAnsi="Arial"/>
                  <w:sz w:val="12"/>
                  <w:szCs w:val="12"/>
                  <w:color w:val="auto"/>
                </w:rPr>
                <w:t>Amended and Restated Certificate of Incorporation</w:t>
              </w:r>
            </w:hyperlink>
          </w:p>
        </w:tc>
        <w:tc>
          <w:tcPr>
            <w:tcW w:w="64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8-K</w:t>
            </w:r>
          </w:p>
        </w:tc>
        <w:tc>
          <w:tcPr>
            <w:tcW w:w="1700" w:type="dxa"/>
            <w:vAlign w:val="bottom"/>
            <w:shd w:val="clear" w:color="auto" w:fill="DBDBDB"/>
          </w:tcPr>
          <w:p>
            <w:pPr>
              <w:jc w:val="center"/>
              <w:ind w:right="100"/>
              <w:spacing w:after="0"/>
              <w:rPr>
                <w:sz w:val="20"/>
                <w:szCs w:val="20"/>
                <w:color w:val="auto"/>
              </w:rPr>
            </w:pPr>
            <w:r>
              <w:rPr>
                <w:rFonts w:ascii="Arial" w:cs="Arial" w:eastAsia="Arial" w:hAnsi="Arial"/>
                <w:sz w:val="12"/>
                <w:szCs w:val="12"/>
                <w:color w:val="auto"/>
              </w:rPr>
              <w:t>10/7/2020</w:t>
            </w:r>
          </w:p>
        </w:tc>
        <w:tc>
          <w:tcPr>
            <w:tcW w:w="740" w:type="dxa"/>
            <w:vAlign w:val="bottom"/>
            <w:shd w:val="clear" w:color="auto" w:fill="DBDBDB"/>
          </w:tcPr>
          <w:p>
            <w:pPr>
              <w:jc w:val="center"/>
              <w:ind w:right="160"/>
              <w:spacing w:after="0"/>
              <w:rPr>
                <w:sz w:val="20"/>
                <w:szCs w:val="20"/>
                <w:color w:val="auto"/>
              </w:rPr>
            </w:pPr>
            <w:r>
              <w:rPr>
                <w:rFonts w:ascii="Arial" w:cs="Arial" w:eastAsia="Arial" w:hAnsi="Arial"/>
                <w:sz w:val="12"/>
                <w:szCs w:val="12"/>
                <w:color w:val="auto"/>
                <w:w w:val="95"/>
              </w:rPr>
              <w:t>3.1</w:t>
            </w:r>
          </w:p>
        </w:tc>
        <w:tc>
          <w:tcPr>
            <w:tcW w:w="5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Borders>
              <w:top w:val="single" w:sz="8" w:color="DBDBDB"/>
            </w:tcBorders>
          </w:tcPr>
          <w:p>
            <w:pPr>
              <w:jc w:val="center"/>
              <w:ind w:right="60"/>
              <w:spacing w:after="0"/>
              <w:rPr>
                <w:sz w:val="20"/>
                <w:szCs w:val="20"/>
                <w:color w:val="auto"/>
              </w:rPr>
            </w:pPr>
            <w:r>
              <w:rPr>
                <w:rFonts w:ascii="Arial" w:cs="Arial" w:eastAsia="Arial" w:hAnsi="Arial"/>
                <w:sz w:val="12"/>
                <w:szCs w:val="12"/>
                <w:color w:val="auto"/>
              </w:rPr>
              <w:t>3.2#</w:t>
            </w:r>
          </w:p>
        </w:tc>
        <w:tc>
          <w:tcPr>
            <w:tcW w:w="2700" w:type="dxa"/>
            <w:vAlign w:val="bottom"/>
            <w:tcBorders>
              <w:top w:val="single" w:sz="8" w:color="auto"/>
            </w:tcBorders>
            <w:gridSpan w:val="2"/>
          </w:tcPr>
          <w:p>
            <w:pPr>
              <w:spacing w:after="0"/>
              <w:rPr>
                <w:rFonts w:ascii="Arial" w:cs="Arial" w:eastAsia="Arial" w:hAnsi="Arial"/>
                <w:sz w:val="12"/>
                <w:szCs w:val="12"/>
                <w:color w:val="auto"/>
              </w:rPr>
            </w:pPr>
            <w:hyperlink r:id="rId48">
              <w:r>
                <w:rPr>
                  <w:rFonts w:ascii="Arial" w:cs="Arial" w:eastAsia="Arial" w:hAnsi="Arial"/>
                  <w:sz w:val="12"/>
                  <w:szCs w:val="12"/>
                  <w:color w:val="auto"/>
                </w:rPr>
                <w:t>Amended and Restated Bylaws</w:t>
              </w:r>
            </w:hyperlink>
          </w:p>
        </w:tc>
        <w:tc>
          <w:tcPr>
            <w:tcW w:w="3360" w:type="dxa"/>
            <w:vAlign w:val="bottom"/>
            <w:tcBorders>
              <w:top w:val="single" w:sz="8" w:color="DBDBDB"/>
            </w:tcBorders>
            <w:gridSpan w:val="6"/>
          </w:tcPr>
          <w:p>
            <w:pPr>
              <w:spacing w:after="0"/>
              <w:rPr>
                <w:sz w:val="12"/>
                <w:szCs w:val="12"/>
                <w:color w:val="auto"/>
              </w:rPr>
            </w:pPr>
          </w:p>
        </w:tc>
        <w:tc>
          <w:tcPr>
            <w:tcW w:w="640" w:type="dxa"/>
            <w:vAlign w:val="bottom"/>
            <w:tcBorders>
              <w:top w:val="single" w:sz="8" w:color="DBDBDB"/>
            </w:tcBorders>
          </w:tcPr>
          <w:p>
            <w:pPr>
              <w:jc w:val="center"/>
              <w:spacing w:after="0"/>
              <w:rPr>
                <w:sz w:val="20"/>
                <w:szCs w:val="20"/>
                <w:color w:val="auto"/>
              </w:rPr>
            </w:pPr>
            <w:r>
              <w:rPr>
                <w:rFonts w:ascii="Arial" w:cs="Arial" w:eastAsia="Arial" w:hAnsi="Arial"/>
                <w:sz w:val="12"/>
                <w:szCs w:val="12"/>
                <w:color w:val="auto"/>
              </w:rPr>
              <w:t>8-K</w:t>
            </w:r>
          </w:p>
        </w:tc>
        <w:tc>
          <w:tcPr>
            <w:tcW w:w="1700" w:type="dxa"/>
            <w:vAlign w:val="bottom"/>
            <w:tcBorders>
              <w:top w:val="single" w:sz="8" w:color="DBDBDB"/>
            </w:tcBorders>
          </w:tcPr>
          <w:p>
            <w:pPr>
              <w:jc w:val="center"/>
              <w:ind w:right="100"/>
              <w:spacing w:after="0"/>
              <w:rPr>
                <w:sz w:val="20"/>
                <w:szCs w:val="20"/>
                <w:color w:val="auto"/>
              </w:rPr>
            </w:pPr>
            <w:r>
              <w:rPr>
                <w:rFonts w:ascii="Arial" w:cs="Arial" w:eastAsia="Arial" w:hAnsi="Arial"/>
                <w:sz w:val="12"/>
                <w:szCs w:val="12"/>
                <w:color w:val="auto"/>
              </w:rPr>
              <w:t>10/7/2020</w:t>
            </w:r>
          </w:p>
        </w:tc>
        <w:tc>
          <w:tcPr>
            <w:tcW w:w="740" w:type="dxa"/>
            <w:vAlign w:val="bottom"/>
            <w:tcBorders>
              <w:top w:val="single" w:sz="8" w:color="DBDBDB"/>
            </w:tcBorders>
          </w:tcPr>
          <w:p>
            <w:pPr>
              <w:jc w:val="center"/>
              <w:ind w:right="160"/>
              <w:spacing w:after="0"/>
              <w:rPr>
                <w:sz w:val="20"/>
                <w:szCs w:val="20"/>
                <w:color w:val="auto"/>
              </w:rPr>
            </w:pPr>
            <w:r>
              <w:rPr>
                <w:rFonts w:ascii="Arial" w:cs="Arial" w:eastAsia="Arial" w:hAnsi="Arial"/>
                <w:sz w:val="12"/>
                <w:szCs w:val="12"/>
                <w:color w:val="auto"/>
                <w:w w:val="95"/>
              </w:rPr>
              <w:t>3.2</w:t>
            </w:r>
          </w:p>
        </w:tc>
        <w:tc>
          <w:tcPr>
            <w:tcW w:w="580" w:type="dxa"/>
            <w:vAlign w:val="bottom"/>
            <w:tcBorders>
              <w:top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Borders>
              <w:bottom w:val="single" w:sz="8" w:color="DBDBDB"/>
            </w:tcBorders>
            <w:shd w:val="clear" w:color="auto" w:fill="DBDBDB"/>
          </w:tcPr>
          <w:p>
            <w:pPr>
              <w:jc w:val="center"/>
              <w:ind w:right="60"/>
              <w:spacing w:after="0"/>
              <w:rPr>
                <w:sz w:val="20"/>
                <w:szCs w:val="20"/>
                <w:color w:val="auto"/>
              </w:rPr>
            </w:pPr>
            <w:r>
              <w:rPr>
                <w:rFonts w:ascii="Arial" w:cs="Arial" w:eastAsia="Arial" w:hAnsi="Arial"/>
                <w:sz w:val="12"/>
                <w:szCs w:val="12"/>
                <w:color w:val="auto"/>
                <w:w w:val="99"/>
              </w:rPr>
              <w:t>31.1*</w:t>
            </w:r>
          </w:p>
        </w:tc>
        <w:tc>
          <w:tcPr>
            <w:tcW w:w="5640" w:type="dxa"/>
            <w:vAlign w:val="bottom"/>
            <w:tcBorders>
              <w:bottom w:val="single" w:sz="8" w:color="auto"/>
            </w:tcBorders>
            <w:gridSpan w:val="7"/>
            <w:shd w:val="clear" w:color="auto" w:fill="DBDBDB"/>
          </w:tcPr>
          <w:p>
            <w:pPr>
              <w:spacing w:after="0"/>
              <w:rPr>
                <w:sz w:val="20"/>
                <w:szCs w:val="20"/>
                <w:color w:val="auto"/>
              </w:rPr>
            </w:pPr>
            <w:r>
              <w:rPr>
                <w:rFonts w:ascii="Arial" w:cs="Arial" w:eastAsia="Arial" w:hAnsi="Arial"/>
                <w:sz w:val="12"/>
                <w:szCs w:val="12"/>
                <w:color w:val="auto"/>
                <w:w w:val="99"/>
              </w:rPr>
              <w:t>Certification of Principal Executive Officer Pursuant to Rules 13a-14(a) and 15d-14(a) under the Securities</w:t>
            </w:r>
          </w:p>
        </w:tc>
        <w:tc>
          <w:tcPr>
            <w:tcW w:w="420" w:type="dxa"/>
            <w:vAlign w:val="bottom"/>
            <w:tcBorders>
              <w:bottom w:val="single" w:sz="8" w:color="DBDBDB"/>
            </w:tcBorders>
            <w:shd w:val="clear" w:color="auto" w:fill="DBDBDB"/>
          </w:tcPr>
          <w:p>
            <w:pPr>
              <w:spacing w:after="0"/>
              <w:rPr>
                <w:sz w:val="12"/>
                <w:szCs w:val="12"/>
                <w:color w:val="auto"/>
              </w:rPr>
            </w:pPr>
          </w:p>
        </w:tc>
        <w:tc>
          <w:tcPr>
            <w:tcW w:w="640" w:type="dxa"/>
            <w:vAlign w:val="bottom"/>
            <w:tcBorders>
              <w:bottom w:val="single" w:sz="8" w:color="DBDBDB"/>
            </w:tcBorders>
            <w:shd w:val="clear" w:color="auto" w:fill="DBDBDB"/>
          </w:tcPr>
          <w:p>
            <w:pPr>
              <w:spacing w:after="0"/>
              <w:rPr>
                <w:sz w:val="12"/>
                <w:szCs w:val="12"/>
                <w:color w:val="auto"/>
              </w:rPr>
            </w:pPr>
          </w:p>
        </w:tc>
        <w:tc>
          <w:tcPr>
            <w:tcW w:w="170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tcBorders>
              <w:bottom w:val="single" w:sz="8" w:color="DBDBDB"/>
            </w:tcBorders>
            <w:shd w:val="clear" w:color="auto" w:fill="DBDBDB"/>
          </w:tcPr>
          <w:p>
            <w:pPr>
              <w:spacing w:after="0"/>
              <w:rPr>
                <w:sz w:val="13"/>
                <w:szCs w:val="13"/>
                <w:color w:val="auto"/>
              </w:rPr>
            </w:pPr>
          </w:p>
        </w:tc>
        <w:tc>
          <w:tcPr>
            <w:tcW w:w="5040" w:type="dxa"/>
            <w:vAlign w:val="bottom"/>
            <w:tcBorders>
              <w:bottom w:val="single" w:sz="8" w:color="auto"/>
            </w:tcBorders>
            <w:gridSpan w:val="3"/>
            <w:shd w:val="clear" w:color="auto" w:fill="DBDBDB"/>
          </w:tcPr>
          <w:p>
            <w:pPr>
              <w:spacing w:after="0" w:line="135" w:lineRule="exact"/>
              <w:rPr>
                <w:sz w:val="20"/>
                <w:szCs w:val="20"/>
                <w:color w:val="auto"/>
              </w:rPr>
            </w:pPr>
            <w:r>
              <w:rPr>
                <w:rFonts w:ascii="Arial" w:cs="Arial" w:eastAsia="Arial" w:hAnsi="Arial"/>
                <w:sz w:val="12"/>
                <w:szCs w:val="12"/>
                <w:color w:val="auto"/>
                <w:w w:val="99"/>
              </w:rPr>
              <w:t>Exchange Act of 1934, as Adopted Pursuant to Section 302 of the Sarbanes-Oxley Act of 2002</w:t>
            </w:r>
          </w:p>
        </w:tc>
        <w:tc>
          <w:tcPr>
            <w:tcW w:w="1020" w:type="dxa"/>
            <w:vAlign w:val="bottom"/>
            <w:tcBorders>
              <w:bottom w:val="single" w:sz="8" w:color="DBDBDB"/>
            </w:tcBorders>
            <w:gridSpan w:val="5"/>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spacing w:after="0"/>
              <w:rPr>
                <w:sz w:val="13"/>
                <w:szCs w:val="13"/>
                <w:color w:val="auto"/>
              </w:rPr>
            </w:pPr>
          </w:p>
        </w:tc>
        <w:tc>
          <w:tcPr>
            <w:tcW w:w="170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spacing w:after="0"/>
              <w:rPr>
                <w:sz w:val="13"/>
                <w:szCs w:val="13"/>
                <w:color w:val="auto"/>
              </w:rPr>
            </w:pPr>
          </w:p>
        </w:tc>
        <w:tc>
          <w:tcPr>
            <w:tcW w:w="5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ind w:right="60"/>
              <w:spacing w:after="0"/>
              <w:rPr>
                <w:sz w:val="20"/>
                <w:szCs w:val="20"/>
                <w:color w:val="auto"/>
              </w:rPr>
            </w:pPr>
            <w:r>
              <w:rPr>
                <w:rFonts w:ascii="Arial" w:cs="Arial" w:eastAsia="Arial" w:hAnsi="Arial"/>
                <w:sz w:val="12"/>
                <w:szCs w:val="12"/>
                <w:color w:val="auto"/>
                <w:w w:val="99"/>
              </w:rPr>
              <w:t>31.2*</w:t>
            </w:r>
          </w:p>
        </w:tc>
        <w:tc>
          <w:tcPr>
            <w:tcW w:w="5600" w:type="dxa"/>
            <w:vAlign w:val="bottom"/>
            <w:tcBorders>
              <w:bottom w:val="single" w:sz="8" w:color="auto"/>
            </w:tcBorders>
            <w:gridSpan w:val="6"/>
          </w:tcPr>
          <w:p>
            <w:pPr>
              <w:spacing w:after="0"/>
              <w:rPr>
                <w:sz w:val="20"/>
                <w:szCs w:val="20"/>
                <w:color w:val="auto"/>
              </w:rPr>
            </w:pPr>
            <w:r>
              <w:rPr>
                <w:rFonts w:ascii="Arial" w:cs="Arial" w:eastAsia="Arial" w:hAnsi="Arial"/>
                <w:sz w:val="12"/>
                <w:szCs w:val="12"/>
                <w:color w:val="auto"/>
                <w:w w:val="99"/>
              </w:rPr>
              <w:t>Certification of Principal Financial Officer Pursuant to Rules 13a-14(a) and 15d-14(a) under the Securities</w:t>
            </w:r>
          </w:p>
        </w:tc>
        <w:tc>
          <w:tcPr>
            <w:tcW w:w="46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50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2"/>
                <w:szCs w:val="12"/>
                <w:color w:val="auto"/>
                <w:w w:val="99"/>
              </w:rPr>
              <w:t>Exchange Act of 1934, as Adopted Pursuant to Section 302 of the Sarbanes-Oxley Act of 2002</w:t>
            </w:r>
          </w:p>
        </w:tc>
        <w:tc>
          <w:tcPr>
            <w:tcW w:w="102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DBDBDB"/>
            </w:tcBorders>
            <w:shd w:val="clear" w:color="auto" w:fill="DBDBDB"/>
          </w:tcPr>
          <w:p>
            <w:pPr>
              <w:jc w:val="center"/>
              <w:ind w:right="60"/>
              <w:spacing w:after="0"/>
              <w:rPr>
                <w:sz w:val="20"/>
                <w:szCs w:val="20"/>
                <w:color w:val="auto"/>
              </w:rPr>
            </w:pPr>
            <w:r>
              <w:rPr>
                <w:rFonts w:ascii="Arial" w:cs="Arial" w:eastAsia="Arial" w:hAnsi="Arial"/>
                <w:sz w:val="12"/>
                <w:szCs w:val="12"/>
                <w:color w:val="auto"/>
                <w:w w:val="99"/>
              </w:rPr>
              <w:t>32.1*</w:t>
            </w:r>
          </w:p>
        </w:tc>
        <w:tc>
          <w:tcPr>
            <w:tcW w:w="5200" w:type="dxa"/>
            <w:vAlign w:val="bottom"/>
            <w:tcBorders>
              <w:bottom w:val="single" w:sz="8" w:color="auto"/>
            </w:tcBorders>
            <w:gridSpan w:val="5"/>
            <w:shd w:val="clear" w:color="auto" w:fill="DBDBDB"/>
          </w:tcPr>
          <w:p>
            <w:pPr>
              <w:spacing w:after="0"/>
              <w:rPr>
                <w:sz w:val="20"/>
                <w:szCs w:val="20"/>
                <w:color w:val="auto"/>
              </w:rPr>
            </w:pPr>
            <w:r>
              <w:rPr>
                <w:rFonts w:ascii="Arial" w:cs="Arial" w:eastAsia="Arial" w:hAnsi="Arial"/>
                <w:sz w:val="12"/>
                <w:szCs w:val="12"/>
                <w:color w:val="auto"/>
                <w:w w:val="99"/>
              </w:rPr>
              <w:t>Certification of Chief Executive Officer pursuant to Section 906 of the Sarbanes-Oxley Act of 2002</w:t>
            </w:r>
          </w:p>
        </w:tc>
        <w:tc>
          <w:tcPr>
            <w:tcW w:w="860" w:type="dxa"/>
            <w:vAlign w:val="bottom"/>
            <w:tcBorders>
              <w:bottom w:val="single" w:sz="8" w:color="DBDBDB"/>
            </w:tcBorders>
            <w:gridSpan w:val="3"/>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spacing w:after="0"/>
              <w:rPr>
                <w:sz w:val="15"/>
                <w:szCs w:val="15"/>
                <w:color w:val="auto"/>
              </w:rPr>
            </w:pPr>
          </w:p>
        </w:tc>
        <w:tc>
          <w:tcPr>
            <w:tcW w:w="1700" w:type="dxa"/>
            <w:vAlign w:val="bottom"/>
            <w:tcBorders>
              <w:bottom w:val="single" w:sz="8" w:color="DBDBDB"/>
            </w:tcBorders>
            <w:shd w:val="clear" w:color="auto" w:fill="DBDBDB"/>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ind w:right="60"/>
              <w:spacing w:after="0"/>
              <w:rPr>
                <w:sz w:val="20"/>
                <w:szCs w:val="20"/>
                <w:color w:val="auto"/>
              </w:rPr>
            </w:pPr>
            <w:r>
              <w:rPr>
                <w:rFonts w:ascii="Arial" w:cs="Arial" w:eastAsia="Arial" w:hAnsi="Arial"/>
                <w:sz w:val="12"/>
                <w:szCs w:val="12"/>
                <w:color w:val="auto"/>
                <w:w w:val="99"/>
              </w:rPr>
              <w:t>32.2*</w:t>
            </w:r>
          </w:p>
        </w:tc>
        <w:tc>
          <w:tcPr>
            <w:tcW w:w="51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w w:val="99"/>
              </w:rPr>
              <w:t>Certification of Chief Financial Officer pursuant to Section 906 of the Sarbanes-Oxley Act of 2002</w:t>
            </w:r>
          </w:p>
        </w:tc>
        <w:tc>
          <w:tcPr>
            <w:tcW w:w="90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24765</wp:posOffset>
            </wp:positionV>
            <wp:extent cx="6805930" cy="581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05930" cy="581025"/>
                    </a:xfrm>
                    <a:prstGeom prst="rect">
                      <a:avLst/>
                    </a:prstGeom>
                    <a:noFill/>
                  </pic:spPr>
                </pic:pic>
              </a:graphicData>
            </a:graphic>
          </wp:anchor>
        </w:drawing>
      </w:r>
    </w:p>
    <w:p>
      <w:pPr>
        <w:spacing w:after="0" w:line="27" w:lineRule="exact"/>
        <w:rPr>
          <w:sz w:val="20"/>
          <w:szCs w:val="20"/>
          <w:color w:val="auto"/>
        </w:rPr>
      </w:pPr>
    </w:p>
    <w:p>
      <w:pPr>
        <w:ind w:left="1620" w:right="3920" w:hanging="654"/>
        <w:spacing w:after="0" w:line="258" w:lineRule="auto"/>
        <w:tabs>
          <w:tab w:leader="none" w:pos="1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following financial statements from the Company's Quarterly Report on Form 10-Q for the quarter ended January 31, 2024 formatted in Inline XBRL: (i) Condensed Consolidated Balance Sheets, (ii) Condensed Consolidated Statements of Income (Loss), (iii) Condensed Consolidated Statements of Income (Loss) (iv) Condensed Consolidated Statements of Changes in Equity, (v) Condensed Consolidated Statements of Cash Flows, and (vi) Notes to Consolidated Financial Statements, tagged as blocks of text and including detailed tags.</w:t>
      </w:r>
    </w:p>
    <w:p>
      <w:pPr>
        <w:spacing w:after="0" w:line="25" w:lineRule="exact"/>
        <w:rPr>
          <w:sz w:val="20"/>
          <w:szCs w:val="20"/>
          <w:color w:val="auto"/>
        </w:rPr>
      </w:pPr>
    </w:p>
    <w:p>
      <w:pPr>
        <w:ind w:left="1620" w:hanging="654"/>
        <w:spacing w:after="0"/>
        <w:tabs>
          <w:tab w:leader="none" w:pos="16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w:t>
      </w:r>
    </w:p>
    <w:p>
      <w:pPr>
        <w:spacing w:after="0" w:line="184" w:lineRule="exact"/>
        <w:rPr>
          <w:rFonts w:ascii="Arial" w:cs="Arial" w:eastAsia="Arial" w:hAnsi="Arial"/>
          <w:sz w:val="12"/>
          <w:szCs w:val="12"/>
          <w:color w:val="auto"/>
        </w:rPr>
      </w:pPr>
    </w:p>
    <w:p>
      <w:pPr>
        <w:ind w:left="520" w:hanging="111"/>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-173990</wp:posOffset>
            </wp:positionV>
            <wp:extent cx="68059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35" w:lineRule="exact"/>
        <w:rPr>
          <w:sz w:val="20"/>
          <w:szCs w:val="20"/>
          <w:color w:val="auto"/>
        </w:rPr>
      </w:pPr>
    </w:p>
    <w:p>
      <w:pPr>
        <w:ind w:left="520" w:right="240" w:hanging="91"/>
        <w:spacing w:after="0" w:line="282" w:lineRule="auto"/>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8" w:name="page29"/>
    <w:bookmarkEnd w:id="28"/>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SIGNATURES</w:t>
      </w:r>
    </w:p>
    <w:p>
      <w:pPr>
        <w:spacing w:after="0" w:line="234" w:lineRule="exact"/>
        <w:rPr>
          <w:sz w:val="20"/>
          <w:szCs w:val="20"/>
          <w:color w:val="auto"/>
        </w:rPr>
      </w:pPr>
    </w:p>
    <w:p>
      <w:pPr>
        <w:ind w:firstLine="619"/>
        <w:spacing w:after="0" w:line="25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quarterly report to be signed on its behalf by the undersigned, thereunto duly authorized, on March 11, 2024.</w:t>
      </w:r>
    </w:p>
    <w:p>
      <w:pPr>
        <w:spacing w:after="0" w:line="252" w:lineRule="exact"/>
        <w:rPr>
          <w:sz w:val="20"/>
          <w:szCs w:val="20"/>
          <w:color w:val="auto"/>
        </w:rPr>
      </w:pPr>
    </w:p>
    <w:p>
      <w:pPr>
        <w:ind w:left="8060"/>
        <w:spacing w:after="0"/>
        <w:rPr>
          <w:sz w:val="20"/>
          <w:szCs w:val="20"/>
          <w:color w:val="auto"/>
        </w:rPr>
      </w:pPr>
      <w:r>
        <w:rPr>
          <w:rFonts w:ascii="Arial" w:cs="Arial" w:eastAsia="Arial" w:hAnsi="Arial"/>
          <w:sz w:val="15"/>
          <w:szCs w:val="15"/>
          <w:b w:val="1"/>
          <w:bCs w:val="1"/>
          <w:color w:val="auto"/>
        </w:rPr>
        <w:t>MISSION PRODUCE, INC.</w:t>
      </w:r>
    </w:p>
    <w:p>
      <w:pPr>
        <w:spacing w:after="0" w:line="311"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Stephen J. Barnard</w:t>
      </w:r>
    </w:p>
    <w:p>
      <w:pPr>
        <w:spacing w:after="0" w:line="45" w:lineRule="exact"/>
        <w:rPr>
          <w:sz w:val="20"/>
          <w:szCs w:val="20"/>
          <w:color w:val="auto"/>
        </w:rPr>
      </w:pPr>
    </w:p>
    <w:p>
      <w:pPr>
        <w:ind w:left="8300"/>
        <w:spacing w:after="0"/>
        <w:rPr>
          <w:sz w:val="20"/>
          <w:szCs w:val="20"/>
          <w:color w:val="auto"/>
        </w:rPr>
      </w:pPr>
      <w:r>
        <w:rPr>
          <w:rFonts w:ascii="Arial" w:cs="Arial" w:eastAsia="Arial" w:hAnsi="Arial"/>
          <w:sz w:val="14"/>
          <w:szCs w:val="14"/>
          <w:i w:val="1"/>
          <w:iCs w:val="1"/>
          <w:color w:val="auto"/>
        </w:rPr>
        <w:t>Chief Executive Officer</w:t>
      </w:r>
    </w:p>
    <w:p>
      <w:pPr>
        <w:spacing w:after="0" w:line="290"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Bryan E. Giles</w:t>
      </w:r>
    </w:p>
    <w:p>
      <w:pPr>
        <w:spacing w:after="0" w:line="4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040"/>
          </w:cols>
          <w:pgMar w:left="320" w:top="1440" w:right="539" w:bottom="1440" w:gutter="0" w:footer="0" w:header="0"/>
        </w:sectPr>
      </w:pPr>
    </w:p>
    <w:bookmarkStart w:id="29" w:name="page30"/>
    <w:bookmarkEnd w:id="29"/>
    <w:p>
      <w:pPr>
        <w:spacing w:after="0"/>
        <w:rPr>
          <w:sz w:val="20"/>
          <w:szCs w:val="20"/>
          <w:color w:val="auto"/>
        </w:rPr>
      </w:pPr>
      <w:r>
        <w:rPr>
          <w:rFonts w:ascii="Arial" w:cs="Arial" w:eastAsia="Arial" w:hAnsi="Arial"/>
          <w:sz w:val="19"/>
          <w:szCs w:val="19"/>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Stephen J. Barnard, certify that:</w:t>
      </w:r>
    </w:p>
    <w:p>
      <w:pPr>
        <w:spacing w:after="0" w:line="213"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1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1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Stephen J. Barnard</w:t>
      </w:r>
    </w:p>
    <w:p>
      <w:pPr>
        <w:spacing w:after="0" w:line="58" w:lineRule="exact"/>
        <w:rPr>
          <w:sz w:val="20"/>
          <w:szCs w:val="20"/>
          <w:color w:val="auto"/>
        </w:rPr>
      </w:pPr>
    </w:p>
    <w:p>
      <w:pPr>
        <w:ind w:left="7760"/>
        <w:spacing w:after="0"/>
        <w:rPr>
          <w:sz w:val="20"/>
          <w:szCs w:val="20"/>
          <w:color w:val="auto"/>
        </w:rPr>
      </w:pPr>
      <w:r>
        <w:rPr>
          <w:rFonts w:ascii="Arial" w:cs="Arial" w:eastAsia="Arial" w:hAnsi="Arial"/>
          <w:sz w:val="14"/>
          <w:szCs w:val="14"/>
          <w:color w:val="auto"/>
        </w:rPr>
        <w:t>Chief Executive Officer and Director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March 11, 2024</w:t>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Bryan E. Giles, certify that:</w:t>
      </w:r>
    </w:p>
    <w:p>
      <w:pPr>
        <w:spacing w:after="0" w:line="213"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1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1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March 11, 2024</w:t>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right="160" w:hanging="307"/>
        <w:spacing w:after="0" w:line="259" w:lineRule="auto"/>
        <w:tabs>
          <w:tab w:leader="none" w:pos="613"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January 31, 2024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Stephen J. Barnard</w:t>
      </w:r>
    </w:p>
    <w:p>
      <w:pPr>
        <w:spacing w:after="0" w:line="58" w:lineRule="exact"/>
        <w:rPr>
          <w:sz w:val="20"/>
          <w:szCs w:val="20"/>
          <w:color w:val="auto"/>
        </w:rPr>
      </w:pPr>
    </w:p>
    <w:p>
      <w:pPr>
        <w:ind w:left="7760"/>
        <w:spacing w:after="0"/>
        <w:rPr>
          <w:sz w:val="20"/>
          <w:szCs w:val="20"/>
          <w:color w:val="auto"/>
        </w:rPr>
      </w:pPr>
      <w:r>
        <w:rPr>
          <w:rFonts w:ascii="Arial" w:cs="Arial" w:eastAsia="Arial" w:hAnsi="Arial"/>
          <w:sz w:val="14"/>
          <w:szCs w:val="14"/>
          <w:color w:val="auto"/>
        </w:rPr>
        <w:t>Chief Executive Officer and Director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March 11, 2024</w:t>
      </w:r>
    </w:p>
    <w:p>
      <w:pPr>
        <w:sectPr>
          <w:pgSz w:w="11900" w:h="16838" w:orient="portrait"/>
          <w:cols w:equalWidth="0" w:num="1">
            <w:col w:w="11080"/>
          </w:cols>
          <w:pgMar w:left="320" w:top="118" w:right="49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28" w:lineRule="exact"/>
        <w:rPr>
          <w:sz w:val="20"/>
          <w:szCs w:val="20"/>
          <w:color w:val="auto"/>
        </w:rPr>
      </w:pPr>
    </w:p>
    <w:p>
      <w:pPr>
        <w:ind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right="160" w:hanging="307"/>
        <w:spacing w:after="0" w:line="259" w:lineRule="auto"/>
        <w:tabs>
          <w:tab w:leader="none" w:pos="613"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January 31, 2024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March 11, 2024</w:t>
      </w:r>
    </w:p>
    <w:sectPr>
      <w:pgSz w:w="11900" w:h="16838" w:orient="portrait"/>
      <w:cols w:equalWidth="0" w:num="1">
        <w:col w:w="11080"/>
      </w:cols>
      <w:pgMar w:left="320" w:top="11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2"/>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0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7" Type="http://schemas.openxmlformats.org/officeDocument/2006/relationships/hyperlink" Target="https://www.sec.gov/Archives/edgar/data/1802974/000119312520265099/d32849dex31.htm" TargetMode="External"/><Relationship Id="rId48"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2024-03-11T15:36:57Z</dcterms:created>
  <dcterms:modified xsi:type="dcterms:W3CDTF">2024-03-11T15:36:57Z</dcterms:modified>
</cp:coreProperties>
</file>