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April 17,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MISSION PRODUCE,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564" w:type="dxa"/>
        <w:tblCellMar>
          <w:top w:w="0" w:type="dxa"/>
          <w:left w:w="0" w:type="dxa"/>
          <w:bottom w:w="0" w:type="dxa"/>
          <w:right w:w="0" w:type="dxa"/>
        </w:tblCellMar>
      </w:tblPr>
      <w:tr>
        <w:trPr>
          <w:trHeight w:val="214"/>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001-39561</w:t>
            </w:r>
          </w:p>
        </w:tc>
        <w:tc>
          <w:tcPr>
            <w:tcW w:w="17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95-3847744</w:t>
            </w:r>
          </w:p>
        </w:tc>
      </w:tr>
      <w:tr>
        <w:trPr>
          <w:trHeight w:val="148"/>
        </w:trPr>
        <w:tc>
          <w:tcPr>
            <w:tcW w:w="28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60" w:type="dxa"/>
            <w:vAlign w:val="bottom"/>
          </w:tcPr>
          <w:p>
            <w:pPr>
              <w:ind w:left="18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0"/>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2710 Camino Del Sol Oxnard, CA</w:t>
            </w:r>
          </w:p>
        </w:tc>
        <w:tc>
          <w:tcPr>
            <w:tcW w:w="4660" w:type="dxa"/>
            <w:vAlign w:val="bottom"/>
          </w:tcPr>
          <w:p>
            <w:pPr>
              <w:spacing w:after="0"/>
              <w:rPr>
                <w:sz w:val="24"/>
                <w:szCs w:val="24"/>
                <w:color w:val="auto"/>
              </w:rPr>
            </w:pPr>
          </w:p>
        </w:tc>
        <w:tc>
          <w:tcPr>
            <w:tcW w:w="17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93030</w:t>
            </w:r>
          </w:p>
        </w:tc>
      </w:tr>
      <w:tr>
        <w:trPr>
          <w:trHeight w:val="190"/>
        </w:trPr>
        <w:tc>
          <w:tcPr>
            <w:tcW w:w="28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60" w:type="dxa"/>
            <w:vAlign w:val="bottom"/>
          </w:tcPr>
          <w:p>
            <w:pPr>
              <w:spacing w:after="0"/>
              <w:rPr>
                <w:sz w:val="16"/>
                <w:szCs w:val="16"/>
                <w:color w:val="auto"/>
              </w:rPr>
            </w:pPr>
          </w:p>
        </w:tc>
        <w:tc>
          <w:tcPr>
            <w:tcW w:w="178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2820" w:type="dxa"/>
            <w:vAlign w:val="bottom"/>
          </w:tcPr>
          <w:p>
            <w:pPr>
              <w:spacing w:after="0"/>
              <w:rPr>
                <w:sz w:val="24"/>
                <w:szCs w:val="24"/>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(805) 981-3650</w:t>
            </w:r>
          </w:p>
        </w:tc>
        <w:tc>
          <w:tcPr>
            <w:tcW w:w="178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323"/>
        </w:trPr>
        <w:tc>
          <w:tcPr>
            <w:tcW w:w="2820" w:type="dxa"/>
            <w:vAlign w:val="bottom"/>
          </w:tcPr>
          <w:p>
            <w:pPr>
              <w:spacing w:after="0"/>
              <w:rPr>
                <w:sz w:val="24"/>
                <w:szCs w:val="24"/>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8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4" w:right="40" w:firstLine="4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jc w:val="both"/>
        <w:ind w:left="4" w:right="4120" w:hanging="4"/>
        <w:spacing w:after="0" w:line="286" w:lineRule="exact"/>
        <w:tabs>
          <w:tab w:leader="none" w:pos="43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spacing w:after="0" w:line="8" w:lineRule="exact"/>
        <w:rPr>
          <w:rFonts w:ascii="MS PGothic" w:cs="MS PGothic" w:eastAsia="MS PGothic" w:hAnsi="MS PGothic"/>
          <w:sz w:val="17"/>
          <w:szCs w:val="17"/>
          <w:color w:val="auto"/>
        </w:rPr>
      </w:pPr>
    </w:p>
    <w:p>
      <w:pPr>
        <w:jc w:val="both"/>
        <w:ind w:left="4" w:right="2520"/>
        <w:spacing w:after="0" w:line="3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89" w:lineRule="exact"/>
        <w:rPr>
          <w:rFonts w:ascii="MS PGothic" w:cs="MS PGothic" w:eastAsia="MS PGothic" w:hAnsi="MS PGothic"/>
          <w:sz w:val="17"/>
          <w:szCs w:val="17"/>
          <w:color w:val="auto"/>
        </w:rPr>
      </w:pPr>
    </w:p>
    <w:p>
      <w:pPr>
        <w:ind w:left="444"/>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2"/>
              </w:rPr>
              <w:t>AVO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Stock, par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14, 2026, Mission Produce, Inc. (“Mission Produce”) entered into an Agreement and Plan of Merger (the “Merger Agreement”), by and among Mission Produce, Calavo Growers, Inc. (“Calavo”), Cantaloupe Merger Sub I, Inc. (“Merger Sub I”) and Cantaloupe Merger Sub II, LLC (“Merger Sub II”). Pursuant to the Merger Agreement, and subject to the satisfaction or waiver of the conditions specified therein, (i) Merger Sub I will merge with and into Calavo (the “First Merger”), with Calavo surviving the First Merger as a wholly owned subsidiary of Mission Produce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Mission Produce.</w:t>
      </w:r>
    </w:p>
    <w:p>
      <w:pPr>
        <w:spacing w:after="0" w:line="19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waiting period under the Hart-Scott-Rodino Antitrust Improvements Act of 1976, as amended (the “HSR Act”), in connection with the Mergers, expired at 11:59 p.m., Eastern time, on April 17, 2026. The expiration of the waiting period under the HSR Act satisfies one of the conditions to consummating the Mergers. The consummation of the Mergers remains subject to other customary closing conditions, including receipt of approval from Mission Produce stockholders and Calavo shareholders and approval from the Mexico antitrust authorities. Subject to satisfaction of these conditions, the parties expect to consummate the Mergers in the fiscal quarter ending July 31,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(as amended, the “Registration Statement”) with the Securities and Exchange Commission (the “SEC”), which includes a prospectus with respect to the shares of Mission Produce’s common stock to be issued in the First Merger and a joint proxy statement for Mission Produce’s stockholders and Calavo’s shareholders. On March 18, 2026, Mission Produce filed Amendment No. 1 to the Registration Statement. The Registration Statement was declared effective on March 20, 2026, and Mission Produce filed a final prospectus on March 20, 2026, and Calavo filed a definitive proxy statement on March 20, 2026 (together, the “Joint Proxy Statement/Prospectus”). Mission Produce commenced mailing the Joint Proxy Statement/Prospectus to its stockholders and Calavo commenced mailing the Joint Proxy Statement/Prospectus to its shareholders on or about March 25, 2026. Each of Mission Produce and Calavo may also file with or furnish to the SEC other relevant documents regarding the Mergers. This communication is not a substitute for the Registration Statement, the Joint Proxy Statement/Prospectus or any other document that Mission Produce may mail to its stockholders or Calavo may mail to its shareholders in connection with the Mergers.</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MISSION PRODUCE AND CALAVO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MISSION PRODUCE, CALAVO, THE MERGERS AND RELATED MATTERS.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Mission Produce, Calavo and the proposed transaction through the website maintained by the SEC at http://www.sec.gov.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Inc., 2710 Camino Del Sol, Oxnard, CA 93030.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Mission Produce, Calavo and their respective directors and executive officers may be deemed to be participants in any solicitation of proxies in connection with the proposed transaction. Information about Mission Produce’s directors and executive officers is available in Mission Produce’s Annual Proxy Statement, which was filed with the SEC on February 24, 2026. Information about Calavo’s directors and executive officers is available in Calavo’s annual report on Form 10-K for the year ended October 31, 2025, as amended.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right="60" w:firstLine="4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relating to future events and results of Mission Produce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Mission Produce may differ materially from those expressed or implied by such forward-looking statements and assumptions. We refer to Mission Produce, Inc. as “Mission Produce,” “we,” “our” and “us.”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likelihood of obtaining necessary regulatory approvals for the proposed transaction; the success and profitability of certain branded products; the seasonality of certain retail and foodservice opportunities; the benefits of the proposed transaction involving Mission Produce and Calavo, including future financial and operating results, Mission Produce’s and Calavo’s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Mission Produce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ectPr>
          <w:pgSz w:w="11900" w:h="16838" w:orient="portrait"/>
          <w:cols w:equalWidth="0" w:num="1">
            <w:col w:w="11020"/>
          </w:cols>
          <w:pgMar w:left="440" w:top="295" w:right="439" w:bottom="1440" w:gutter="0" w:footer="0" w:header="0"/>
        </w:sectPr>
      </w:pPr>
    </w:p>
    <w:bookmarkStart w:id="3" w:name="page4"/>
    <w:bookmarkEnd w:id="3"/>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Risks and uncertainties that may cause our actual results to be materially different from any future results expressed or implied by the forward-looking statements include, but are not limited to, the following: the ability to obtain the requisite approval by Mission Produce stockholders or Calavo shareholders; the risk that Mission Produce or Calavo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Mission Produce’s or Calavo’s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Mission Produce or Calavo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20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sectPr>
          <w:pgSz w:w="11900" w:h="16838" w:orient="portrait"/>
          <w:cols w:equalWidth="0" w:num="1">
            <w:col w:w="11000"/>
          </w:cols>
          <w:pgMar w:left="440" w:top="297"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Mission Produce, Inc.</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April 18, 2026</w:t>
            </w:r>
          </w:p>
        </w:tc>
        <w:tc>
          <w:tcPr>
            <w:tcW w:w="4860" w:type="dxa"/>
            <w:vAlign w:val="bottom"/>
          </w:tcPr>
          <w:p>
            <w:pPr>
              <w:spacing w:after="0"/>
              <w:rPr>
                <w:sz w:val="20"/>
                <w:szCs w:val="20"/>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2026-04-20T06:02:47Z</dcterms:created>
  <dcterms:modified xsi:type="dcterms:W3CDTF">2026-04-20T06:02:47Z</dcterms:modified>
</cp:coreProperties>
</file>