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439420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459740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jc w:val="center"/>
        <w:spacing w:after="0" w:line="238" w:lineRule="auto"/>
        <w:rPr>
          <w:sz w:val="20"/>
          <w:szCs w:val="20"/>
          <w:color w:val="auto"/>
        </w:rPr>
      </w:pPr>
      <w:r>
        <w:rPr>
          <w:rFonts w:ascii="Arial" w:cs="Arial" w:eastAsia="Arial" w:hAnsi="Arial"/>
          <w:sz w:val="19"/>
          <w:szCs w:val="19"/>
          <w:b w:val="1"/>
          <w:bCs w:val="1"/>
          <w:color w:val="auto"/>
        </w:rPr>
        <w:t>SECURITIES AND EXCHANGE COMMISSION</w:t>
      </w:r>
    </w:p>
    <w:p>
      <w:pPr>
        <w:jc w:val="center"/>
        <w:spacing w:after="0" w:line="230" w:lineRule="auto"/>
        <w:rPr>
          <w:sz w:val="20"/>
          <w:szCs w:val="20"/>
          <w:color w:val="auto"/>
        </w:rPr>
      </w:pPr>
      <w:r>
        <w:rPr>
          <w:rFonts w:ascii="Arial" w:cs="Arial" w:eastAsia="Arial" w:hAnsi="Arial"/>
          <w:sz w:val="11"/>
          <w:szCs w:val="11"/>
          <w:b w:val="1"/>
          <w:bCs w:val="1"/>
          <w:color w:val="auto"/>
        </w:rPr>
        <w:t>WASHINGTON, D.C. 20549</w:t>
      </w:r>
    </w:p>
    <w:p>
      <w:pPr>
        <w:ind w:left="5340"/>
        <w:spacing w:after="0"/>
        <w:rPr>
          <w:sz w:val="20"/>
          <w:szCs w:val="20"/>
          <w:color w:val="auto"/>
        </w:rPr>
      </w:pPr>
      <w:r>
        <w:rPr>
          <w:rFonts w:ascii="Arial" w:cs="Arial" w:eastAsia="Arial" w:hAnsi="Arial"/>
          <w:sz w:val="8"/>
          <w:szCs w:val="8"/>
          <w:u w:val="single" w:color="auto"/>
          <w:color w:val="auto"/>
        </w:rPr>
        <w:t>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9" w:lineRule="exact"/>
        <w:rPr>
          <w:sz w:val="24"/>
          <w:szCs w:val="24"/>
          <w:color w:val="auto"/>
        </w:rPr>
      </w:pPr>
    </w:p>
    <w:p>
      <w:pPr>
        <w:ind w:left="5340"/>
        <w:spacing w:after="0"/>
        <w:rPr>
          <w:sz w:val="20"/>
          <w:szCs w:val="20"/>
          <w:color w:val="auto"/>
        </w:rPr>
      </w:pPr>
      <w:r>
        <w:rPr>
          <w:rFonts w:ascii="Arial" w:cs="Arial" w:eastAsia="Arial" w:hAnsi="Arial"/>
          <w:sz w:val="8"/>
          <w:szCs w:val="8"/>
          <w:u w:val="single" w:color="auto"/>
          <w:color w:val="auto"/>
        </w:rPr>
        <w:t>_____________</w:t>
      </w:r>
    </w:p>
    <w:p>
      <w:pPr>
        <w:spacing w:after="0" w:line="180"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39"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79" w:lineRule="exact"/>
        <w:rPr>
          <w:sz w:val="24"/>
          <w:szCs w:val="24"/>
          <w:color w:val="auto"/>
        </w:rPr>
      </w:pPr>
    </w:p>
    <w:p>
      <w:pPr>
        <w:ind w:left="4620"/>
        <w:spacing w:after="0"/>
        <w:rPr>
          <w:sz w:val="20"/>
          <w:szCs w:val="20"/>
          <w:color w:val="auto"/>
        </w:rPr>
      </w:pPr>
      <w:r>
        <w:rPr>
          <w:rFonts w:ascii="Arial" w:cs="Arial" w:eastAsia="Arial" w:hAnsi="Arial"/>
          <w:sz w:val="11"/>
          <w:szCs w:val="11"/>
          <w:b w:val="1"/>
          <w:bCs w:val="1"/>
          <w:color w:val="auto"/>
        </w:rPr>
        <w:t>For the quarterly period ended January 31, 2025</w:t>
      </w:r>
    </w:p>
    <w:p>
      <w:pPr>
        <w:spacing w:after="0" w:line="33" w:lineRule="exact"/>
        <w:rPr>
          <w:sz w:val="24"/>
          <w:szCs w:val="24"/>
          <w:color w:val="auto"/>
        </w:rPr>
      </w:pPr>
    </w:p>
    <w:p>
      <w:pPr>
        <w:ind w:left="5560"/>
        <w:spacing w:after="0"/>
        <w:rPr>
          <w:sz w:val="20"/>
          <w:szCs w:val="20"/>
          <w:color w:val="auto"/>
        </w:rPr>
      </w:pPr>
      <w:r>
        <w:rPr>
          <w:rFonts w:ascii="Arial" w:cs="Arial" w:eastAsia="Arial" w:hAnsi="Arial"/>
          <w:sz w:val="11"/>
          <w:szCs w:val="11"/>
          <w:b w:val="1"/>
          <w:bCs w:val="1"/>
          <w:color w:val="auto"/>
        </w:rPr>
        <w:t>OR</w:t>
      </w:r>
    </w:p>
    <w:p>
      <w:pPr>
        <w:spacing w:after="0" w:line="230"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7" w:lineRule="exact"/>
        <w:rPr>
          <w:sz w:val="24"/>
          <w:szCs w:val="24"/>
          <w:color w:val="auto"/>
        </w:rPr>
      </w:pPr>
    </w:p>
    <w:p>
      <w:pPr>
        <w:ind w:left="4120"/>
        <w:spacing w:after="0"/>
        <w:tabs>
          <w:tab w:leader="none" w:pos="638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3645535</wp:posOffset>
            </wp:positionH>
            <wp:positionV relativeFrom="paragraph">
              <wp:posOffset>-1905</wp:posOffset>
            </wp:positionV>
            <wp:extent cx="9055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698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001-39561</w:t>
      </w:r>
    </w:p>
    <w:p>
      <w:pPr>
        <w:spacing w:after="0" w:line="5" w:lineRule="exact"/>
        <w:rPr>
          <w:sz w:val="24"/>
          <w:szCs w:val="24"/>
          <w:color w:val="auto"/>
        </w:rPr>
      </w:pPr>
    </w:p>
    <w:p>
      <w:pPr>
        <w:ind w:left="5340"/>
        <w:spacing w:after="0"/>
        <w:rPr>
          <w:sz w:val="20"/>
          <w:szCs w:val="20"/>
          <w:color w:val="auto"/>
        </w:rPr>
      </w:pPr>
      <w:r>
        <w:rPr>
          <w:rFonts w:ascii="Arial" w:cs="Arial" w:eastAsia="Arial" w:hAnsi="Arial"/>
          <w:sz w:val="8"/>
          <w:szCs w:val="8"/>
          <w:u w:val="single" w:color="auto"/>
          <w:color w:val="auto"/>
        </w:rPr>
        <w:t>_____________</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MISSION PRODUCE, INC.</w:t>
      </w:r>
    </w:p>
    <w:p>
      <w:pPr>
        <w:sectPr>
          <w:pgSz w:w="11900" w:h="16838" w:orient="portrait"/>
          <w:cols w:equalWidth="0" w:num="1">
            <w:col w:w="11280"/>
          </w:cols>
          <w:pgMar w:left="300" w:top="832" w:right="319" w:bottom="1440" w:gutter="0" w:footer="0" w:header="0"/>
        </w:sectPr>
      </w:pPr>
    </w:p>
    <w:p>
      <w:pPr>
        <w:spacing w:after="0" w:line="31" w:lineRule="exact"/>
        <w:rPr>
          <w:sz w:val="24"/>
          <w:szCs w:val="24"/>
          <w:color w:val="auto"/>
        </w:rPr>
      </w:pPr>
    </w:p>
    <w:p>
      <w:pPr>
        <w:ind w:left="4240"/>
        <w:spacing w:after="0"/>
        <w:rPr>
          <w:sz w:val="20"/>
          <w:szCs w:val="20"/>
          <w:color w:val="auto"/>
        </w:rPr>
      </w:pPr>
      <w:r>
        <w:rPr>
          <w:rFonts w:ascii="Arial" w:cs="Arial" w:eastAsia="Arial" w:hAnsi="Arial"/>
          <w:sz w:val="11"/>
          <w:szCs w:val="11"/>
          <w:b w:val="1"/>
          <w:bCs w:val="1"/>
          <w:color w:val="auto"/>
        </w:rPr>
        <w:t>(Exact name of Registrant as specified in its charter)</w:t>
      </w: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191" w:lineRule="exact"/>
        <w:rPr>
          <w:sz w:val="24"/>
          <w:szCs w:val="24"/>
          <w:color w:val="auto"/>
        </w:rPr>
      </w:pPr>
    </w:p>
    <w:p>
      <w:pPr>
        <w:jc w:val="center"/>
        <w:ind w:right="2240"/>
        <w:spacing w:after="0"/>
        <w:rPr>
          <w:sz w:val="20"/>
          <w:szCs w:val="20"/>
          <w:color w:val="auto"/>
        </w:rPr>
      </w:pPr>
      <w:r>
        <w:rPr>
          <w:rFonts w:ascii="Arial" w:cs="Arial" w:eastAsia="Arial" w:hAnsi="Arial"/>
          <w:sz w:val="11"/>
          <w:szCs w:val="11"/>
          <w:b w:val="1"/>
          <w:bCs w:val="1"/>
          <w:color w:val="auto"/>
        </w:rPr>
        <w:t>Delaware</w:t>
      </w:r>
    </w:p>
    <w:p>
      <w:pPr>
        <w:spacing w:after="0" w:line="7" w:lineRule="exact"/>
        <w:rPr>
          <w:sz w:val="24"/>
          <w:szCs w:val="24"/>
          <w:color w:val="auto"/>
        </w:rPr>
      </w:pPr>
    </w:p>
    <w:p>
      <w:pPr>
        <w:ind w:left="1880"/>
        <w:spacing w:after="0"/>
        <w:rPr>
          <w:sz w:val="20"/>
          <w:szCs w:val="20"/>
          <w:color w:val="auto"/>
        </w:rPr>
      </w:pPr>
      <w:r>
        <w:rPr>
          <w:rFonts w:ascii="Arial" w:cs="Arial" w:eastAsia="Arial" w:hAnsi="Arial"/>
          <w:sz w:val="11"/>
          <w:szCs w:val="11"/>
          <w:b w:val="1"/>
          <w:bCs w:val="1"/>
          <w:color w:val="auto"/>
        </w:rPr>
        <w:t>(State or Other Jurisdiction of</w:t>
      </w:r>
    </w:p>
    <w:p>
      <w:pPr>
        <w:spacing w:after="0" w:line="1" w:lineRule="exact"/>
        <w:rPr>
          <w:sz w:val="24"/>
          <w:szCs w:val="24"/>
          <w:color w:val="auto"/>
        </w:rPr>
      </w:pPr>
    </w:p>
    <w:p>
      <w:pPr>
        <w:ind w:left="1880"/>
        <w:spacing w:after="0"/>
        <w:rPr>
          <w:sz w:val="20"/>
          <w:szCs w:val="20"/>
          <w:color w:val="auto"/>
        </w:rPr>
      </w:pPr>
      <w:r>
        <w:rPr>
          <w:rFonts w:ascii="Arial" w:cs="Arial" w:eastAsia="Arial" w:hAnsi="Arial"/>
          <w:sz w:val="11"/>
          <w:szCs w:val="11"/>
          <w:b w:val="1"/>
          <w:bCs w:val="1"/>
          <w:color w:val="auto"/>
        </w:rPr>
        <w:t>Incorporation or Organization)</w:t>
      </w:r>
    </w:p>
    <w:p>
      <w:pPr>
        <w:spacing w:after="0" w:line="122" w:lineRule="exact"/>
        <w:rPr>
          <w:sz w:val="24"/>
          <w:szCs w:val="24"/>
          <w:color w:val="auto"/>
        </w:rPr>
      </w:pPr>
    </w:p>
    <w:p>
      <w:pPr>
        <w:jc w:val="center"/>
        <w:ind w:right="2240"/>
        <w:spacing w:after="0"/>
        <w:rPr>
          <w:sz w:val="20"/>
          <w:szCs w:val="20"/>
          <w:color w:val="auto"/>
        </w:rPr>
      </w:pPr>
      <w:r>
        <w:rPr>
          <w:rFonts w:ascii="Arial" w:cs="Arial" w:eastAsia="Arial" w:hAnsi="Arial"/>
          <w:sz w:val="11"/>
          <w:szCs w:val="11"/>
          <w:b w:val="1"/>
          <w:bCs w:val="1"/>
          <w:color w:val="auto"/>
        </w:rPr>
        <w:t>2710 Camino Del Sol</w:t>
      </w:r>
    </w:p>
    <w:p>
      <w:pPr>
        <w:spacing w:after="0" w:line="21" w:lineRule="exact"/>
        <w:rPr>
          <w:sz w:val="24"/>
          <w:szCs w:val="24"/>
          <w:color w:val="auto"/>
        </w:rPr>
      </w:pPr>
    </w:p>
    <w:p>
      <w:pPr>
        <w:jc w:val="center"/>
        <w:ind w:right="2240"/>
        <w:spacing w:after="0"/>
        <w:rPr>
          <w:sz w:val="20"/>
          <w:szCs w:val="20"/>
          <w:color w:val="auto"/>
        </w:rPr>
      </w:pPr>
      <w:r>
        <w:rPr>
          <w:rFonts w:ascii="Arial" w:cs="Arial" w:eastAsia="Arial" w:hAnsi="Arial"/>
          <w:sz w:val="11"/>
          <w:szCs w:val="11"/>
          <w:b w:val="1"/>
          <w:bCs w:val="1"/>
          <w:color w:val="auto"/>
        </w:rPr>
        <w:t>Oxnard, California</w:t>
      </w:r>
    </w:p>
    <w:p>
      <w:pPr>
        <w:spacing w:after="0" w:line="7" w:lineRule="exact"/>
        <w:rPr>
          <w:sz w:val="24"/>
          <w:szCs w:val="24"/>
          <w:color w:val="auto"/>
        </w:rPr>
      </w:pPr>
    </w:p>
    <w:p>
      <w:pPr>
        <w:ind w:left="16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175" w:lineRule="exact"/>
        <w:rPr>
          <w:sz w:val="24"/>
          <w:szCs w:val="24"/>
          <w:color w:val="auto"/>
        </w:rPr>
      </w:pPr>
    </w:p>
    <w:p>
      <w:pPr>
        <w:jc w:val="center"/>
        <w:ind w:left="3800"/>
        <w:spacing w:after="0"/>
        <w:rPr>
          <w:sz w:val="20"/>
          <w:szCs w:val="20"/>
          <w:color w:val="auto"/>
        </w:rPr>
      </w:pPr>
      <w:r>
        <w:rPr>
          <w:rFonts w:ascii="Arial" w:cs="Arial" w:eastAsia="Arial" w:hAnsi="Arial"/>
          <w:sz w:val="11"/>
          <w:szCs w:val="11"/>
          <w:b w:val="1"/>
          <w:bCs w:val="1"/>
          <w:color w:val="auto"/>
        </w:rPr>
        <w:t>Registrant’s Telephone Number, Including Area Code: (805) 981-3650</w:t>
      </w:r>
    </w:p>
    <w:p>
      <w:pPr>
        <w:spacing w:after="0" w:line="5" w:lineRule="exact"/>
        <w:rPr>
          <w:sz w:val="24"/>
          <w:szCs w:val="24"/>
          <w:color w:val="auto"/>
        </w:rPr>
      </w:pPr>
    </w:p>
    <w:p>
      <w:pPr>
        <w:ind w:left="5340"/>
        <w:spacing w:after="0"/>
        <w:rPr>
          <w:sz w:val="20"/>
          <w:szCs w:val="20"/>
          <w:color w:val="auto"/>
        </w:rPr>
      </w:pPr>
      <w:r>
        <w:rPr>
          <w:rFonts w:ascii="Arial" w:cs="Arial" w:eastAsia="Arial" w:hAnsi="Arial"/>
          <w:sz w:val="8"/>
          <w:szCs w:val="8"/>
          <w:u w:val="single" w:color="auto"/>
          <w:color w:val="auto"/>
        </w:rPr>
        <w:t>_____________</w:t>
      </w:r>
    </w:p>
    <w:p>
      <w:pPr>
        <w:spacing w:after="0" w:line="85" w:lineRule="exact"/>
        <w:rPr>
          <w:sz w:val="24"/>
          <w:szCs w:val="24"/>
          <w:color w:val="auto"/>
        </w:rPr>
      </w:pPr>
    </w:p>
    <w:p>
      <w:pPr>
        <w:ind w:left="4100"/>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2300"/>
        <w:spacing w:after="0"/>
        <w:rPr>
          <w:sz w:val="20"/>
          <w:szCs w:val="20"/>
          <w:color w:val="auto"/>
        </w:rPr>
      </w:pPr>
      <w:r>
        <w:rPr>
          <w:rFonts w:ascii="Arial" w:cs="Arial" w:eastAsia="Arial" w:hAnsi="Arial"/>
          <w:sz w:val="11"/>
          <w:szCs w:val="11"/>
          <w:b w:val="1"/>
          <w:bCs w:val="1"/>
          <w:color w:val="auto"/>
        </w:rPr>
        <w:t>95-3847744</w:t>
      </w:r>
    </w:p>
    <w:p>
      <w:pPr>
        <w:spacing w:after="0" w:line="7" w:lineRule="exact"/>
        <w:rPr>
          <w:sz w:val="24"/>
          <w:szCs w:val="24"/>
          <w:color w:val="auto"/>
        </w:rPr>
      </w:pPr>
    </w:p>
    <w:p>
      <w:pPr>
        <w:jc w:val="center"/>
        <w:ind w:right="2300"/>
        <w:spacing w:after="0"/>
        <w:rPr>
          <w:sz w:val="20"/>
          <w:szCs w:val="20"/>
          <w:color w:val="auto"/>
        </w:rPr>
      </w:pPr>
      <w:r>
        <w:rPr>
          <w:rFonts w:ascii="Arial" w:cs="Arial" w:eastAsia="Arial" w:hAnsi="Arial"/>
          <w:sz w:val="11"/>
          <w:szCs w:val="11"/>
          <w:b w:val="1"/>
          <w:bCs w:val="1"/>
          <w:color w:val="auto"/>
        </w:rPr>
        <w:t>(I.R.S. Employer</w:t>
      </w:r>
    </w:p>
    <w:p>
      <w:pPr>
        <w:spacing w:after="0" w:line="1" w:lineRule="exact"/>
        <w:rPr>
          <w:sz w:val="24"/>
          <w:szCs w:val="24"/>
          <w:color w:val="auto"/>
        </w:rPr>
      </w:pPr>
    </w:p>
    <w:p>
      <w:pPr>
        <w:jc w:val="center"/>
        <w:ind w:right="2300"/>
        <w:spacing w:after="0"/>
        <w:rPr>
          <w:sz w:val="20"/>
          <w:szCs w:val="20"/>
          <w:color w:val="auto"/>
        </w:rPr>
      </w:pPr>
      <w:r>
        <w:rPr>
          <w:rFonts w:ascii="Arial" w:cs="Arial" w:eastAsia="Arial" w:hAnsi="Arial"/>
          <w:sz w:val="10"/>
          <w:szCs w:val="10"/>
          <w:b w:val="1"/>
          <w:bCs w:val="1"/>
          <w:color w:val="auto"/>
        </w:rPr>
        <w:t>Identification No.)</w:t>
      </w:r>
    </w:p>
    <w:p>
      <w:pPr>
        <w:spacing w:after="0" w:line="134" w:lineRule="exact"/>
        <w:rPr>
          <w:sz w:val="24"/>
          <w:szCs w:val="24"/>
          <w:color w:val="auto"/>
        </w:rPr>
      </w:pPr>
    </w:p>
    <w:p>
      <w:pPr>
        <w:jc w:val="center"/>
        <w:ind w:right="2300"/>
        <w:spacing w:after="0"/>
        <w:rPr>
          <w:sz w:val="20"/>
          <w:szCs w:val="20"/>
          <w:color w:val="auto"/>
        </w:rPr>
      </w:pPr>
      <w:r>
        <w:rPr>
          <w:rFonts w:ascii="Arial" w:cs="Arial" w:eastAsia="Arial" w:hAnsi="Arial"/>
          <w:sz w:val="11"/>
          <w:szCs w:val="11"/>
          <w:b w:val="1"/>
          <w:bCs w:val="1"/>
          <w:color w:val="auto"/>
        </w:rPr>
        <w:t>93030</w:t>
      </w:r>
    </w:p>
    <w:p>
      <w:pPr>
        <w:spacing w:after="0" w:line="17" w:lineRule="exact"/>
        <w:rPr>
          <w:sz w:val="24"/>
          <w:szCs w:val="24"/>
          <w:color w:val="auto"/>
        </w:rPr>
      </w:pPr>
    </w:p>
    <w:p>
      <w:pPr>
        <w:ind w:left="180"/>
        <w:spacing w:after="0"/>
        <w:rPr>
          <w:sz w:val="20"/>
          <w:szCs w:val="20"/>
          <w:color w:val="auto"/>
        </w:rPr>
      </w:pPr>
      <w:r>
        <w:rPr>
          <w:rFonts w:ascii="Arial" w:cs="Arial" w:eastAsia="Arial" w:hAnsi="Arial"/>
          <w:sz w:val="11"/>
          <w:szCs w:val="11"/>
          <w:b w:val="1"/>
          <w:bCs w:val="1"/>
          <w:color w:val="auto"/>
        </w:rPr>
        <w:t>(Zip Code)</w:t>
      </w:r>
    </w:p>
    <w:p>
      <w:pPr>
        <w:spacing w:after="0" w:line="936" w:lineRule="exact"/>
        <w:rPr>
          <w:sz w:val="24"/>
          <w:szCs w:val="24"/>
          <w:color w:val="auto"/>
        </w:rPr>
      </w:pPr>
    </w:p>
    <w:p>
      <w:pPr>
        <w:sectPr>
          <w:pgSz w:w="11900" w:h="16838" w:orient="portrait"/>
          <w:cols w:equalWidth="0" w:num="2">
            <w:col w:w="7500" w:space="600"/>
            <w:col w:w="3180"/>
          </w:cols>
          <w:pgMar w:left="300" w:top="832" w:right="319" w:bottom="1440" w:gutter="0" w:footer="0" w:header="0"/>
          <w:type w:val="continuous"/>
        </w:sectPr>
      </w:pPr>
    </w:p>
    <w:p>
      <w:pPr>
        <w:spacing w:after="0" w:line="66" w:lineRule="exact"/>
        <w:rPr>
          <w:sz w:val="24"/>
          <w:szCs w:val="24"/>
          <w:color w:val="auto"/>
        </w:rPr>
      </w:pPr>
    </w:p>
    <w:tbl>
      <w:tblPr>
        <w:tblLayout w:type="fixed"/>
        <w:tblInd w:w="860" w:type="dxa"/>
        <w:tblCellMar>
          <w:top w:w="0" w:type="dxa"/>
          <w:left w:w="0" w:type="dxa"/>
          <w:bottom w:w="0" w:type="dxa"/>
          <w:right w:w="0" w:type="dxa"/>
        </w:tblCellMar>
      </w:tblPr>
      <w:tr>
        <w:trPr>
          <w:trHeight w:val="15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20" w:type="dxa"/>
            <w:vAlign w:val="bottom"/>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12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50"/>
        </w:trPr>
        <w:tc>
          <w:tcPr>
            <w:tcW w:w="3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Common Stock, par value $0.001 per share</w:t>
            </w:r>
          </w:p>
        </w:tc>
        <w:tc>
          <w:tcPr>
            <w:tcW w:w="2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AVO</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rPr>
              <w:t>NASDAQ Global Select Market</w:t>
            </w:r>
          </w:p>
        </w:tc>
      </w:tr>
    </w:tbl>
    <w:p>
      <w:pPr>
        <w:spacing w:after="0" w:line="344" w:lineRule="exact"/>
        <w:rPr>
          <w:sz w:val="24"/>
          <w:szCs w:val="24"/>
          <w:color w:val="auto"/>
        </w:rPr>
      </w:pPr>
    </w:p>
    <w:p>
      <w:pPr>
        <w:ind w:firstLine="382"/>
        <w:spacing w:after="0" w:line="15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7" w:lineRule="exact"/>
        <w:rPr>
          <w:sz w:val="24"/>
          <w:szCs w:val="24"/>
          <w:color w:val="auto"/>
        </w:rPr>
      </w:pPr>
    </w:p>
    <w:p>
      <w:pPr>
        <w:ind w:right="60" w:firstLine="382"/>
        <w:spacing w:after="0" w:line="146"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7" w:lineRule="exact"/>
        <w:rPr>
          <w:sz w:val="24"/>
          <w:szCs w:val="24"/>
          <w:color w:val="auto"/>
        </w:rPr>
      </w:pPr>
    </w:p>
    <w:p>
      <w:pPr>
        <w:ind w:right="520" w:firstLine="382"/>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8" w:lineRule="exact"/>
        <w:rPr>
          <w:sz w:val="24"/>
          <w:szCs w:val="24"/>
          <w:color w:val="auto"/>
        </w:rPr>
      </w:pPr>
    </w:p>
    <w:tbl>
      <w:tblPr>
        <w:tblLayout w:type="fixed"/>
        <w:tblInd w:w="520" w:type="dxa"/>
        <w:tblCellMar>
          <w:top w:w="0" w:type="dxa"/>
          <w:left w:w="0" w:type="dxa"/>
          <w:bottom w:w="0" w:type="dxa"/>
          <w:right w:w="0" w:type="dxa"/>
        </w:tblCellMar>
      </w:tblPr>
      <w:tr>
        <w:trPr>
          <w:trHeight w:val="159"/>
        </w:trPr>
        <w:tc>
          <w:tcPr>
            <w:tcW w:w="17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0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4240" w:type="dxa"/>
            <w:vAlign w:val="bottom"/>
          </w:tcPr>
          <w:p>
            <w:pPr>
              <w:ind w:left="2480"/>
              <w:spacing w:after="0"/>
              <w:rPr>
                <w:sz w:val="20"/>
                <w:szCs w:val="20"/>
                <w:color w:val="auto"/>
              </w:rPr>
            </w:pPr>
            <w:r>
              <w:rPr>
                <w:rFonts w:ascii="Arial" w:cs="Arial" w:eastAsia="Arial" w:hAnsi="Arial"/>
                <w:sz w:val="11"/>
                <w:szCs w:val="11"/>
                <w:color w:val="auto"/>
              </w:rPr>
              <w:t>Accelerated filer</w:t>
            </w:r>
          </w:p>
        </w:tc>
        <w:tc>
          <w:tcPr>
            <w:tcW w:w="5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740" w:type="dxa"/>
            <w:vAlign w:val="bottom"/>
          </w:tcPr>
          <w:p>
            <w:pPr>
              <w:spacing w:after="0"/>
              <w:rPr>
                <w:sz w:val="20"/>
                <w:szCs w:val="20"/>
                <w:color w:val="auto"/>
              </w:rPr>
            </w:pPr>
            <w:r>
              <w:rPr>
                <w:rFonts w:ascii="Arial" w:cs="Arial" w:eastAsia="Arial" w:hAnsi="Arial"/>
                <w:sz w:val="11"/>
                <w:szCs w:val="11"/>
                <w:color w:val="auto"/>
              </w:rPr>
              <w:t>Non-accelerated filer</w:t>
            </w:r>
          </w:p>
        </w:tc>
        <w:tc>
          <w:tcPr>
            <w:tcW w:w="30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4240" w:type="dxa"/>
            <w:vAlign w:val="bottom"/>
          </w:tcPr>
          <w:p>
            <w:pPr>
              <w:ind w:left="2480"/>
              <w:spacing w:after="0"/>
              <w:rPr>
                <w:sz w:val="20"/>
                <w:szCs w:val="20"/>
                <w:color w:val="auto"/>
              </w:rPr>
            </w:pPr>
            <w:r>
              <w:rPr>
                <w:rFonts w:ascii="Arial" w:cs="Arial" w:eastAsia="Arial" w:hAnsi="Arial"/>
                <w:sz w:val="11"/>
                <w:szCs w:val="11"/>
                <w:color w:val="auto"/>
              </w:rPr>
              <w:t>Smaller reporting company</w:t>
            </w:r>
          </w:p>
        </w:tc>
        <w:tc>
          <w:tcPr>
            <w:tcW w:w="5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74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0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4240" w:type="dxa"/>
            <w:vAlign w:val="bottom"/>
          </w:tcPr>
          <w:p>
            <w:pPr>
              <w:spacing w:after="0"/>
              <w:rPr>
                <w:sz w:val="16"/>
                <w:szCs w:val="16"/>
                <w:color w:val="auto"/>
              </w:rPr>
            </w:pPr>
          </w:p>
        </w:tc>
        <w:tc>
          <w:tcPr>
            <w:tcW w:w="500" w:type="dxa"/>
            <w:vAlign w:val="bottom"/>
          </w:tcPr>
          <w:p>
            <w:pPr>
              <w:spacing w:after="0"/>
              <w:rPr>
                <w:sz w:val="16"/>
                <w:szCs w:val="16"/>
                <w:color w:val="auto"/>
              </w:rPr>
            </w:pPr>
          </w:p>
        </w:tc>
      </w:tr>
    </w:tbl>
    <w:p>
      <w:pPr>
        <w:spacing w:after="0" w:line="324" w:lineRule="exact"/>
        <w:rPr>
          <w:sz w:val="24"/>
          <w:szCs w:val="24"/>
          <w:color w:val="auto"/>
        </w:rPr>
      </w:pPr>
    </w:p>
    <w:p>
      <w:pPr>
        <w:ind w:right="140" w:firstLine="382"/>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left="380" w:right="4960"/>
        <w:spacing w:after="0" w:line="17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As of February 28, 2025, the registrant had 71,071,752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320675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32"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FISCAL FIRST QUARTER 2025</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1760" w:type="dxa"/>
            <w:vAlign w:val="bottom"/>
            <w:gridSpan w:val="7"/>
          </w:tcPr>
          <w:p>
            <w:pPr>
              <w:spacing w:after="0"/>
              <w:rPr>
                <w:sz w:val="20"/>
                <w:szCs w:val="20"/>
                <w:color w:val="auto"/>
              </w:rPr>
            </w:pPr>
            <w:r>
              <w:rPr>
                <w:rFonts w:ascii="Arial" w:cs="Arial" w:eastAsia="Arial" w:hAnsi="Arial"/>
                <w:sz w:val="11"/>
                <w:szCs w:val="11"/>
                <w:color w:val="0000FF"/>
                <w:w w:val="95"/>
              </w:rPr>
              <w:t>PART I- FINANCIAL INFORMATION</w:t>
            </w:r>
          </w:p>
        </w:tc>
        <w:tc>
          <w:tcPr>
            <w:tcW w:w="8560" w:type="dxa"/>
            <w:vAlign w:val="bottom"/>
            <w:gridSpan w:val="14"/>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0000FF"/>
                <w:w w:val="71"/>
              </w:rPr>
              <w:t>5</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77"/>
        </w:trPr>
        <w:tc>
          <w:tcPr>
            <w:tcW w:w="6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1.</w:t>
            </w:r>
          </w:p>
        </w:tc>
        <w:tc>
          <w:tcPr>
            <w:tcW w:w="800" w:type="dxa"/>
            <w:vAlign w:val="bottom"/>
            <w:gridSpan w:val="2"/>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1"/>
                <w:szCs w:val="11"/>
                <w:color w:val="0000FF"/>
              </w:rPr>
              <w:t>Financial Statements</w:t>
            </w:r>
          </w:p>
        </w:tc>
        <w:tc>
          <w:tcPr>
            <w:tcW w:w="812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0000FF"/>
                <w:w w:val="71"/>
              </w:rPr>
              <w:t>5</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720" w:type="dxa"/>
            <w:vAlign w:val="bottom"/>
            <w:gridSpan w:val="10"/>
          </w:tcPr>
          <w:p>
            <w:pPr>
              <w:spacing w:after="0"/>
              <w:rPr>
                <w:sz w:val="20"/>
                <w:szCs w:val="20"/>
                <w:color w:val="auto"/>
              </w:rPr>
            </w:pPr>
            <w:r>
              <w:rPr>
                <w:rFonts w:ascii="Arial" w:cs="Arial" w:eastAsia="Arial" w:hAnsi="Arial"/>
                <w:sz w:val="11"/>
                <w:szCs w:val="11"/>
                <w:color w:val="0000FF"/>
              </w:rPr>
              <w:t>Condensed Consolidated Balance Sheets (Unaudited)</w:t>
            </w:r>
          </w:p>
        </w:tc>
        <w:tc>
          <w:tcPr>
            <w:tcW w:w="646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0000FF"/>
                <w:w w:val="71"/>
              </w:rPr>
              <w:t>5</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 xml:space="preserve">Condensed Consolidated Statements of </w:t>
            </w:r>
            <w:r>
              <w:rPr>
                <w:rFonts w:ascii="Arial" w:cs="Arial" w:eastAsia="Arial" w:hAnsi="Arial"/>
                <w:sz w:val="11"/>
                <w:szCs w:val="11"/>
                <w:color w:val="3051F2"/>
              </w:rPr>
              <w:t>Income (Unaudited)</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rPr>
              <w:t>6</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 xml:space="preserve">Condensed Consolidated Statements of </w:t>
            </w:r>
            <w:r>
              <w:rPr>
                <w:rFonts w:ascii="Arial" w:cs="Arial" w:eastAsia="Arial" w:hAnsi="Arial"/>
                <w:sz w:val="11"/>
                <w:szCs w:val="11"/>
                <w:color w:val="3051F2"/>
              </w:rPr>
              <w:t>Comprehensive Income (Unaudited)</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rPr>
              <w:t>7</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Condensed Consolidated Statements of Changes in Equity (Unaudited)</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rPr>
              <w:t>8</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560" w:type="dxa"/>
            <w:vAlign w:val="bottom"/>
            <w:gridSpan w:val="15"/>
          </w:tcPr>
          <w:p>
            <w:pPr>
              <w:spacing w:after="0"/>
              <w:rPr>
                <w:sz w:val="20"/>
                <w:szCs w:val="20"/>
                <w:color w:val="auto"/>
              </w:rPr>
            </w:pPr>
            <w:r>
              <w:rPr>
                <w:rFonts w:ascii="Arial" w:cs="Arial" w:eastAsia="Arial" w:hAnsi="Arial"/>
                <w:sz w:val="11"/>
                <w:szCs w:val="11"/>
                <w:color w:val="0000FF"/>
              </w:rPr>
              <w:t>Condensed Consolidated Statements of Cash Flows (Unaudited)</w:t>
            </w:r>
          </w:p>
        </w:tc>
        <w:tc>
          <w:tcPr>
            <w:tcW w:w="56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0000FF"/>
                <w:w w:val="71"/>
              </w:rPr>
              <w:t>9</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360" w:type="dxa"/>
            <w:vAlign w:val="bottom"/>
            <w:gridSpan w:val="14"/>
          </w:tcPr>
          <w:p>
            <w:pPr>
              <w:spacing w:after="0"/>
              <w:rPr>
                <w:sz w:val="20"/>
                <w:szCs w:val="20"/>
                <w:color w:val="auto"/>
              </w:rPr>
            </w:pPr>
            <w:r>
              <w:rPr>
                <w:rFonts w:ascii="Arial" w:cs="Arial" w:eastAsia="Arial" w:hAnsi="Arial"/>
                <w:sz w:val="11"/>
                <w:szCs w:val="11"/>
                <w:color w:val="0000FF"/>
              </w:rPr>
              <w:t>Notes to Unaudited Condensed Consolidated Financial Statements</w:t>
            </w:r>
          </w:p>
        </w:tc>
        <w:tc>
          <w:tcPr>
            <w:tcW w:w="5820" w:type="dxa"/>
            <w:vAlign w:val="bottom"/>
            <w:gridSpan w:val="4"/>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11</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2.</w:t>
            </w:r>
          </w:p>
        </w:tc>
        <w:tc>
          <w:tcPr>
            <w:tcW w:w="800" w:type="dxa"/>
            <w:vAlign w:val="bottom"/>
            <w:gridSpan w:val="2"/>
          </w:tcPr>
          <w:p>
            <w:pPr>
              <w:spacing w:after="0"/>
              <w:rPr>
                <w:sz w:val="13"/>
                <w:szCs w:val="13"/>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Management's Discussion and Analysis of Financial Condition and Results of Operations</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19</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3.</w:t>
            </w:r>
          </w:p>
        </w:tc>
        <w:tc>
          <w:tcPr>
            <w:tcW w:w="800" w:type="dxa"/>
            <w:vAlign w:val="bottom"/>
            <w:gridSpan w:val="2"/>
          </w:tcPr>
          <w:p>
            <w:pPr>
              <w:spacing w:after="0"/>
              <w:rPr>
                <w:sz w:val="13"/>
                <w:szCs w:val="13"/>
                <w:color w:val="auto"/>
              </w:rPr>
            </w:pPr>
          </w:p>
        </w:tc>
        <w:tc>
          <w:tcPr>
            <w:tcW w:w="2960" w:type="dxa"/>
            <w:vAlign w:val="bottom"/>
            <w:gridSpan w:val="11"/>
          </w:tcPr>
          <w:p>
            <w:pPr>
              <w:spacing w:after="0"/>
              <w:rPr>
                <w:sz w:val="20"/>
                <w:szCs w:val="20"/>
                <w:color w:val="auto"/>
              </w:rPr>
            </w:pPr>
            <w:r>
              <w:rPr>
                <w:rFonts w:ascii="Arial" w:cs="Arial" w:eastAsia="Arial" w:hAnsi="Arial"/>
                <w:sz w:val="11"/>
                <w:szCs w:val="11"/>
                <w:color w:val="0000FF"/>
              </w:rPr>
              <w:t>Quantitative and Qualitative Disclosures About Market Risk</w:t>
            </w:r>
          </w:p>
        </w:tc>
        <w:tc>
          <w:tcPr>
            <w:tcW w:w="1480" w:type="dxa"/>
            <w:vAlign w:val="bottom"/>
            <w:gridSpan w:val="6"/>
          </w:tcPr>
          <w:p>
            <w:pPr>
              <w:spacing w:after="0"/>
              <w:rPr>
                <w:sz w:val="13"/>
                <w:szCs w:val="13"/>
                <w:color w:val="auto"/>
              </w:rPr>
            </w:pPr>
          </w:p>
        </w:tc>
        <w:tc>
          <w:tcPr>
            <w:tcW w:w="4740" w:type="dxa"/>
            <w:vAlign w:val="bottom"/>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27</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4.</w:t>
            </w:r>
          </w:p>
        </w:tc>
        <w:tc>
          <w:tcPr>
            <w:tcW w:w="800" w:type="dxa"/>
            <w:vAlign w:val="bottom"/>
            <w:gridSpan w:val="2"/>
          </w:tcPr>
          <w:p>
            <w:pPr>
              <w:spacing w:after="0"/>
              <w:rPr>
                <w:sz w:val="13"/>
                <w:szCs w:val="13"/>
                <w:color w:val="auto"/>
              </w:rPr>
            </w:pPr>
          </w:p>
        </w:tc>
        <w:tc>
          <w:tcPr>
            <w:tcW w:w="2960" w:type="dxa"/>
            <w:vAlign w:val="bottom"/>
            <w:gridSpan w:val="11"/>
          </w:tcPr>
          <w:p>
            <w:pPr>
              <w:spacing w:after="0"/>
              <w:rPr>
                <w:sz w:val="20"/>
                <w:szCs w:val="20"/>
                <w:color w:val="auto"/>
              </w:rPr>
            </w:pPr>
            <w:r>
              <w:rPr>
                <w:rFonts w:ascii="Arial" w:cs="Arial" w:eastAsia="Arial" w:hAnsi="Arial"/>
                <w:sz w:val="11"/>
                <w:szCs w:val="11"/>
                <w:color w:val="0000FF"/>
              </w:rPr>
              <w:t>Controls and Procedures</w:t>
            </w:r>
          </w:p>
        </w:tc>
        <w:tc>
          <w:tcPr>
            <w:tcW w:w="6220" w:type="dxa"/>
            <w:vAlign w:val="bottom"/>
            <w:gridSpan w:val="7"/>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27</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373"/>
        </w:trPr>
        <w:tc>
          <w:tcPr>
            <w:tcW w:w="680" w:type="dxa"/>
            <w:vAlign w:val="bottom"/>
          </w:tcPr>
          <w:p>
            <w:pPr>
              <w:spacing w:after="0"/>
              <w:rPr>
                <w:sz w:val="24"/>
                <w:szCs w:val="24"/>
                <w:color w:val="auto"/>
              </w:rPr>
            </w:pPr>
          </w:p>
        </w:tc>
        <w:tc>
          <w:tcPr>
            <w:tcW w:w="1660" w:type="dxa"/>
            <w:vAlign w:val="bottom"/>
            <w:gridSpan w:val="5"/>
          </w:tcPr>
          <w:p>
            <w:pPr>
              <w:spacing w:after="0"/>
              <w:rPr>
                <w:sz w:val="20"/>
                <w:szCs w:val="20"/>
                <w:color w:val="auto"/>
              </w:rPr>
            </w:pPr>
            <w:r>
              <w:rPr>
                <w:rFonts w:ascii="Arial" w:cs="Arial" w:eastAsia="Arial" w:hAnsi="Arial"/>
                <w:sz w:val="11"/>
                <w:szCs w:val="11"/>
                <w:color w:val="0000FF"/>
              </w:rPr>
              <w:t>PART II- OTHER INFORMATION</w:t>
            </w:r>
          </w:p>
        </w:tc>
        <w:tc>
          <w:tcPr>
            <w:tcW w:w="8660" w:type="dxa"/>
            <w:vAlign w:val="bottom"/>
            <w:gridSpan w:val="16"/>
          </w:tcPr>
          <w:p>
            <w:pPr>
              <w:spacing w:after="0"/>
              <w:rPr>
                <w:sz w:val="24"/>
                <w:szCs w:val="24"/>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28</w:t>
            </w:r>
          </w:p>
        </w:tc>
      </w:tr>
      <w:tr>
        <w:trPr>
          <w:trHeight w:val="20"/>
        </w:trPr>
        <w:tc>
          <w:tcPr>
            <w:tcW w:w="6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77"/>
        </w:trPr>
        <w:tc>
          <w:tcPr>
            <w:tcW w:w="6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1.</w:t>
            </w:r>
          </w:p>
        </w:tc>
        <w:tc>
          <w:tcPr>
            <w:tcW w:w="800" w:type="dxa"/>
            <w:vAlign w:val="bottom"/>
            <w:gridSpan w:val="2"/>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1"/>
                <w:szCs w:val="11"/>
                <w:color w:val="0000FF"/>
                <w:w w:val="92"/>
              </w:rPr>
              <w:t>Legal Proceedings</w:t>
            </w:r>
          </w:p>
        </w:tc>
        <w:tc>
          <w:tcPr>
            <w:tcW w:w="8300" w:type="dxa"/>
            <w:vAlign w:val="bottom"/>
            <w:gridSpan w:val="13"/>
          </w:tcPr>
          <w:p>
            <w:pPr>
              <w:spacing w:after="0"/>
              <w:rPr>
                <w:sz w:val="24"/>
                <w:szCs w:val="24"/>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28</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1"/>
                <w:szCs w:val="11"/>
                <w:color w:val="0000FF"/>
                <w:w w:val="97"/>
              </w:rPr>
              <w:t>Item 1A.</w:t>
            </w:r>
          </w:p>
        </w:tc>
        <w:tc>
          <w:tcPr>
            <w:tcW w:w="720" w:type="dxa"/>
            <w:vAlign w:val="bottom"/>
          </w:tcPr>
          <w:p>
            <w:pPr>
              <w:spacing w:after="0"/>
              <w:rPr>
                <w:sz w:val="13"/>
                <w:szCs w:val="13"/>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Risk Factors</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28</w:t>
            </w:r>
          </w:p>
        </w:tc>
      </w:tr>
      <w:tr>
        <w:trPr>
          <w:trHeight w:val="20"/>
        </w:trPr>
        <w:tc>
          <w:tcPr>
            <w:tcW w:w="6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Unregistered Sales of Equity Securities and Use of Proceeds</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30</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3.</w:t>
            </w:r>
          </w:p>
        </w:tc>
        <w:tc>
          <w:tcPr>
            <w:tcW w:w="800" w:type="dxa"/>
            <w:vAlign w:val="bottom"/>
            <w:gridSpan w:val="2"/>
          </w:tcPr>
          <w:p>
            <w:pPr>
              <w:spacing w:after="0"/>
              <w:rPr>
                <w:sz w:val="13"/>
                <w:szCs w:val="13"/>
                <w:color w:val="auto"/>
              </w:rPr>
            </w:pPr>
          </w:p>
        </w:tc>
        <w:tc>
          <w:tcPr>
            <w:tcW w:w="1600" w:type="dxa"/>
            <w:vAlign w:val="bottom"/>
            <w:gridSpan w:val="8"/>
          </w:tcPr>
          <w:p>
            <w:pPr>
              <w:spacing w:after="0"/>
              <w:rPr>
                <w:sz w:val="20"/>
                <w:szCs w:val="20"/>
                <w:color w:val="auto"/>
              </w:rPr>
            </w:pPr>
            <w:r>
              <w:rPr>
                <w:rFonts w:ascii="Arial" w:cs="Arial" w:eastAsia="Arial" w:hAnsi="Arial"/>
                <w:sz w:val="11"/>
                <w:szCs w:val="11"/>
                <w:color w:val="0000FF"/>
              </w:rPr>
              <w:t>Defaults Upon Senior Securities</w:t>
            </w:r>
          </w:p>
        </w:tc>
        <w:tc>
          <w:tcPr>
            <w:tcW w:w="1440" w:type="dxa"/>
            <w:vAlign w:val="bottom"/>
            <w:gridSpan w:val="4"/>
          </w:tcPr>
          <w:p>
            <w:pPr>
              <w:spacing w:after="0"/>
              <w:rPr>
                <w:sz w:val="13"/>
                <w:szCs w:val="13"/>
                <w:color w:val="auto"/>
              </w:rPr>
            </w:pPr>
          </w:p>
        </w:tc>
        <w:tc>
          <w:tcPr>
            <w:tcW w:w="6140" w:type="dxa"/>
            <w:vAlign w:val="bottom"/>
            <w:gridSpan w:val="6"/>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30</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7580" w:type="dxa"/>
            <w:vAlign w:val="bottom"/>
            <w:gridSpan w:val="10"/>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4.</w:t>
            </w:r>
          </w:p>
        </w:tc>
        <w:tc>
          <w:tcPr>
            <w:tcW w:w="800" w:type="dxa"/>
            <w:vAlign w:val="bottom"/>
            <w:gridSpan w:val="2"/>
          </w:tcPr>
          <w:p>
            <w:pPr>
              <w:spacing w:after="0"/>
              <w:rPr>
                <w:sz w:val="13"/>
                <w:szCs w:val="13"/>
                <w:color w:val="auto"/>
              </w:rPr>
            </w:pPr>
          </w:p>
        </w:tc>
        <w:tc>
          <w:tcPr>
            <w:tcW w:w="1220" w:type="dxa"/>
            <w:vAlign w:val="bottom"/>
            <w:gridSpan w:val="7"/>
          </w:tcPr>
          <w:p>
            <w:pPr>
              <w:spacing w:after="0"/>
              <w:rPr>
                <w:sz w:val="20"/>
                <w:szCs w:val="20"/>
                <w:color w:val="auto"/>
              </w:rPr>
            </w:pPr>
            <w:r>
              <w:rPr>
                <w:rFonts w:ascii="Arial" w:cs="Arial" w:eastAsia="Arial" w:hAnsi="Arial"/>
                <w:sz w:val="11"/>
                <w:szCs w:val="11"/>
                <w:color w:val="0000FF"/>
                <w:w w:val="99"/>
              </w:rPr>
              <w:t>Mine Safety Disclosures</w:t>
            </w:r>
          </w:p>
        </w:tc>
        <w:tc>
          <w:tcPr>
            <w:tcW w:w="380" w:type="dxa"/>
            <w:vAlign w:val="bottom"/>
          </w:tcPr>
          <w:p>
            <w:pPr>
              <w:spacing w:after="0"/>
              <w:rPr>
                <w:sz w:val="13"/>
                <w:szCs w:val="13"/>
                <w:color w:val="auto"/>
              </w:rPr>
            </w:pPr>
          </w:p>
        </w:tc>
        <w:tc>
          <w:tcPr>
            <w:tcW w:w="7580" w:type="dxa"/>
            <w:vAlign w:val="bottom"/>
            <w:gridSpan w:val="10"/>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30</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5.</w:t>
            </w:r>
          </w:p>
        </w:tc>
        <w:tc>
          <w:tcPr>
            <w:tcW w:w="800" w:type="dxa"/>
            <w:vAlign w:val="bottom"/>
            <w:gridSpan w:val="2"/>
          </w:tcPr>
          <w:p>
            <w:pPr>
              <w:spacing w:after="0"/>
              <w:rPr>
                <w:sz w:val="13"/>
                <w:szCs w:val="13"/>
                <w:color w:val="auto"/>
              </w:rPr>
            </w:pPr>
          </w:p>
        </w:tc>
        <w:tc>
          <w:tcPr>
            <w:tcW w:w="880" w:type="dxa"/>
            <w:vAlign w:val="bottom"/>
            <w:gridSpan w:val="5"/>
          </w:tcPr>
          <w:p>
            <w:pPr>
              <w:spacing w:after="0"/>
              <w:rPr>
                <w:sz w:val="20"/>
                <w:szCs w:val="20"/>
                <w:color w:val="auto"/>
              </w:rPr>
            </w:pPr>
            <w:r>
              <w:rPr>
                <w:rFonts w:ascii="Arial" w:cs="Arial" w:eastAsia="Arial" w:hAnsi="Arial"/>
                <w:sz w:val="11"/>
                <w:szCs w:val="11"/>
                <w:color w:val="0000FF"/>
                <w:w w:val="98"/>
              </w:rPr>
              <w:t>Other Information</w:t>
            </w:r>
          </w:p>
        </w:tc>
        <w:tc>
          <w:tcPr>
            <w:tcW w:w="340" w:type="dxa"/>
            <w:vAlign w:val="bottom"/>
            <w:gridSpan w:val="2"/>
          </w:tcPr>
          <w:p>
            <w:pPr>
              <w:spacing w:after="0"/>
              <w:rPr>
                <w:sz w:val="13"/>
                <w:szCs w:val="13"/>
                <w:color w:val="auto"/>
              </w:rPr>
            </w:pPr>
          </w:p>
        </w:tc>
        <w:tc>
          <w:tcPr>
            <w:tcW w:w="7960" w:type="dxa"/>
            <w:vAlign w:val="bottom"/>
            <w:gridSpan w:val="11"/>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30</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color w:val="0000FF"/>
                <w:w w:val="95"/>
              </w:rPr>
              <w:t>Item 6.</w:t>
            </w:r>
          </w:p>
        </w:tc>
        <w:tc>
          <w:tcPr>
            <w:tcW w:w="800" w:type="dxa"/>
            <w:vAlign w:val="bottom"/>
            <w:gridSpan w:val="2"/>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color w:val="0000FF"/>
                <w:w w:val="98"/>
              </w:rPr>
              <w:t>Exhibits</w:t>
            </w:r>
          </w:p>
        </w:tc>
        <w:tc>
          <w:tcPr>
            <w:tcW w:w="480" w:type="dxa"/>
            <w:vAlign w:val="bottom"/>
            <w:gridSpan w:val="4"/>
          </w:tcPr>
          <w:p>
            <w:pPr>
              <w:spacing w:after="0"/>
              <w:rPr>
                <w:sz w:val="13"/>
                <w:szCs w:val="13"/>
                <w:color w:val="auto"/>
              </w:rPr>
            </w:pPr>
          </w:p>
        </w:tc>
        <w:tc>
          <w:tcPr>
            <w:tcW w:w="8300" w:type="dxa"/>
            <w:vAlign w:val="bottom"/>
            <w:gridSpan w:val="13"/>
          </w:tcPr>
          <w:p>
            <w:pPr>
              <w:spacing w:after="0"/>
              <w:rPr>
                <w:sz w:val="13"/>
                <w:szCs w:val="13"/>
                <w:color w:val="auto"/>
              </w:rPr>
            </w:pP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31</w:t>
            </w: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40" w:type="dxa"/>
            <w:vAlign w:val="bottom"/>
            <w:gridSpan w:val="15"/>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330"/>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180" w:type="dxa"/>
            <w:vAlign w:val="bottom"/>
            <w:gridSpan w:val="18"/>
          </w:tcPr>
          <w:p>
            <w:pPr>
              <w:spacing w:after="0"/>
              <w:rPr>
                <w:sz w:val="20"/>
                <w:szCs w:val="20"/>
                <w:color w:val="auto"/>
              </w:rPr>
            </w:pPr>
            <w:r>
              <w:rPr>
                <w:rFonts w:ascii="Arial" w:cs="Arial" w:eastAsia="Arial" w:hAnsi="Arial"/>
                <w:sz w:val="11"/>
                <w:szCs w:val="11"/>
                <w:color w:val="0000FF"/>
              </w:rPr>
              <w:t>Signatures</w:t>
            </w:r>
          </w:p>
        </w:tc>
        <w:tc>
          <w:tcPr>
            <w:tcW w:w="280" w:type="dxa"/>
            <w:vAlign w:val="bottom"/>
            <w:gridSpan w:val="2"/>
          </w:tcPr>
          <w:p>
            <w:pPr>
              <w:jc w:val="right"/>
              <w:ind w:right="109"/>
              <w:spacing w:after="0"/>
              <w:rPr>
                <w:sz w:val="20"/>
                <w:szCs w:val="20"/>
                <w:color w:val="auto"/>
              </w:rPr>
            </w:pPr>
            <w:r>
              <w:rPr>
                <w:rFonts w:ascii="Arial" w:cs="Arial" w:eastAsia="Arial" w:hAnsi="Arial"/>
                <w:sz w:val="11"/>
                <w:szCs w:val="11"/>
                <w:color w:val="0000FF"/>
                <w:w w:val="81"/>
              </w:rPr>
              <w:t>31</w:t>
            </w:r>
          </w:p>
        </w:tc>
      </w:tr>
      <w:tr>
        <w:trPr>
          <w:trHeight w:val="1201"/>
        </w:trPr>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92"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FORWARD LOOKING STATEMENTS</w:t>
      </w:r>
    </w:p>
    <w:p>
      <w:pPr>
        <w:spacing w:after="0" w:line="187" w:lineRule="exact"/>
        <w:rPr>
          <w:sz w:val="20"/>
          <w:szCs w:val="20"/>
          <w:color w:val="auto"/>
        </w:rPr>
      </w:pPr>
    </w:p>
    <w:p>
      <w:pPr>
        <w:ind w:right="40" w:firstLine="509"/>
        <w:spacing w:after="0" w:line="267" w:lineRule="auto"/>
        <w:rPr>
          <w:sz w:val="20"/>
          <w:szCs w:val="20"/>
          <w:color w:val="auto"/>
        </w:rPr>
      </w:pPr>
      <w:r>
        <w:rPr>
          <w:rFonts w:ascii="Arial" w:cs="Arial" w:eastAsia="Arial" w:hAnsi="Arial"/>
          <w:sz w:val="11"/>
          <w:szCs w:val="11"/>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251" w:lineRule="exact"/>
        <w:rPr>
          <w:sz w:val="20"/>
          <w:szCs w:val="20"/>
          <w:color w:val="auto"/>
        </w:rPr>
      </w:pPr>
    </w:p>
    <w:p>
      <w:pPr>
        <w:ind w:left="520" w:right="40" w:hanging="260"/>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spacing w:after="0" w:line="115" w:lineRule="exact"/>
        <w:rPr>
          <w:rFonts w:ascii="Arial" w:cs="Arial" w:eastAsia="Arial" w:hAnsi="Arial"/>
          <w:sz w:val="11"/>
          <w:szCs w:val="11"/>
          <w:color w:val="auto"/>
        </w:rPr>
      </w:pPr>
    </w:p>
    <w:p>
      <w:pPr>
        <w:ind w:left="520" w:right="280" w:hanging="260"/>
        <w:spacing w:after="0" w:line="268"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24" w:lineRule="exact"/>
        <w:rPr>
          <w:rFonts w:ascii="Arial" w:cs="Arial" w:eastAsia="Arial" w:hAnsi="Arial"/>
          <w:sz w:val="11"/>
          <w:szCs w:val="11"/>
          <w:color w:val="auto"/>
        </w:rPr>
      </w:pPr>
    </w:p>
    <w:p>
      <w:pPr>
        <w:ind w:left="520" w:right="20" w:hanging="260"/>
        <w:spacing w:after="0" w:line="283"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04" w:lineRule="exact"/>
        <w:rPr>
          <w:rFonts w:ascii="Arial" w:cs="Arial" w:eastAsia="Arial" w:hAnsi="Arial"/>
          <w:sz w:val="11"/>
          <w:szCs w:val="11"/>
          <w:color w:val="auto"/>
        </w:rPr>
      </w:pPr>
    </w:p>
    <w:p>
      <w:pPr>
        <w:ind w:left="520" w:hanging="260"/>
        <w:spacing w:after="0"/>
        <w:tabs>
          <w:tab w:leader="none" w:pos="520" w:val="left"/>
        </w:tabs>
        <w:numPr>
          <w:ilvl w:val="0"/>
          <w:numId w:val="3"/>
        </w:numPr>
        <w:rPr>
          <w:rFonts w:ascii="Arial" w:cs="Arial" w:eastAsia="Arial" w:hAnsi="Arial"/>
          <w:sz w:val="11"/>
          <w:szCs w:val="11"/>
          <w:color w:val="auto"/>
        </w:rPr>
      </w:pPr>
      <w:r>
        <w:rPr>
          <w:rFonts w:ascii="Arial" w:cs="Arial" w:eastAsia="Arial" w:hAnsi="Arial"/>
          <w:sz w:val="11"/>
          <w:szCs w:val="11"/>
          <w:color w:val="auto"/>
        </w:rPr>
        <w:t>Other risks and factors listed under “Item 1A. Risk Factors” in our most recent Annual Report on Form 10-K for the year ended October 31, 2024 and elsewhere in this report.</w:t>
      </w:r>
    </w:p>
    <w:p>
      <w:pPr>
        <w:spacing w:after="0" w:line="181"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2024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49" w:lineRule="exact"/>
        <w:rPr>
          <w:sz w:val="20"/>
          <w:szCs w:val="20"/>
          <w:color w:val="auto"/>
        </w:rPr>
      </w:pPr>
    </w:p>
    <w:p>
      <w:pPr>
        <w:jc w:val="both"/>
        <w:ind w:right="60" w:firstLine="509"/>
        <w:spacing w:after="0" w:line="282" w:lineRule="auto"/>
        <w:rPr>
          <w:sz w:val="20"/>
          <w:szCs w:val="20"/>
          <w:color w:val="auto"/>
        </w:rPr>
      </w:pPr>
      <w:r>
        <w:rPr>
          <w:rFonts w:ascii="Arial" w:cs="Arial" w:eastAsia="Arial" w:hAnsi="Arial"/>
          <w:sz w:val="11"/>
          <w:szCs w:val="1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7" w:lineRule="exact"/>
        <w:rPr>
          <w:sz w:val="20"/>
          <w:szCs w:val="20"/>
          <w:color w:val="auto"/>
        </w:rPr>
      </w:pPr>
    </w:p>
    <w:p>
      <w:pPr>
        <w:ind w:right="20" w:firstLine="509"/>
        <w:spacing w:after="0" w:line="303" w:lineRule="auto"/>
        <w:rPr>
          <w:sz w:val="20"/>
          <w:szCs w:val="20"/>
          <w:color w:val="auto"/>
        </w:rPr>
      </w:pPr>
      <w:r>
        <w:rPr>
          <w:rFonts w:ascii="Arial" w:cs="Arial" w:eastAsia="Arial" w:hAnsi="Arial"/>
          <w:sz w:val="11"/>
          <w:szCs w:val="11"/>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26"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26" w:lineRule="exact"/>
        <w:rPr>
          <w:sz w:val="20"/>
          <w:szCs w:val="20"/>
          <w:color w:val="auto"/>
        </w:rPr>
      </w:pPr>
    </w:p>
    <w:p>
      <w:pPr>
        <w:ind w:right="300" w:firstLine="509"/>
        <w:spacing w:after="0" w:line="283" w:lineRule="auto"/>
        <w:rPr>
          <w:sz w:val="20"/>
          <w:szCs w:val="20"/>
          <w:color w:val="auto"/>
        </w:rPr>
      </w:pPr>
      <w:r>
        <w:rPr>
          <w:rFonts w:ascii="Arial" w:cs="Arial" w:eastAsia="Arial" w:hAnsi="Arial"/>
          <w:sz w:val="11"/>
          <w:szCs w:val="11"/>
          <w:color w:val="auto"/>
        </w:rPr>
        <w:t>This quarterly report may also include trademarks, tradenames and service marks that are the property of the Company and also certain trademarks, tradenames and service marks that are the property of other organizations. Solely for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 w:name="page4"/>
    <w:bookmarkEnd w:id="3"/>
    <w:p>
      <w:pPr>
        <w:spacing w:after="0" w:line="303" w:lineRule="auto"/>
        <w:rPr>
          <w:sz w:val="20"/>
          <w:szCs w:val="20"/>
          <w:color w:val="auto"/>
        </w:rPr>
      </w:pPr>
      <w:r>
        <w:rPr>
          <w:rFonts w:ascii="Arial" w:cs="Arial" w:eastAsia="Arial" w:hAnsi="Arial"/>
          <w:sz w:val="11"/>
          <w:szCs w:val="11"/>
          <w:color w:val="auto"/>
        </w:rPr>
        <w:t>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26" w:lineRule="exact"/>
        <w:rPr>
          <w:sz w:val="20"/>
          <w:szCs w:val="20"/>
          <w:color w:val="auto"/>
        </w:rPr>
      </w:pPr>
    </w:p>
    <w:p>
      <w:pPr>
        <w:ind w:right="60" w:firstLine="509"/>
        <w:spacing w:after="0" w:line="272" w:lineRule="auto"/>
        <w:rPr>
          <w:sz w:val="20"/>
          <w:szCs w:val="20"/>
          <w:color w:val="auto"/>
        </w:rPr>
      </w:pPr>
      <w:r>
        <w:rPr>
          <w:rFonts w:ascii="Arial" w:cs="Arial" w:eastAsia="Arial" w:hAnsi="Arial"/>
          <w:sz w:val="11"/>
          <w:szCs w:val="11"/>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812"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6"/>
                <w:szCs w:val="16"/>
                <w:b w:val="1"/>
                <w:bCs w:val="1"/>
                <w:color w:val="auto"/>
                <w:w w:val="96"/>
              </w:rPr>
              <w:t>PART I- FINANCIAL INFORMATION</w:t>
            </w: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61"/>
        </w:trPr>
        <w:tc>
          <w:tcPr>
            <w:tcW w:w="6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Financial Statements</w:t>
            </w:r>
          </w:p>
        </w:tc>
        <w:tc>
          <w:tcPr>
            <w:tcW w:w="5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9"/>
        </w:trPr>
        <w:tc>
          <w:tcPr>
            <w:tcW w:w="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060" w:type="dxa"/>
            <w:vAlign w:val="bottom"/>
          </w:tcPr>
          <w:p>
            <w:pPr>
              <w:jc w:val="center"/>
              <w:spacing w:after="0"/>
              <w:rPr>
                <w:sz w:val="20"/>
                <w:szCs w:val="20"/>
                <w:color w:val="auto"/>
              </w:rPr>
            </w:pPr>
            <w:r>
              <w:rPr>
                <w:rFonts w:ascii="Arial" w:cs="Arial" w:eastAsia="Arial" w:hAnsi="Arial"/>
                <w:sz w:val="14"/>
                <w:szCs w:val="14"/>
                <w:b w:val="1"/>
                <w:bCs w:val="1"/>
                <w:color w:val="auto"/>
              </w:rPr>
              <w:t>MISSION PRODUCE, INC.</w:t>
            </w: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2"/>
        </w:trPr>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4"/>
                <w:szCs w:val="14"/>
                <w:b w:val="1"/>
                <w:bCs w:val="1"/>
                <w:color w:val="auto"/>
              </w:rPr>
              <w:t>CONDENSED CONSOLIDATED BALANCE SHEETS (UNAUDITED)</w:t>
            </w: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4"/>
        </w:trPr>
        <w:tc>
          <w:tcPr>
            <w:tcW w:w="31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(In millions, except for shares)</w:t>
            </w:r>
          </w:p>
        </w:tc>
        <w:tc>
          <w:tcPr>
            <w:tcW w:w="5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January 31, 2025</w:t>
            </w: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October 31, 2024</w:t>
            </w:r>
          </w:p>
        </w:tc>
      </w:tr>
      <w:tr>
        <w:trPr>
          <w:trHeight w:val="158"/>
        </w:trPr>
        <w:tc>
          <w:tcPr>
            <w:tcW w:w="660" w:type="dxa"/>
            <w:vAlign w:val="bottom"/>
            <w:shd w:val="clear" w:color="auto" w:fill="DBDBDB"/>
          </w:tcPr>
          <w:p>
            <w:pPr>
              <w:ind w:left="20"/>
              <w:spacing w:after="0"/>
              <w:rPr>
                <w:sz w:val="20"/>
                <w:szCs w:val="20"/>
                <w:color w:val="auto"/>
              </w:rPr>
            </w:pPr>
            <w:r>
              <w:rPr>
                <w:rFonts w:ascii="Arial" w:cs="Arial" w:eastAsia="Arial" w:hAnsi="Arial"/>
                <w:sz w:val="10"/>
                <w:szCs w:val="10"/>
                <w:b w:val="1"/>
                <w:bCs w:val="1"/>
                <w:color w:val="auto"/>
              </w:rPr>
              <w:t>Assets</w:t>
            </w:r>
          </w:p>
        </w:tc>
        <w:tc>
          <w:tcPr>
            <w:tcW w:w="2480" w:type="dxa"/>
            <w:vAlign w:val="bottom"/>
            <w:shd w:val="clear" w:color="auto" w:fill="DBDBDB"/>
          </w:tcPr>
          <w:p>
            <w:pPr>
              <w:spacing w:after="0"/>
              <w:rPr>
                <w:sz w:val="13"/>
                <w:szCs w:val="13"/>
                <w:color w:val="auto"/>
              </w:rPr>
            </w:pPr>
          </w:p>
        </w:tc>
        <w:tc>
          <w:tcPr>
            <w:tcW w:w="50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Current Assets:</w:t>
            </w:r>
          </w:p>
        </w:tc>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Cash and cash equivalents</w:t>
            </w:r>
          </w:p>
        </w:tc>
        <w:tc>
          <w:tcPr>
            <w:tcW w:w="50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40.1</w:t>
            </w:r>
          </w:p>
        </w:tc>
        <w:tc>
          <w:tcPr>
            <w:tcW w:w="58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58.0</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Restricted cash</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2.1</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1.3</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Accounts receivable</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spacing w:after="0"/>
              <w:rPr>
                <w:sz w:val="12"/>
                <w:szCs w:val="12"/>
                <w:color w:val="auto"/>
              </w:rPr>
            </w:pPr>
          </w:p>
        </w:tc>
      </w:tr>
      <w:tr>
        <w:trPr>
          <w:trHeight w:val="138"/>
        </w:trPr>
        <w:tc>
          <w:tcPr>
            <w:tcW w:w="3140" w:type="dxa"/>
            <w:vAlign w:val="bottom"/>
            <w:gridSpan w:val="2"/>
          </w:tcPr>
          <w:p>
            <w:pPr>
              <w:ind w:left="360"/>
              <w:spacing w:after="0"/>
              <w:rPr>
                <w:sz w:val="20"/>
                <w:szCs w:val="20"/>
                <w:color w:val="auto"/>
              </w:rPr>
            </w:pPr>
            <w:r>
              <w:rPr>
                <w:rFonts w:ascii="Arial" w:cs="Arial" w:eastAsia="Arial" w:hAnsi="Arial"/>
                <w:sz w:val="10"/>
                <w:szCs w:val="10"/>
                <w:color w:val="auto"/>
              </w:rPr>
              <w:t>Trade, net of allowances of $0.7 and $0.8, respectively</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100.1</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95.4</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360"/>
              <w:spacing w:after="0"/>
              <w:rPr>
                <w:sz w:val="20"/>
                <w:szCs w:val="20"/>
                <w:color w:val="auto"/>
              </w:rPr>
            </w:pPr>
            <w:r>
              <w:rPr>
                <w:rFonts w:ascii="Arial" w:cs="Arial" w:eastAsia="Arial" w:hAnsi="Arial"/>
                <w:sz w:val="10"/>
                <w:szCs w:val="10"/>
                <w:color w:val="auto"/>
              </w:rPr>
              <w:t>Grower and fruit advances</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3.7</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1.7</w:t>
            </w:r>
          </w:p>
        </w:tc>
      </w:tr>
      <w:tr>
        <w:trPr>
          <w:trHeight w:val="138"/>
        </w:trPr>
        <w:tc>
          <w:tcPr>
            <w:tcW w:w="660" w:type="dxa"/>
            <w:vAlign w:val="bottom"/>
          </w:tcPr>
          <w:p>
            <w:pPr>
              <w:ind w:left="360"/>
              <w:spacing w:after="0"/>
              <w:rPr>
                <w:sz w:val="20"/>
                <w:szCs w:val="20"/>
                <w:color w:val="auto"/>
              </w:rPr>
            </w:pPr>
            <w:r>
              <w:rPr>
                <w:rFonts w:ascii="Arial" w:cs="Arial" w:eastAsia="Arial" w:hAnsi="Arial"/>
                <w:sz w:val="10"/>
                <w:szCs w:val="10"/>
                <w:color w:val="auto"/>
              </w:rPr>
              <w:t>Other</w:t>
            </w:r>
          </w:p>
        </w:tc>
        <w:tc>
          <w:tcPr>
            <w:tcW w:w="2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16.5</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15.3</w:t>
            </w:r>
          </w:p>
        </w:tc>
      </w:tr>
      <w:tr>
        <w:trPr>
          <w:trHeight w:val="21"/>
        </w:trPr>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0"/>
                <w:szCs w:val="10"/>
                <w:color w:val="auto"/>
              </w:rPr>
              <w:t>Inventory</w:t>
            </w:r>
          </w:p>
        </w:tc>
        <w:tc>
          <w:tcPr>
            <w:tcW w:w="2480" w:type="dxa"/>
            <w:vAlign w:val="bottom"/>
            <w:tcBorders>
              <w:bottom w:val="single" w:sz="8" w:color="DBDBDB"/>
            </w:tcBorders>
            <w:shd w:val="clear" w:color="auto" w:fill="DBDBDB"/>
          </w:tcPr>
          <w:p>
            <w:pPr>
              <w:spacing w:after="0"/>
              <w:rPr>
                <w:sz w:val="12"/>
                <w:szCs w:val="12"/>
                <w:color w:val="auto"/>
              </w:rPr>
            </w:pP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122.7</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91.2</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Prepaid expenses and other current assets</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9.5</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9.4</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4"/>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Income taxes receivable</w:t>
            </w:r>
          </w:p>
        </w:tc>
        <w:tc>
          <w:tcPr>
            <w:tcW w:w="5060" w:type="dxa"/>
            <w:vAlign w:val="bottom"/>
            <w:tcBorders>
              <w:bottom w:val="single" w:sz="8" w:color="DBDBDB"/>
            </w:tcBorders>
            <w:shd w:val="clear" w:color="auto" w:fill="DBDBDB"/>
          </w:tcPr>
          <w:p>
            <w:pPr>
              <w:spacing w:after="0"/>
              <w:rPr>
                <w:sz w:val="13"/>
                <w:szCs w:val="13"/>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2.5</w:t>
            </w:r>
          </w:p>
        </w:tc>
        <w:tc>
          <w:tcPr>
            <w:tcW w:w="580" w:type="dxa"/>
            <w:vAlign w:val="bottom"/>
            <w:tcBorders>
              <w:bottom w:val="single" w:sz="8" w:color="DBDBDB"/>
            </w:tcBorders>
            <w:shd w:val="clear" w:color="auto" w:fill="DBDBDB"/>
          </w:tcPr>
          <w:p>
            <w:pPr>
              <w:spacing w:after="0"/>
              <w:rPr>
                <w:sz w:val="13"/>
                <w:szCs w:val="13"/>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6.7</w:t>
            </w:r>
          </w:p>
        </w:tc>
      </w:tr>
      <w:tr>
        <w:trPr>
          <w:trHeight w:val="129"/>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current assets</w:t>
            </w:r>
          </w:p>
        </w:tc>
        <w:tc>
          <w:tcPr>
            <w:tcW w:w="50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rPr>
              <w:t>297.2</w:t>
            </w:r>
          </w:p>
        </w:tc>
        <w:tc>
          <w:tcPr>
            <w:tcW w:w="5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279.0</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Property, plant and equipment, net</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528.4</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523.4</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Operating lease right-of-use assets</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66.7</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67.8</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Equity method investees</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33.5</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33.0</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Deferred income tax assets, net</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9.4</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9.7</w:t>
            </w:r>
          </w:p>
        </w:tc>
      </w:tr>
      <w:tr>
        <w:trPr>
          <w:trHeight w:val="21"/>
        </w:trPr>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Goodwill</w:t>
            </w:r>
          </w:p>
        </w:tc>
        <w:tc>
          <w:tcPr>
            <w:tcW w:w="2480" w:type="dxa"/>
            <w:vAlign w:val="bottom"/>
            <w:tcBorders>
              <w:bottom w:val="single" w:sz="8" w:color="DBDBDB"/>
            </w:tcBorders>
            <w:shd w:val="clear" w:color="auto" w:fill="DBDBDB"/>
          </w:tcPr>
          <w:p>
            <w:pPr>
              <w:spacing w:after="0"/>
              <w:rPr>
                <w:sz w:val="12"/>
                <w:szCs w:val="12"/>
                <w:color w:val="auto"/>
              </w:rPr>
            </w:pP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39.4</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39.4</w:t>
            </w: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Other assets</w:t>
            </w:r>
          </w:p>
        </w:tc>
        <w:tc>
          <w:tcPr>
            <w:tcW w:w="2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23.2</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19.2</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5"/>
        </w:trPr>
        <w:tc>
          <w:tcPr>
            <w:tcW w:w="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assets</w:t>
            </w:r>
          </w:p>
        </w:tc>
        <w:tc>
          <w:tcPr>
            <w:tcW w:w="2480" w:type="dxa"/>
            <w:vAlign w:val="bottom"/>
            <w:tcBorders>
              <w:bottom w:val="single" w:sz="8" w:color="DBDBDB"/>
            </w:tcBorders>
            <w:shd w:val="clear" w:color="auto" w:fill="DBDBDB"/>
          </w:tcPr>
          <w:p>
            <w:pPr>
              <w:spacing w:after="0"/>
              <w:rPr>
                <w:sz w:val="13"/>
                <w:szCs w:val="13"/>
                <w:color w:val="auto"/>
              </w:rPr>
            </w:pPr>
          </w:p>
        </w:tc>
        <w:tc>
          <w:tcPr>
            <w:tcW w:w="50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997.8</w:t>
            </w:r>
          </w:p>
        </w:tc>
        <w:tc>
          <w:tcPr>
            <w:tcW w:w="58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971.5</w:t>
            </w:r>
          </w:p>
        </w:tc>
      </w:tr>
      <w:tr>
        <w:trPr>
          <w:trHeight w:val="65"/>
        </w:trPr>
        <w:tc>
          <w:tcPr>
            <w:tcW w:w="660" w:type="dxa"/>
            <w:vAlign w:val="bottom"/>
            <w:tcBorders>
              <w:top w:val="single" w:sz="8" w:color="auto"/>
            </w:tcBorders>
          </w:tcPr>
          <w:p>
            <w:pPr>
              <w:spacing w:after="0"/>
              <w:rPr>
                <w:sz w:val="5"/>
                <w:szCs w:val="5"/>
                <w:color w:val="auto"/>
              </w:rPr>
            </w:pPr>
          </w:p>
        </w:tc>
        <w:tc>
          <w:tcPr>
            <w:tcW w:w="2480" w:type="dxa"/>
            <w:vAlign w:val="bottom"/>
            <w:tcBorders>
              <w:top w:val="single" w:sz="8" w:color="auto"/>
            </w:tcBorders>
          </w:tcPr>
          <w:p>
            <w:pPr>
              <w:spacing w:after="0"/>
              <w:rPr>
                <w:sz w:val="5"/>
                <w:szCs w:val="5"/>
                <w:color w:val="auto"/>
              </w:rPr>
            </w:pPr>
          </w:p>
        </w:tc>
        <w:tc>
          <w:tcPr>
            <w:tcW w:w="506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r>
      <w:tr>
        <w:trPr>
          <w:trHeight w:val="159"/>
        </w:trPr>
        <w:tc>
          <w:tcPr>
            <w:tcW w:w="3140" w:type="dxa"/>
            <w:vAlign w:val="bottom"/>
            <w:gridSpan w:val="2"/>
            <w:shd w:val="clear" w:color="auto" w:fill="DBDBDB"/>
          </w:tcPr>
          <w:p>
            <w:pPr>
              <w:ind w:left="20"/>
              <w:spacing w:after="0"/>
              <w:rPr>
                <w:sz w:val="20"/>
                <w:szCs w:val="20"/>
                <w:color w:val="auto"/>
              </w:rPr>
            </w:pPr>
            <w:r>
              <w:rPr>
                <w:rFonts w:ascii="Arial" w:cs="Arial" w:eastAsia="Arial" w:hAnsi="Arial"/>
                <w:sz w:val="10"/>
                <w:szCs w:val="10"/>
                <w:b w:val="1"/>
                <w:bCs w:val="1"/>
                <w:color w:val="auto"/>
              </w:rPr>
              <w:t>Liabilities and Equity</w:t>
            </w:r>
          </w:p>
        </w:tc>
        <w:tc>
          <w:tcPr>
            <w:tcW w:w="506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Liabilities</w:t>
            </w:r>
          </w:p>
        </w:tc>
        <w:tc>
          <w:tcPr>
            <w:tcW w:w="2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Accounts payable</w:t>
            </w:r>
          </w:p>
        </w:tc>
        <w:tc>
          <w:tcPr>
            <w:tcW w:w="50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47.6</w:t>
            </w:r>
          </w:p>
        </w:tc>
        <w:tc>
          <w:tcPr>
            <w:tcW w:w="58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35.3</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Accrued expenses</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46.3</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39.9</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Income taxes payable</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3.0</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7.7</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Grower payables</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60.6</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50.3</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Short-term borrowings</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3.0</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Notes payable</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Loans from noncontrolling interest holders—current portion</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0.6</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0.1</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Long-term debt—current portion</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3.0</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3.0</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Operating leases—current portion</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7.2</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6.4</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Finance leases—current portion</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1.4</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2.9</w:t>
            </w:r>
          </w:p>
        </w:tc>
      </w:tr>
      <w:tr>
        <w:trPr>
          <w:trHeight w:val="21"/>
        </w:trPr>
        <w:tc>
          <w:tcPr>
            <w:tcW w:w="3140" w:type="dxa"/>
            <w:vAlign w:val="bottom"/>
            <w:tcBorders>
              <w:bottom w:val="single" w:sz="8" w:color="auto"/>
            </w:tcBorders>
            <w:gridSpan w:val="2"/>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0"/>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Total current liabilities</w:t>
            </w:r>
          </w:p>
        </w:tc>
        <w:tc>
          <w:tcPr>
            <w:tcW w:w="5060" w:type="dxa"/>
            <w:vAlign w:val="bottom"/>
            <w:tcBorders>
              <w:bottom w:val="single" w:sz="8" w:color="DBDBDB"/>
            </w:tcBorders>
            <w:shd w:val="clear" w:color="auto" w:fill="DBDBDB"/>
          </w:tcPr>
          <w:p>
            <w:pPr>
              <w:spacing w:after="0"/>
              <w:rPr>
                <w:sz w:val="11"/>
                <w:szCs w:val="11"/>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169.7</w:t>
            </w:r>
          </w:p>
        </w:tc>
        <w:tc>
          <w:tcPr>
            <w:tcW w:w="580" w:type="dxa"/>
            <w:vAlign w:val="bottom"/>
            <w:tcBorders>
              <w:bottom w:val="single" w:sz="8" w:color="DBDBDB"/>
            </w:tcBorders>
            <w:shd w:val="clear" w:color="auto" w:fill="DBDBDB"/>
          </w:tcPr>
          <w:p>
            <w:pPr>
              <w:spacing w:after="0"/>
              <w:rPr>
                <w:sz w:val="11"/>
                <w:szCs w:val="1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149.1</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Long-term debt, net of current portion</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114.9</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110.7</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Loans from noncontrolling interest holders, net of current portion</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0.9</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1.8</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Operating leases, net of current portion</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66.4</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67.4</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Finance leases, net of current portion</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21.6</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21.5</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Income taxes payable</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1.3</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1.3</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Deferred income tax liabilities, net</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16.5</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16.6</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Other long-term liabilities</w:t>
            </w:r>
          </w:p>
        </w:tc>
        <w:tc>
          <w:tcPr>
            <w:tcW w:w="5060" w:type="dxa"/>
            <w:vAlign w:val="bottom"/>
          </w:tcPr>
          <w:p>
            <w:pPr>
              <w:spacing w:after="0"/>
              <w:rPr>
                <w:sz w:val="12"/>
                <w:szCs w:val="12"/>
                <w:color w:val="auto"/>
              </w:rPr>
            </w:pP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23.6</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26.0</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0"/>
        </w:trPr>
        <w:tc>
          <w:tcPr>
            <w:tcW w:w="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w w:val="98"/>
              </w:rPr>
              <w:t>Total liabilities</w:t>
            </w:r>
          </w:p>
        </w:tc>
        <w:tc>
          <w:tcPr>
            <w:tcW w:w="2480" w:type="dxa"/>
            <w:vAlign w:val="bottom"/>
            <w:tcBorders>
              <w:bottom w:val="single" w:sz="8" w:color="DBDBDB"/>
            </w:tcBorders>
            <w:shd w:val="clear" w:color="auto" w:fill="DBDBDB"/>
          </w:tcPr>
          <w:p>
            <w:pPr>
              <w:spacing w:after="0"/>
              <w:rPr>
                <w:sz w:val="11"/>
                <w:szCs w:val="11"/>
                <w:color w:val="auto"/>
              </w:rPr>
            </w:pPr>
          </w:p>
        </w:tc>
        <w:tc>
          <w:tcPr>
            <w:tcW w:w="5060" w:type="dxa"/>
            <w:vAlign w:val="bottom"/>
            <w:tcBorders>
              <w:bottom w:val="single" w:sz="8" w:color="DBDBDB"/>
            </w:tcBorders>
            <w:shd w:val="clear" w:color="auto" w:fill="DBDBDB"/>
          </w:tcPr>
          <w:p>
            <w:pPr>
              <w:spacing w:after="0"/>
              <w:rPr>
                <w:sz w:val="11"/>
                <w:szCs w:val="11"/>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414.9</w:t>
            </w:r>
          </w:p>
        </w:tc>
        <w:tc>
          <w:tcPr>
            <w:tcW w:w="580" w:type="dxa"/>
            <w:vAlign w:val="bottom"/>
            <w:tcBorders>
              <w:bottom w:val="single" w:sz="8" w:color="DBDBDB"/>
            </w:tcBorders>
            <w:shd w:val="clear" w:color="auto" w:fill="DBDBDB"/>
          </w:tcPr>
          <w:p>
            <w:pPr>
              <w:spacing w:after="0"/>
              <w:rPr>
                <w:sz w:val="11"/>
                <w:szCs w:val="1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394.4</w:t>
            </w:r>
          </w:p>
        </w:tc>
      </w:tr>
      <w:tr>
        <w:trPr>
          <w:trHeight w:val="138"/>
        </w:trPr>
        <w:tc>
          <w:tcPr>
            <w:tcW w:w="3140" w:type="dxa"/>
            <w:vAlign w:val="bottom"/>
            <w:gridSpan w:val="2"/>
          </w:tcPr>
          <w:p>
            <w:pPr>
              <w:ind w:left="20"/>
              <w:spacing w:after="0"/>
              <w:rPr>
                <w:sz w:val="20"/>
                <w:szCs w:val="20"/>
                <w:color w:val="auto"/>
              </w:rPr>
            </w:pPr>
            <w:r>
              <w:rPr>
                <w:rFonts w:ascii="Arial" w:cs="Arial" w:eastAsia="Arial" w:hAnsi="Arial"/>
                <w:sz w:val="10"/>
                <w:szCs w:val="10"/>
                <w:color w:val="auto"/>
              </w:rPr>
              <w:t>Commitments and contingencies (Note 7)</w:t>
            </w:r>
          </w:p>
        </w:tc>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Shareholders’ Equity</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spacing w:after="0"/>
              <w:rPr>
                <w:sz w:val="12"/>
                <w:szCs w:val="12"/>
                <w:color w:val="auto"/>
              </w:rPr>
            </w:pPr>
          </w:p>
        </w:tc>
      </w:tr>
      <w:tr>
        <w:trPr>
          <w:trHeight w:val="125"/>
        </w:trPr>
        <w:tc>
          <w:tcPr>
            <w:tcW w:w="8200" w:type="dxa"/>
            <w:vAlign w:val="bottom"/>
            <w:gridSpan w:val="3"/>
          </w:tcPr>
          <w:p>
            <w:pPr>
              <w:ind w:left="180"/>
              <w:spacing w:after="0"/>
              <w:rPr>
                <w:sz w:val="20"/>
                <w:szCs w:val="20"/>
                <w:color w:val="auto"/>
              </w:rPr>
            </w:pPr>
            <w:r>
              <w:rPr>
                <w:rFonts w:ascii="Arial" w:cs="Arial" w:eastAsia="Arial" w:hAnsi="Arial"/>
                <w:sz w:val="10"/>
                <w:szCs w:val="10"/>
                <w:color w:val="auto"/>
              </w:rPr>
              <w:t>Common stock ($0.001 par value, 1,000,000,000 shares authorized; 71,065,552 and 70,914,767 shares issued and outstanding as of January 31, 2025 and October 31,</w:t>
            </w:r>
          </w:p>
        </w:tc>
        <w:tc>
          <w:tcPr>
            <w:tcW w:w="1300" w:type="dxa"/>
            <w:vAlign w:val="bottom"/>
          </w:tcPr>
          <w:p>
            <w:pPr>
              <w:jc w:val="right"/>
              <w:ind w:right="131"/>
              <w:spacing w:after="0"/>
              <w:rPr>
                <w:sz w:val="20"/>
                <w:szCs w:val="20"/>
                <w:color w:val="auto"/>
              </w:rPr>
            </w:pPr>
            <w:r>
              <w:rPr>
                <w:rFonts w:ascii="Arial" w:cs="Arial" w:eastAsia="Arial" w:hAnsi="Arial"/>
                <w:sz w:val="10"/>
                <w:szCs w:val="10"/>
                <w:color w:val="auto"/>
              </w:rPr>
              <w:t>0.1</w:t>
            </w:r>
          </w:p>
        </w:tc>
        <w:tc>
          <w:tcPr>
            <w:tcW w:w="5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0.1</w:t>
            </w:r>
          </w:p>
        </w:tc>
      </w:tr>
      <w:tr>
        <w:trPr>
          <w:trHeight w:val="130"/>
        </w:trPr>
        <w:tc>
          <w:tcPr>
            <w:tcW w:w="3140" w:type="dxa"/>
            <w:vAlign w:val="bottom"/>
            <w:gridSpan w:val="2"/>
          </w:tcPr>
          <w:p>
            <w:pPr>
              <w:ind w:left="320"/>
              <w:spacing w:after="0"/>
              <w:rPr>
                <w:sz w:val="20"/>
                <w:szCs w:val="20"/>
                <w:color w:val="auto"/>
              </w:rPr>
            </w:pPr>
            <w:r>
              <w:rPr>
                <w:rFonts w:ascii="Arial" w:cs="Arial" w:eastAsia="Arial" w:hAnsi="Arial"/>
                <w:sz w:val="10"/>
                <w:szCs w:val="10"/>
                <w:color w:val="auto"/>
              </w:rPr>
              <w:t>2024, respectively)</w:t>
            </w:r>
          </w:p>
        </w:tc>
        <w:tc>
          <w:tcPr>
            <w:tcW w:w="5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9"/>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Additional paid-in capital</w:t>
            </w:r>
          </w:p>
        </w:tc>
        <w:tc>
          <w:tcPr>
            <w:tcW w:w="506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240.7</w:t>
            </w:r>
          </w:p>
        </w:tc>
        <w:tc>
          <w:tcPr>
            <w:tcW w:w="580" w:type="dxa"/>
            <w:vAlign w:val="bottom"/>
            <w:tcBorders>
              <w:bottom w:val="single" w:sz="8" w:color="DBDBDB"/>
            </w:tcBorders>
            <w:shd w:val="clear" w:color="auto" w:fill="DBDBDB"/>
          </w:tcPr>
          <w:p>
            <w:pPr>
              <w:spacing w:after="0"/>
              <w:rPr>
                <w:sz w:val="12"/>
                <w:szCs w:val="12"/>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239.7</w:t>
            </w:r>
          </w:p>
        </w:tc>
      </w:tr>
      <w:tr>
        <w:trPr>
          <w:trHeight w:val="138"/>
        </w:trPr>
        <w:tc>
          <w:tcPr>
            <w:tcW w:w="3140" w:type="dxa"/>
            <w:vAlign w:val="bottom"/>
            <w:gridSpan w:val="2"/>
          </w:tcPr>
          <w:p>
            <w:pPr>
              <w:ind w:left="180"/>
              <w:spacing w:after="0"/>
              <w:rPr>
                <w:sz w:val="20"/>
                <w:szCs w:val="20"/>
                <w:color w:val="auto"/>
              </w:rPr>
            </w:pPr>
            <w:r>
              <w:rPr>
                <w:rFonts w:ascii="Arial" w:cs="Arial" w:eastAsia="Arial" w:hAnsi="Arial"/>
                <w:sz w:val="10"/>
                <w:szCs w:val="10"/>
                <w:color w:val="auto"/>
              </w:rPr>
              <w:t>Accumulated other comprehensive loss</w:t>
            </w:r>
          </w:p>
        </w:tc>
        <w:tc>
          <w:tcPr>
            <w:tcW w:w="5060" w:type="dxa"/>
            <w:vAlign w:val="bottom"/>
          </w:tcPr>
          <w:p>
            <w:pPr>
              <w:spacing w:after="0"/>
              <w:rPr>
                <w:sz w:val="12"/>
                <w:szCs w:val="12"/>
                <w:color w:val="auto"/>
              </w:rPr>
            </w:pPr>
          </w:p>
        </w:tc>
        <w:tc>
          <w:tcPr>
            <w:tcW w:w="1300" w:type="dxa"/>
            <w:vAlign w:val="bottom"/>
          </w:tcPr>
          <w:p>
            <w:pPr>
              <w:jc w:val="right"/>
              <w:ind w:right="91"/>
              <w:spacing w:after="0"/>
              <w:rPr>
                <w:sz w:val="20"/>
                <w:szCs w:val="20"/>
                <w:color w:val="auto"/>
              </w:rPr>
            </w:pPr>
            <w:r>
              <w:rPr>
                <w:rFonts w:ascii="Arial" w:cs="Arial" w:eastAsia="Arial" w:hAnsi="Arial"/>
                <w:sz w:val="10"/>
                <w:szCs w:val="10"/>
                <w:color w:val="auto"/>
              </w:rPr>
              <w:t>(1.3)</w:t>
            </w:r>
          </w:p>
        </w:tc>
        <w:tc>
          <w:tcPr>
            <w:tcW w:w="5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4"/>
        </w:trPr>
        <w:tc>
          <w:tcPr>
            <w:tcW w:w="31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0"/>
                <w:szCs w:val="10"/>
                <w:color w:val="auto"/>
              </w:rPr>
              <w:t>Retained earnings</w:t>
            </w:r>
          </w:p>
        </w:tc>
        <w:tc>
          <w:tcPr>
            <w:tcW w:w="5060" w:type="dxa"/>
            <w:vAlign w:val="bottom"/>
            <w:tcBorders>
              <w:bottom w:val="single" w:sz="8" w:color="DBDBDB"/>
            </w:tcBorders>
            <w:shd w:val="clear" w:color="auto" w:fill="DBDBDB"/>
          </w:tcPr>
          <w:p>
            <w:pPr>
              <w:spacing w:after="0"/>
              <w:rPr>
                <w:sz w:val="13"/>
                <w:szCs w:val="13"/>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311.3</w:t>
            </w:r>
          </w:p>
        </w:tc>
        <w:tc>
          <w:tcPr>
            <w:tcW w:w="580" w:type="dxa"/>
            <w:vAlign w:val="bottom"/>
            <w:tcBorders>
              <w:bottom w:val="single" w:sz="8" w:color="DBDBDB"/>
            </w:tcBorders>
            <w:shd w:val="clear" w:color="auto" w:fill="DBDBDB"/>
          </w:tcPr>
          <w:p>
            <w:pPr>
              <w:spacing w:after="0"/>
              <w:rPr>
                <w:sz w:val="13"/>
                <w:szCs w:val="13"/>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307.7</w:t>
            </w:r>
          </w:p>
        </w:tc>
      </w:tr>
      <w:tr>
        <w:trPr>
          <w:trHeight w:val="129"/>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Mission Produce shareholders' equity</w:t>
            </w:r>
          </w:p>
        </w:tc>
        <w:tc>
          <w:tcPr>
            <w:tcW w:w="50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rPr>
              <w:t>550.8</w:t>
            </w:r>
          </w:p>
        </w:tc>
        <w:tc>
          <w:tcPr>
            <w:tcW w:w="5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547.3</w:t>
            </w:r>
          </w:p>
        </w:tc>
      </w:tr>
      <w:tr>
        <w:trPr>
          <w:trHeight w:val="21"/>
        </w:trPr>
        <w:tc>
          <w:tcPr>
            <w:tcW w:w="31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4"/>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Noncontrolling interest</w:t>
            </w:r>
          </w:p>
        </w:tc>
        <w:tc>
          <w:tcPr>
            <w:tcW w:w="5060" w:type="dxa"/>
            <w:vAlign w:val="bottom"/>
            <w:tcBorders>
              <w:bottom w:val="single" w:sz="8" w:color="DBDBDB"/>
            </w:tcBorders>
            <w:shd w:val="clear" w:color="auto" w:fill="DBDBDB"/>
          </w:tcPr>
          <w:p>
            <w:pPr>
              <w:spacing w:after="0"/>
              <w:rPr>
                <w:sz w:val="13"/>
                <w:szCs w:val="13"/>
                <w:color w:val="auto"/>
              </w:rPr>
            </w:pP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32.1</w:t>
            </w:r>
          </w:p>
        </w:tc>
        <w:tc>
          <w:tcPr>
            <w:tcW w:w="580" w:type="dxa"/>
            <w:vAlign w:val="bottom"/>
            <w:tcBorders>
              <w:bottom w:val="single" w:sz="8" w:color="DBDBDB"/>
            </w:tcBorders>
            <w:shd w:val="clear" w:color="auto" w:fill="DBDBDB"/>
          </w:tcPr>
          <w:p>
            <w:pPr>
              <w:spacing w:after="0"/>
              <w:rPr>
                <w:sz w:val="13"/>
                <w:szCs w:val="13"/>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29.8</w:t>
            </w:r>
          </w:p>
        </w:tc>
      </w:tr>
      <w:tr>
        <w:trPr>
          <w:trHeight w:val="129"/>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Total equity</w:t>
            </w:r>
          </w:p>
        </w:tc>
        <w:tc>
          <w:tcPr>
            <w:tcW w:w="2480" w:type="dxa"/>
            <w:vAlign w:val="bottom"/>
            <w:tcBorders>
              <w:top w:val="single" w:sz="8" w:color="auto"/>
            </w:tcBorders>
          </w:tcPr>
          <w:p>
            <w:pPr>
              <w:spacing w:after="0"/>
              <w:rPr>
                <w:sz w:val="11"/>
                <w:szCs w:val="11"/>
                <w:color w:val="auto"/>
              </w:rPr>
            </w:pPr>
          </w:p>
        </w:tc>
        <w:tc>
          <w:tcPr>
            <w:tcW w:w="50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rPr>
              <w:t>582.9</w:t>
            </w:r>
          </w:p>
        </w:tc>
        <w:tc>
          <w:tcPr>
            <w:tcW w:w="5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577.1</w:t>
            </w:r>
          </w:p>
        </w:tc>
      </w:tr>
      <w:tr>
        <w:trPr>
          <w:trHeight w:val="21"/>
        </w:trPr>
        <w:tc>
          <w:tcPr>
            <w:tcW w:w="3140" w:type="dxa"/>
            <w:vAlign w:val="bottom"/>
            <w:tcBorders>
              <w:bottom w:val="single" w:sz="8" w:color="auto"/>
            </w:tcBorders>
            <w:gridSpan w:val="2"/>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0"/>
        </w:trPr>
        <w:tc>
          <w:tcPr>
            <w:tcW w:w="31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Total liabilities and equity</w:t>
            </w:r>
          </w:p>
        </w:tc>
        <w:tc>
          <w:tcPr>
            <w:tcW w:w="50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997.8</w:t>
            </w:r>
          </w:p>
        </w:tc>
        <w:tc>
          <w:tcPr>
            <w:tcW w:w="58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971.5</w:t>
            </w:r>
          </w:p>
        </w:tc>
      </w:tr>
      <w:tr>
        <w:trPr>
          <w:trHeight w:val="20"/>
        </w:trPr>
        <w:tc>
          <w:tcPr>
            <w:tcW w:w="66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9" w:right="3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CONSOLIDATED STATEMENTS OF INCOME (UNAUDITED)</w:t>
      </w: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7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00" w:type="dxa"/>
            <w:vAlign w:val="bottom"/>
            <w:gridSpan w:val="2"/>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1"/>
                <w:szCs w:val="11"/>
                <w:color w:val="auto"/>
              </w:rPr>
            </w:pPr>
          </w:p>
        </w:tc>
      </w:tr>
      <w:tr>
        <w:trPr>
          <w:trHeight w:val="160"/>
        </w:trPr>
        <w:tc>
          <w:tcPr>
            <w:tcW w:w="76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1"/>
                <w:szCs w:val="11"/>
                <w:b w:val="1"/>
                <w:bCs w:val="1"/>
                <w:color w:val="auto"/>
              </w:rPr>
              <w:t>January 31,</w:t>
            </w:r>
          </w:p>
        </w:tc>
        <w:tc>
          <w:tcPr>
            <w:tcW w:w="780" w:type="dxa"/>
            <w:vAlign w:val="bottom"/>
            <w:tcBorders>
              <w:bottom w:val="single" w:sz="8" w:color="auto"/>
            </w:tcBorders>
          </w:tcPr>
          <w:p>
            <w:pPr>
              <w:spacing w:after="0"/>
              <w:rPr>
                <w:sz w:val="13"/>
                <w:szCs w:val="13"/>
                <w:color w:val="auto"/>
              </w:rPr>
            </w:pPr>
          </w:p>
        </w:tc>
      </w:tr>
      <w:tr>
        <w:trPr>
          <w:trHeight w:val="17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for per share amounts)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2024</w:t>
            </w:r>
          </w:p>
        </w:tc>
      </w:tr>
      <w:tr>
        <w:trPr>
          <w:trHeight w:val="177"/>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sales</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334.2</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258.7</w:t>
            </w:r>
          </w:p>
        </w:tc>
      </w:tr>
      <w:tr>
        <w:trPr>
          <w:trHeight w:val="17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Cost of sales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302.7</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230.0</w:t>
            </w:r>
          </w:p>
        </w:tc>
      </w:tr>
      <w:tr>
        <w:trPr>
          <w:trHeight w:val="180"/>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62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31.5</w:t>
            </w:r>
          </w:p>
        </w:tc>
        <w:tc>
          <w:tcPr>
            <w:tcW w:w="9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28.7</w:t>
            </w:r>
          </w:p>
        </w:tc>
      </w:tr>
      <w:tr>
        <w:trPr>
          <w:trHeight w:val="17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22.2</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20.7</w:t>
            </w:r>
          </w:p>
        </w:tc>
      </w:tr>
      <w:tr>
        <w:trPr>
          <w:trHeight w:val="180"/>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Operating income</w:t>
            </w:r>
          </w:p>
        </w:tc>
        <w:tc>
          <w:tcPr>
            <w:tcW w:w="62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9.3</w:t>
            </w:r>
          </w:p>
        </w:tc>
        <w:tc>
          <w:tcPr>
            <w:tcW w:w="9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8.0</w:t>
            </w:r>
          </w:p>
        </w:tc>
      </w:tr>
      <w:tr>
        <w:trPr>
          <w:trHeight w:val="172"/>
        </w:trPr>
        <w:tc>
          <w:tcPr>
            <w:tcW w:w="76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62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(2.2)</w:t>
            </w:r>
          </w:p>
        </w:tc>
        <w:tc>
          <w:tcPr>
            <w:tcW w:w="9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189"/>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62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0.8</w:t>
            </w:r>
          </w:p>
        </w:tc>
        <w:tc>
          <w:tcPr>
            <w:tcW w:w="9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0.4</w:t>
            </w:r>
          </w:p>
        </w:tc>
      </w:tr>
      <w:tr>
        <w:trPr>
          <w:trHeight w:val="17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1.5</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80"/>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Income before income taxes</w:t>
            </w:r>
          </w:p>
        </w:tc>
        <w:tc>
          <w:tcPr>
            <w:tcW w:w="62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9.4</w:t>
            </w:r>
          </w:p>
        </w:tc>
        <w:tc>
          <w:tcPr>
            <w:tcW w:w="9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4.1</w:t>
            </w:r>
          </w:p>
        </w:tc>
      </w:tr>
      <w:tr>
        <w:trPr>
          <w:trHeight w:val="17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Provision for income taxes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3.2</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w:t>
            </w:r>
          </w:p>
        </w:tc>
      </w:tr>
      <w:tr>
        <w:trPr>
          <w:trHeight w:val="180"/>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6.2</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2.0</w:t>
            </w:r>
          </w:p>
        </w:tc>
      </w:tr>
      <w:tr>
        <w:trPr>
          <w:trHeight w:val="153"/>
        </w:trPr>
        <w:tc>
          <w:tcPr>
            <w:tcW w:w="7680" w:type="dxa"/>
            <w:vAlign w:val="bottom"/>
          </w:tcPr>
          <w:p>
            <w:pPr>
              <w:ind w:left="20"/>
              <w:spacing w:after="0"/>
              <w:rPr>
                <w:sz w:val="20"/>
                <w:szCs w:val="20"/>
                <w:color w:val="auto"/>
              </w:rPr>
            </w:pPr>
            <w:r>
              <w:rPr>
                <w:rFonts w:ascii="Arial" w:cs="Arial" w:eastAsia="Arial" w:hAnsi="Arial"/>
                <w:sz w:val="11"/>
                <w:szCs w:val="11"/>
                <w:color w:val="auto"/>
              </w:rPr>
              <w:t>Less:</w:t>
            </w: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Net income attributable to noncontrolling interest</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w:t>
            </w: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w:t>
            </w:r>
          </w:p>
        </w:tc>
      </w:tr>
      <w:tr>
        <w:trPr>
          <w:trHeight w:val="180"/>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attributable to Mission Produce</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3.9</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212"/>
        </w:trPr>
        <w:tc>
          <w:tcPr>
            <w:tcW w:w="7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0"/>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per share attributable to Mission Produce:</w:t>
            </w:r>
          </w:p>
        </w:tc>
        <w:tc>
          <w:tcPr>
            <w:tcW w:w="6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r>
      <w:tr>
        <w:trPr>
          <w:trHeight w:val="172"/>
        </w:trPr>
        <w:tc>
          <w:tcPr>
            <w:tcW w:w="7680" w:type="dxa"/>
            <w:vAlign w:val="bottom"/>
          </w:tcPr>
          <w:p>
            <w:pPr>
              <w:ind w:left="280"/>
              <w:spacing w:after="0"/>
              <w:rPr>
                <w:sz w:val="20"/>
                <w:szCs w:val="20"/>
                <w:color w:val="auto"/>
              </w:rPr>
            </w:pPr>
            <w:r>
              <w:rPr>
                <w:rFonts w:ascii="Arial" w:cs="Arial" w:eastAsia="Arial" w:hAnsi="Arial"/>
                <w:sz w:val="11"/>
                <w:szCs w:val="11"/>
                <w:color w:val="auto"/>
              </w:rPr>
              <w:t>Basic</w:t>
            </w: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0.06</w:t>
            </w:r>
          </w:p>
        </w:tc>
        <w:tc>
          <w:tcPr>
            <w:tcW w:w="980" w:type="dxa"/>
            <w:vAlign w:val="bottom"/>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0.00</w:t>
            </w:r>
          </w:p>
        </w:tc>
      </w:tr>
      <w:tr>
        <w:trPr>
          <w:trHeight w:val="180"/>
        </w:trPr>
        <w:tc>
          <w:tcPr>
            <w:tcW w:w="768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1"/>
                <w:szCs w:val="11"/>
                <w:color w:val="auto"/>
              </w:rPr>
              <w:t>Diluted</w:t>
            </w:r>
          </w:p>
        </w:tc>
        <w:tc>
          <w:tcPr>
            <w:tcW w:w="62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0.05</w:t>
            </w:r>
          </w:p>
        </w:tc>
        <w:tc>
          <w:tcPr>
            <w:tcW w:w="980" w:type="dxa"/>
            <w:vAlign w:val="bottom"/>
            <w:tcBorders>
              <w:bottom w:val="single" w:sz="8" w:color="auto"/>
            </w:tcBorders>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0.00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69"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STATEMENTS OF COMPREHENSIVE INCOME (UNAUDITED)</w:t>
      </w: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00" w:type="dxa"/>
            <w:vAlign w:val="bottom"/>
            <w:gridSpan w:val="2"/>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1"/>
                <w:szCs w:val="11"/>
                <w:color w:val="auto"/>
              </w:rPr>
            </w:pPr>
          </w:p>
        </w:tc>
      </w:tr>
      <w:tr>
        <w:trPr>
          <w:trHeight w:val="160"/>
        </w:trPr>
        <w:tc>
          <w:tcPr>
            <w:tcW w:w="77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1"/>
                <w:szCs w:val="11"/>
                <w:b w:val="1"/>
                <w:bCs w:val="1"/>
                <w:color w:val="auto"/>
              </w:rPr>
              <w:t>January 31,</w:t>
            </w:r>
          </w:p>
        </w:tc>
        <w:tc>
          <w:tcPr>
            <w:tcW w:w="780" w:type="dxa"/>
            <w:vAlign w:val="bottom"/>
            <w:tcBorders>
              <w:bottom w:val="single" w:sz="8" w:color="auto"/>
            </w:tcBorders>
          </w:tcPr>
          <w:p>
            <w:pPr>
              <w:spacing w:after="0"/>
              <w:rPr>
                <w:sz w:val="13"/>
                <w:szCs w:val="13"/>
                <w:color w:val="auto"/>
              </w:rPr>
            </w:pPr>
          </w:p>
        </w:tc>
      </w:tr>
      <w:tr>
        <w:trPr>
          <w:trHeight w:val="171"/>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2024</w:t>
            </w:r>
          </w:p>
        </w:tc>
      </w:tr>
      <w:tr>
        <w:trPr>
          <w:trHeight w:val="177"/>
        </w:trPr>
        <w:tc>
          <w:tcPr>
            <w:tcW w:w="7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center"/>
              <w:ind w:left="663"/>
              <w:spacing w:after="0"/>
              <w:rPr>
                <w:sz w:val="20"/>
                <w:szCs w:val="20"/>
                <w:color w:val="auto"/>
              </w:rPr>
            </w:pPr>
            <w:r>
              <w:rPr>
                <w:rFonts w:ascii="Arial" w:cs="Arial" w:eastAsia="Arial" w:hAnsi="Arial"/>
                <w:sz w:val="11"/>
                <w:szCs w:val="11"/>
                <w:color w:val="auto"/>
              </w:rPr>
              <w:t>6.2</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2.0</w:t>
            </w:r>
          </w:p>
        </w:tc>
      </w:tr>
      <w:tr>
        <w:trPr>
          <w:trHeight w:val="172"/>
        </w:trPr>
        <w:tc>
          <w:tcPr>
            <w:tcW w:w="7720" w:type="dxa"/>
            <w:vAlign w:val="bottom"/>
          </w:tcPr>
          <w:p>
            <w:pPr>
              <w:ind w:left="20"/>
              <w:spacing w:after="0"/>
              <w:rPr>
                <w:sz w:val="20"/>
                <w:szCs w:val="20"/>
                <w:color w:val="auto"/>
              </w:rPr>
            </w:pPr>
            <w:r>
              <w:rPr>
                <w:rFonts w:ascii="Arial" w:cs="Arial" w:eastAsia="Arial" w:hAnsi="Arial"/>
                <w:sz w:val="11"/>
                <w:szCs w:val="11"/>
                <w:color w:val="auto"/>
              </w:rPr>
              <w:t>Other comprehensive (loss) income, net of tax</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77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1"/>
                <w:szCs w:val="11"/>
                <w:color w:val="auto"/>
              </w:rPr>
              <w:t>Foreign currency translation adjustments</w:t>
            </w:r>
          </w:p>
        </w:tc>
        <w:tc>
          <w:tcPr>
            <w:tcW w:w="62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center"/>
              <w:ind w:left="663"/>
              <w:spacing w:after="0"/>
              <w:rPr>
                <w:sz w:val="20"/>
                <w:szCs w:val="20"/>
                <w:color w:val="auto"/>
              </w:rPr>
            </w:pPr>
            <w:r>
              <w:rPr>
                <w:rFonts w:ascii="Arial" w:cs="Arial" w:eastAsia="Arial" w:hAnsi="Arial"/>
                <w:sz w:val="11"/>
                <w:szCs w:val="11"/>
                <w:color w:val="auto"/>
              </w:rPr>
              <w:t>(1.1)</w:t>
            </w:r>
          </w:p>
        </w:tc>
        <w:tc>
          <w:tcPr>
            <w:tcW w:w="98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0.8</w:t>
            </w:r>
          </w:p>
        </w:tc>
      </w:tr>
      <w:tr>
        <w:trPr>
          <w:trHeight w:val="171"/>
        </w:trPr>
        <w:tc>
          <w:tcPr>
            <w:tcW w:w="7720" w:type="dxa"/>
            <w:vAlign w:val="bottom"/>
          </w:tcPr>
          <w:p>
            <w:pPr>
              <w:ind w:left="20"/>
              <w:spacing w:after="0"/>
              <w:rPr>
                <w:sz w:val="20"/>
                <w:szCs w:val="20"/>
                <w:color w:val="auto"/>
              </w:rPr>
            </w:pPr>
            <w:r>
              <w:rPr>
                <w:rFonts w:ascii="Arial" w:cs="Arial" w:eastAsia="Arial" w:hAnsi="Arial"/>
                <w:sz w:val="11"/>
                <w:szCs w:val="11"/>
                <w:color w:val="auto"/>
              </w:rPr>
              <w:t>Total comprehensive income, net of tax</w:t>
            </w:r>
          </w:p>
        </w:tc>
        <w:tc>
          <w:tcPr>
            <w:tcW w:w="620" w:type="dxa"/>
            <w:vAlign w:val="bottom"/>
          </w:tcPr>
          <w:p>
            <w:pPr>
              <w:spacing w:after="0"/>
              <w:rPr>
                <w:sz w:val="14"/>
                <w:szCs w:val="14"/>
                <w:color w:val="auto"/>
              </w:rPr>
            </w:pPr>
          </w:p>
        </w:tc>
        <w:tc>
          <w:tcPr>
            <w:tcW w:w="1120" w:type="dxa"/>
            <w:vAlign w:val="bottom"/>
          </w:tcPr>
          <w:p>
            <w:pPr>
              <w:jc w:val="center"/>
              <w:ind w:left="663"/>
              <w:spacing w:after="0"/>
              <w:rPr>
                <w:sz w:val="20"/>
                <w:szCs w:val="20"/>
                <w:color w:val="auto"/>
              </w:rPr>
            </w:pPr>
            <w:r>
              <w:rPr>
                <w:rFonts w:ascii="Arial" w:cs="Arial" w:eastAsia="Arial" w:hAnsi="Arial"/>
                <w:sz w:val="11"/>
                <w:szCs w:val="11"/>
                <w:color w:val="auto"/>
              </w:rPr>
              <w:t>5.1</w:t>
            </w:r>
          </w:p>
        </w:tc>
        <w:tc>
          <w:tcPr>
            <w:tcW w:w="9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2.8</w:t>
            </w:r>
          </w:p>
        </w:tc>
      </w:tr>
      <w:tr>
        <w:trPr>
          <w:trHeight w:val="161"/>
        </w:trPr>
        <w:tc>
          <w:tcPr>
            <w:tcW w:w="7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Less:</w:t>
            </w:r>
          </w:p>
        </w:tc>
        <w:tc>
          <w:tcPr>
            <w:tcW w:w="62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r>
      <w:tr>
        <w:trPr>
          <w:trHeight w:val="157"/>
        </w:trPr>
        <w:tc>
          <w:tcPr>
            <w:tcW w:w="77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1"/>
                <w:szCs w:val="11"/>
                <w:color w:val="auto"/>
              </w:rPr>
              <w:t>Comprehensive income attributable to noncontrolling interest</w:t>
            </w:r>
          </w:p>
        </w:tc>
        <w:tc>
          <w:tcPr>
            <w:tcW w:w="62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center"/>
              <w:ind w:left="663"/>
              <w:spacing w:after="0"/>
              <w:rPr>
                <w:sz w:val="20"/>
                <w:szCs w:val="20"/>
                <w:color w:val="auto"/>
              </w:rPr>
            </w:pPr>
            <w:r>
              <w:rPr>
                <w:rFonts w:ascii="Arial" w:cs="Arial" w:eastAsia="Arial" w:hAnsi="Arial"/>
                <w:sz w:val="11"/>
                <w:szCs w:val="11"/>
                <w:color w:val="auto"/>
              </w:rPr>
              <w:t>2.3</w:t>
            </w:r>
          </w:p>
        </w:tc>
        <w:tc>
          <w:tcPr>
            <w:tcW w:w="980" w:type="dxa"/>
            <w:vAlign w:val="bottom"/>
            <w:tcBorders>
              <w:bottom w:val="single" w:sz="8" w:color="auto"/>
            </w:tcBorders>
            <w:shd w:val="clear" w:color="auto" w:fill="DBDBDB"/>
          </w:tcPr>
          <w:p>
            <w:pPr>
              <w:spacing w:after="0"/>
              <w:rPr>
                <w:sz w:val="13"/>
                <w:szCs w:val="13"/>
                <w:color w:val="auto"/>
              </w:rPr>
            </w:pPr>
          </w:p>
        </w:tc>
        <w:tc>
          <w:tcPr>
            <w:tcW w:w="7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2.0</w:t>
            </w:r>
          </w:p>
        </w:tc>
      </w:tr>
      <w:tr>
        <w:trPr>
          <w:trHeight w:val="171"/>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Comprehensive income</w:t>
            </w:r>
          </w:p>
        </w:tc>
        <w:tc>
          <w:tcPr>
            <w:tcW w:w="6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center"/>
              <w:ind w:left="663"/>
              <w:spacing w:after="0"/>
              <w:rPr>
                <w:sz w:val="20"/>
                <w:szCs w:val="20"/>
                <w:color w:val="auto"/>
              </w:rPr>
            </w:pPr>
            <w:r>
              <w:rPr>
                <w:rFonts w:ascii="Arial" w:cs="Arial" w:eastAsia="Arial" w:hAnsi="Arial"/>
                <w:sz w:val="11"/>
                <w:szCs w:val="11"/>
                <w:color w:val="auto"/>
              </w:rPr>
              <w:t>2.8</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EQUITY (UNAUDITED)</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0"/>
                <w:szCs w:val="10"/>
                <w:b w:val="1"/>
                <w:bCs w:val="1"/>
                <w:color w:val="auto"/>
              </w:rPr>
              <w:t>Common stock</w:t>
            </w:r>
          </w:p>
        </w:tc>
        <w:tc>
          <w:tcPr>
            <w:tcW w:w="56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Accumulated other</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720" w:type="dxa"/>
            <w:vAlign w:val="bottom"/>
            <w:vMerge w:val="restart"/>
          </w:tcPr>
          <w:p>
            <w:pPr>
              <w:ind w:left="20"/>
              <w:spacing w:after="0"/>
              <w:rPr>
                <w:sz w:val="20"/>
                <w:szCs w:val="20"/>
                <w:color w:val="auto"/>
              </w:rPr>
            </w:pPr>
            <w:r>
              <w:rPr>
                <w:rFonts w:ascii="Arial" w:cs="Arial" w:eastAsia="Arial" w:hAnsi="Arial"/>
                <w:sz w:val="10"/>
                <w:szCs w:val="10"/>
                <w:color w:val="auto"/>
              </w:rPr>
              <w:t>(In millions, except for shares)</w:t>
            </w:r>
          </w:p>
        </w:tc>
        <w:tc>
          <w:tcPr>
            <w:tcW w:w="12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Shares</w:t>
            </w:r>
          </w:p>
        </w:tc>
        <w:tc>
          <w:tcPr>
            <w:tcW w:w="460" w:type="dxa"/>
            <w:vAlign w:val="bottom"/>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13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w w:val="97"/>
              </w:rPr>
              <w:t>Additional paid-in capital</w:t>
            </w:r>
          </w:p>
        </w:tc>
        <w:tc>
          <w:tcPr>
            <w:tcW w:w="2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Retained earnings</w:t>
            </w:r>
          </w:p>
        </w:tc>
        <w:tc>
          <w:tcPr>
            <w:tcW w:w="220" w:type="dxa"/>
            <w:vAlign w:val="bottom"/>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Noncontrolling interest</w:t>
            </w:r>
          </w:p>
        </w:tc>
        <w:tc>
          <w:tcPr>
            <w:tcW w:w="36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22"/>
        </w:trPr>
        <w:tc>
          <w:tcPr>
            <w:tcW w:w="272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comprehensive loss</w:t>
            </w: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Balance at October 31, 2023</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70,728,404</w:t>
            </w:r>
          </w:p>
        </w:tc>
        <w:tc>
          <w:tcPr>
            <w:tcW w:w="46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0.1</w:t>
            </w:r>
          </w:p>
        </w:tc>
        <w:tc>
          <w:tcPr>
            <w:tcW w:w="6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233.4</w:t>
            </w:r>
          </w:p>
        </w:tc>
        <w:tc>
          <w:tcPr>
            <w:tcW w:w="2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(0.9)</w:t>
            </w:r>
          </w:p>
        </w:tc>
        <w:tc>
          <w:tcPr>
            <w:tcW w:w="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271.0</w:t>
            </w:r>
          </w:p>
        </w:tc>
        <w:tc>
          <w:tcPr>
            <w:tcW w:w="2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24.7</w:t>
            </w:r>
          </w:p>
        </w:tc>
        <w:tc>
          <w:tcPr>
            <w:tcW w:w="36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528.3</w:t>
            </w:r>
          </w:p>
        </w:tc>
        <w:tc>
          <w:tcPr>
            <w:tcW w:w="0" w:type="dxa"/>
            <w:vAlign w:val="bottom"/>
          </w:tcPr>
          <w:p>
            <w:pPr>
              <w:spacing w:after="0"/>
              <w:rPr>
                <w:sz w:val="1"/>
                <w:szCs w:val="1"/>
                <w:color w:val="auto"/>
              </w:rPr>
            </w:pPr>
          </w:p>
        </w:tc>
      </w:tr>
      <w:tr>
        <w:trPr>
          <w:trHeight w:val="138"/>
        </w:trPr>
        <w:tc>
          <w:tcPr>
            <w:tcW w:w="272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1.4</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20" w:type="dxa"/>
            <w:vAlign w:val="bottom"/>
            <w:shd w:val="clear" w:color="auto" w:fill="DBDBDB"/>
          </w:tcPr>
          <w:p>
            <w:pPr>
              <w:ind w:left="20"/>
              <w:spacing w:after="0"/>
              <w:rPr>
                <w:sz w:val="20"/>
                <w:szCs w:val="20"/>
                <w:color w:val="auto"/>
              </w:rPr>
            </w:pPr>
            <w:r>
              <w:rPr>
                <w:rFonts w:ascii="Arial" w:cs="Arial" w:eastAsia="Arial" w:hAnsi="Arial"/>
                <w:sz w:val="10"/>
                <w:szCs w:val="10"/>
                <w:color w:val="auto"/>
              </w:rPr>
              <w:t>Issuance of common stock for equity awards, net of shares</w:t>
            </w:r>
          </w:p>
        </w:tc>
        <w:tc>
          <w:tcPr>
            <w:tcW w:w="12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112,899</w:t>
            </w:r>
          </w:p>
        </w:tc>
        <w:tc>
          <w:tcPr>
            <w:tcW w:w="460" w:type="dxa"/>
            <w:vAlign w:val="bottom"/>
            <w:shd w:val="clear" w:color="auto" w:fill="DBDBDB"/>
          </w:tcPr>
          <w:p>
            <w:pPr>
              <w:spacing w:after="0"/>
              <w:rPr>
                <w:sz w:val="10"/>
                <w:szCs w:val="10"/>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DBDBDB"/>
          </w:tcPr>
          <w:p>
            <w:pPr>
              <w:spacing w:after="0"/>
              <w:rPr>
                <w:sz w:val="10"/>
                <w:szCs w:val="10"/>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(0.7)</w:t>
            </w:r>
          </w:p>
        </w:tc>
        <w:tc>
          <w:tcPr>
            <w:tcW w:w="280" w:type="dxa"/>
            <w:vAlign w:val="bottom"/>
            <w:shd w:val="clear" w:color="auto" w:fill="DBDBDB"/>
          </w:tcPr>
          <w:p>
            <w:pPr>
              <w:spacing w:after="0"/>
              <w:rPr>
                <w:sz w:val="10"/>
                <w:szCs w:val="1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DBDBDB"/>
          </w:tcPr>
          <w:p>
            <w:pPr>
              <w:spacing w:after="0"/>
              <w:rPr>
                <w:sz w:val="10"/>
                <w:szCs w:val="1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0"/>
                <w:szCs w:val="1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60" w:type="dxa"/>
            <w:vAlign w:val="bottom"/>
            <w:shd w:val="clear" w:color="auto" w:fill="DBDBDB"/>
          </w:tcPr>
          <w:p>
            <w:pPr>
              <w:spacing w:after="0"/>
              <w:rPr>
                <w:sz w:val="10"/>
                <w:szCs w:val="1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31"/>
        </w:trPr>
        <w:tc>
          <w:tcPr>
            <w:tcW w:w="27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0"/>
                <w:szCs w:val="10"/>
                <w:color w:val="auto"/>
              </w:rPr>
              <w:t>withheld for the settlement of taxes</w:t>
            </w:r>
          </w:p>
        </w:tc>
        <w:tc>
          <w:tcPr>
            <w:tcW w:w="1200" w:type="dxa"/>
            <w:vAlign w:val="bottom"/>
            <w:tcBorders>
              <w:bottom w:val="single" w:sz="8" w:color="DBDBDB"/>
            </w:tcBorders>
            <w:shd w:val="clear" w:color="auto" w:fill="DBDBDB"/>
          </w:tcPr>
          <w:p>
            <w:pPr>
              <w:spacing w:after="0"/>
              <w:rPr>
                <w:sz w:val="11"/>
                <w:szCs w:val="11"/>
                <w:color w:val="auto"/>
              </w:rPr>
            </w:pPr>
          </w:p>
        </w:tc>
        <w:tc>
          <w:tcPr>
            <w:tcW w:w="460" w:type="dxa"/>
            <w:vAlign w:val="bottom"/>
            <w:tcBorders>
              <w:bottom w:val="single" w:sz="8" w:color="DBDBDB"/>
            </w:tcBorders>
            <w:shd w:val="clear" w:color="auto" w:fill="DBDBDB"/>
          </w:tcPr>
          <w:p>
            <w:pPr>
              <w:spacing w:after="0"/>
              <w:rPr>
                <w:sz w:val="11"/>
                <w:szCs w:val="11"/>
                <w:color w:val="auto"/>
              </w:rPr>
            </w:pPr>
          </w:p>
        </w:tc>
        <w:tc>
          <w:tcPr>
            <w:tcW w:w="560" w:type="dxa"/>
            <w:vAlign w:val="bottom"/>
            <w:tcBorders>
              <w:bottom w:val="single" w:sz="8" w:color="DBDBDB"/>
            </w:tcBorders>
            <w:shd w:val="clear" w:color="auto" w:fill="DBDBDB"/>
          </w:tcPr>
          <w:p>
            <w:pPr>
              <w:spacing w:after="0"/>
              <w:rPr>
                <w:sz w:val="11"/>
                <w:szCs w:val="11"/>
                <w:color w:val="auto"/>
              </w:rPr>
            </w:pPr>
          </w:p>
        </w:tc>
        <w:tc>
          <w:tcPr>
            <w:tcW w:w="600" w:type="dxa"/>
            <w:vAlign w:val="bottom"/>
            <w:tcBorders>
              <w:bottom w:val="single" w:sz="8" w:color="DBDBDB"/>
            </w:tcBorders>
            <w:shd w:val="clear" w:color="auto" w:fill="DBDBDB"/>
          </w:tcPr>
          <w:p>
            <w:pPr>
              <w:spacing w:after="0"/>
              <w:rPr>
                <w:sz w:val="11"/>
                <w:szCs w:val="11"/>
                <w:color w:val="auto"/>
              </w:rPr>
            </w:pPr>
          </w:p>
        </w:tc>
        <w:tc>
          <w:tcPr>
            <w:tcW w:w="720" w:type="dxa"/>
            <w:vAlign w:val="bottom"/>
            <w:tcBorders>
              <w:bottom w:val="single" w:sz="8" w:color="DBDBDB"/>
            </w:tcBorders>
            <w:shd w:val="clear" w:color="auto" w:fill="DBDBDB"/>
          </w:tcPr>
          <w:p>
            <w:pPr>
              <w:spacing w:after="0"/>
              <w:rPr>
                <w:sz w:val="11"/>
                <w:szCs w:val="11"/>
                <w:color w:val="auto"/>
              </w:rPr>
            </w:pPr>
          </w:p>
        </w:tc>
        <w:tc>
          <w:tcPr>
            <w:tcW w:w="280" w:type="dxa"/>
            <w:vAlign w:val="bottom"/>
            <w:tcBorders>
              <w:bottom w:val="single" w:sz="8" w:color="DBDBDB"/>
            </w:tcBorders>
            <w:shd w:val="clear" w:color="auto" w:fill="DBDBDB"/>
          </w:tcPr>
          <w:p>
            <w:pPr>
              <w:spacing w:after="0"/>
              <w:rPr>
                <w:sz w:val="11"/>
                <w:szCs w:val="11"/>
                <w:color w:val="auto"/>
              </w:rPr>
            </w:pPr>
          </w:p>
        </w:tc>
        <w:tc>
          <w:tcPr>
            <w:tcW w:w="1020" w:type="dxa"/>
            <w:vAlign w:val="bottom"/>
            <w:tcBorders>
              <w:bottom w:val="single" w:sz="8" w:color="DBDBDB"/>
            </w:tcBorders>
            <w:shd w:val="clear" w:color="auto" w:fill="DBDBDB"/>
          </w:tcPr>
          <w:p>
            <w:pPr>
              <w:spacing w:after="0"/>
              <w:rPr>
                <w:sz w:val="11"/>
                <w:szCs w:val="11"/>
                <w:color w:val="auto"/>
              </w:rPr>
            </w:pPr>
          </w:p>
        </w:tc>
        <w:tc>
          <w:tcPr>
            <w:tcW w:w="20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DBDBDB"/>
            </w:tcBorders>
            <w:shd w:val="clear" w:color="auto" w:fill="DBDBDB"/>
          </w:tcPr>
          <w:p>
            <w:pPr>
              <w:spacing w:after="0"/>
              <w:rPr>
                <w:sz w:val="11"/>
                <w:szCs w:val="11"/>
                <w:color w:val="auto"/>
              </w:rPr>
            </w:pPr>
          </w:p>
        </w:tc>
        <w:tc>
          <w:tcPr>
            <w:tcW w:w="220" w:type="dxa"/>
            <w:vAlign w:val="bottom"/>
            <w:tcBorders>
              <w:bottom w:val="single" w:sz="8" w:color="DBDBDB"/>
            </w:tcBorders>
            <w:shd w:val="clear" w:color="auto" w:fill="DBDBDB"/>
          </w:tcPr>
          <w:p>
            <w:pPr>
              <w:spacing w:after="0"/>
              <w:rPr>
                <w:sz w:val="11"/>
                <w:szCs w:val="11"/>
                <w:color w:val="auto"/>
              </w:rPr>
            </w:pPr>
          </w:p>
        </w:tc>
        <w:tc>
          <w:tcPr>
            <w:tcW w:w="1080" w:type="dxa"/>
            <w:vAlign w:val="bottom"/>
            <w:tcBorders>
              <w:bottom w:val="single" w:sz="8" w:color="DBDBDB"/>
            </w:tcBorders>
            <w:shd w:val="clear" w:color="auto" w:fill="DBDBDB"/>
          </w:tcPr>
          <w:p>
            <w:pPr>
              <w:spacing w:after="0"/>
              <w:rPr>
                <w:sz w:val="11"/>
                <w:szCs w:val="11"/>
                <w:color w:val="auto"/>
              </w:rPr>
            </w:pPr>
          </w:p>
        </w:tc>
        <w:tc>
          <w:tcPr>
            <w:tcW w:w="360" w:type="dxa"/>
            <w:vAlign w:val="bottom"/>
            <w:tcBorders>
              <w:bottom w:val="single" w:sz="8" w:color="DBDBDB"/>
            </w:tcBorders>
            <w:shd w:val="clear" w:color="auto" w:fill="DBDBDB"/>
          </w:tcPr>
          <w:p>
            <w:pPr>
              <w:spacing w:after="0"/>
              <w:rPr>
                <w:sz w:val="11"/>
                <w:szCs w:val="11"/>
                <w:color w:val="auto"/>
              </w:rPr>
            </w:pPr>
          </w:p>
        </w:tc>
        <w:tc>
          <w:tcPr>
            <w:tcW w:w="86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2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w:t>
            </w:r>
          </w:p>
        </w:tc>
        <w:tc>
          <w:tcPr>
            <w:tcW w:w="360" w:type="dxa"/>
            <w:vAlign w:val="bottom"/>
          </w:tcPr>
          <w:p>
            <w:pPr>
              <w:spacing w:after="0"/>
              <w:rPr>
                <w:sz w:val="12"/>
                <w:szCs w:val="12"/>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0.8</w:t>
            </w:r>
          </w:p>
        </w:tc>
        <w:tc>
          <w:tcPr>
            <w:tcW w:w="2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spacing w:after="0"/>
              <w:rPr>
                <w:sz w:val="13"/>
                <w:szCs w:val="13"/>
                <w:color w:val="auto"/>
              </w:rPr>
            </w:pP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2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Balance at January 31, 2024</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70,841,303</w:t>
            </w:r>
          </w:p>
        </w:tc>
        <w:tc>
          <w:tcPr>
            <w:tcW w:w="460" w:type="dxa"/>
            <w:vAlign w:val="bottom"/>
            <w:tcBorders>
              <w:top w:val="single" w:sz="8" w:color="auto"/>
            </w:tcBorders>
          </w:tcPr>
          <w:p>
            <w:pPr>
              <w:jc w:val="right"/>
              <w:ind w:right="35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234.1</w:t>
            </w:r>
          </w:p>
        </w:tc>
        <w:tc>
          <w:tcPr>
            <w:tcW w:w="28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271.0</w:t>
            </w:r>
          </w:p>
        </w:tc>
        <w:tc>
          <w:tcPr>
            <w:tcW w:w="22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26.7</w:t>
            </w:r>
          </w:p>
        </w:tc>
        <w:tc>
          <w:tcPr>
            <w:tcW w:w="360" w:type="dxa"/>
            <w:vAlign w:val="bottom"/>
            <w:tcBorders>
              <w:top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531.8</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72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20" w:type="dxa"/>
            <w:vAlign w:val="bottom"/>
          </w:tcPr>
          <w:p>
            <w:pPr>
              <w:ind w:left="20"/>
              <w:spacing w:after="0"/>
              <w:rPr>
                <w:sz w:val="20"/>
                <w:szCs w:val="20"/>
                <w:color w:val="auto"/>
              </w:rPr>
            </w:pPr>
            <w:r>
              <w:rPr>
                <w:rFonts w:ascii="Arial" w:cs="Arial" w:eastAsia="Arial" w:hAnsi="Arial"/>
                <w:sz w:val="10"/>
                <w:szCs w:val="10"/>
                <w:color w:val="auto"/>
              </w:rPr>
              <w:t>Balance at October 31, 2024</w:t>
            </w:r>
          </w:p>
        </w:tc>
        <w:tc>
          <w:tcPr>
            <w:tcW w:w="1200" w:type="dxa"/>
            <w:vAlign w:val="bottom"/>
          </w:tcPr>
          <w:p>
            <w:pPr>
              <w:jc w:val="right"/>
              <w:spacing w:after="0"/>
              <w:rPr>
                <w:sz w:val="20"/>
                <w:szCs w:val="20"/>
                <w:color w:val="auto"/>
              </w:rPr>
            </w:pPr>
            <w:r>
              <w:rPr>
                <w:rFonts w:ascii="Arial" w:cs="Arial" w:eastAsia="Arial" w:hAnsi="Arial"/>
                <w:sz w:val="10"/>
                <w:szCs w:val="10"/>
                <w:color w:val="auto"/>
              </w:rPr>
              <w:t>70,914,767</w:t>
            </w: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0.1</w:t>
            </w:r>
          </w:p>
        </w:tc>
        <w:tc>
          <w:tcPr>
            <w:tcW w:w="600" w:type="dxa"/>
            <w:vAlign w:val="bottom"/>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239.7</w:t>
            </w: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(0.2)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307.7</w:t>
            </w:r>
          </w:p>
        </w:tc>
        <w:tc>
          <w:tcPr>
            <w:tcW w:w="2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29.8</w:t>
            </w:r>
          </w:p>
        </w:tc>
        <w:tc>
          <w:tcPr>
            <w:tcW w:w="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577.1</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Stock-based compensation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BDBDB"/>
            </w:tcBorders>
            <w:shd w:val="clear" w:color="auto" w:fill="DBDBDB"/>
          </w:tcPr>
          <w:p>
            <w:pPr>
              <w:spacing w:after="0"/>
              <w:rPr>
                <w:sz w:val="12"/>
                <w:szCs w:val="12"/>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BDBDB"/>
            </w:tcBorders>
            <w:shd w:val="clear" w:color="auto" w:fill="DBDBDB"/>
          </w:tcPr>
          <w:p>
            <w:pPr>
              <w:spacing w:after="0"/>
              <w:rPr>
                <w:sz w:val="12"/>
                <w:szCs w:val="12"/>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2.0</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25"/>
        </w:trPr>
        <w:tc>
          <w:tcPr>
            <w:tcW w:w="2720" w:type="dxa"/>
            <w:vAlign w:val="bottom"/>
          </w:tcPr>
          <w:p>
            <w:pPr>
              <w:ind w:left="20"/>
              <w:spacing w:after="0"/>
              <w:rPr>
                <w:sz w:val="20"/>
                <w:szCs w:val="20"/>
                <w:color w:val="auto"/>
              </w:rPr>
            </w:pPr>
            <w:r>
              <w:rPr>
                <w:rFonts w:ascii="Arial" w:cs="Arial" w:eastAsia="Arial" w:hAnsi="Arial"/>
                <w:sz w:val="10"/>
                <w:szCs w:val="10"/>
                <w:color w:val="auto"/>
              </w:rPr>
              <w:t>Issuance of common stock for equity awards, net of shares</w:t>
            </w:r>
          </w:p>
        </w:tc>
        <w:tc>
          <w:tcPr>
            <w:tcW w:w="1200" w:type="dxa"/>
            <w:vAlign w:val="bottom"/>
          </w:tcPr>
          <w:p>
            <w:pPr>
              <w:jc w:val="right"/>
              <w:spacing w:after="0"/>
              <w:rPr>
                <w:sz w:val="20"/>
                <w:szCs w:val="20"/>
                <w:color w:val="auto"/>
              </w:rPr>
            </w:pPr>
            <w:r>
              <w:rPr>
                <w:rFonts w:ascii="Arial" w:cs="Arial" w:eastAsia="Arial" w:hAnsi="Arial"/>
                <w:sz w:val="10"/>
                <w:szCs w:val="10"/>
                <w:color w:val="auto"/>
              </w:rPr>
              <w:t>153,856</w:t>
            </w:r>
          </w:p>
        </w:tc>
        <w:tc>
          <w:tcPr>
            <w:tcW w:w="4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(1.3)</w:t>
            </w:r>
          </w:p>
        </w:tc>
        <w:tc>
          <w:tcPr>
            <w:tcW w:w="28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0"/>
        </w:trPr>
        <w:tc>
          <w:tcPr>
            <w:tcW w:w="2720" w:type="dxa"/>
            <w:vAlign w:val="bottom"/>
          </w:tcPr>
          <w:p>
            <w:pPr>
              <w:ind w:left="140"/>
              <w:spacing w:after="0"/>
              <w:rPr>
                <w:sz w:val="20"/>
                <w:szCs w:val="20"/>
                <w:color w:val="auto"/>
              </w:rPr>
            </w:pPr>
            <w:r>
              <w:rPr>
                <w:rFonts w:ascii="Arial" w:cs="Arial" w:eastAsia="Arial" w:hAnsi="Arial"/>
                <w:sz w:val="10"/>
                <w:szCs w:val="10"/>
                <w:color w:val="auto"/>
              </w:rPr>
              <w:t>withheld for the settlement of taxes</w:t>
            </w: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Exercise of stock options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21,929</w:t>
            </w:r>
          </w:p>
        </w:tc>
        <w:tc>
          <w:tcPr>
            <w:tcW w:w="460" w:type="dxa"/>
            <w:vAlign w:val="bottom"/>
            <w:tcBorders>
              <w:bottom w:val="single" w:sz="8" w:color="DBDBDB"/>
            </w:tcBorders>
            <w:shd w:val="clear" w:color="auto" w:fill="DBDBDB"/>
          </w:tcPr>
          <w:p>
            <w:pPr>
              <w:spacing w:after="0"/>
              <w:rPr>
                <w:sz w:val="12"/>
                <w:szCs w:val="12"/>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BDBDB"/>
            </w:tcBorders>
            <w:shd w:val="clear" w:color="auto" w:fill="DBDBDB"/>
          </w:tcPr>
          <w:p>
            <w:pPr>
              <w:spacing w:after="0"/>
              <w:rPr>
                <w:sz w:val="12"/>
                <w:szCs w:val="12"/>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0.3</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38"/>
        </w:trPr>
        <w:tc>
          <w:tcPr>
            <w:tcW w:w="2720" w:type="dxa"/>
            <w:vAlign w:val="bottom"/>
          </w:tcPr>
          <w:p>
            <w:pPr>
              <w:ind w:left="20"/>
              <w:spacing w:after="0"/>
              <w:rPr>
                <w:sz w:val="20"/>
                <w:szCs w:val="20"/>
                <w:color w:val="auto"/>
              </w:rPr>
            </w:pPr>
            <w:r>
              <w:rPr>
                <w:rFonts w:ascii="Arial" w:cs="Arial" w:eastAsia="Arial" w:hAnsi="Arial"/>
                <w:sz w:val="10"/>
                <w:szCs w:val="10"/>
                <w:color w:val="auto"/>
              </w:rPr>
              <w:t>Purchase and retirement of common stock</w:t>
            </w:r>
          </w:p>
        </w:tc>
        <w:tc>
          <w:tcPr>
            <w:tcW w:w="1200" w:type="dxa"/>
            <w:vAlign w:val="bottom"/>
          </w:tcPr>
          <w:p>
            <w:pPr>
              <w:jc w:val="right"/>
              <w:spacing w:after="0"/>
              <w:rPr>
                <w:sz w:val="20"/>
                <w:szCs w:val="20"/>
                <w:color w:val="auto"/>
              </w:rPr>
            </w:pPr>
            <w:r>
              <w:rPr>
                <w:rFonts w:ascii="Arial" w:cs="Arial" w:eastAsia="Arial" w:hAnsi="Arial"/>
                <w:sz w:val="10"/>
                <w:szCs w:val="10"/>
                <w:color w:val="auto"/>
              </w:rPr>
              <w:t>(25,000)</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(0.3)</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Net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BDBDB"/>
            </w:tcBorders>
            <w:shd w:val="clear" w:color="auto" w:fill="DBDBDB"/>
          </w:tcPr>
          <w:p>
            <w:pPr>
              <w:spacing w:after="0"/>
              <w:rPr>
                <w:sz w:val="12"/>
                <w:szCs w:val="12"/>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BDBDB"/>
            </w:tcBorders>
            <w:shd w:val="clear" w:color="auto" w:fill="DBDBDB"/>
          </w:tcPr>
          <w:p>
            <w:pPr>
              <w:spacing w:after="0"/>
              <w:rPr>
                <w:sz w:val="12"/>
                <w:szCs w:val="12"/>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3.9</w:t>
            </w:r>
          </w:p>
        </w:tc>
        <w:tc>
          <w:tcPr>
            <w:tcW w:w="22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w:t>
            </w:r>
          </w:p>
        </w:tc>
        <w:tc>
          <w:tcPr>
            <w:tcW w:w="36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38"/>
        </w:trPr>
        <w:tc>
          <w:tcPr>
            <w:tcW w:w="272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(1.1)</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Balance at January 31, 2025</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71,065,552</w:t>
            </w:r>
          </w:p>
        </w:tc>
        <w:tc>
          <w:tcPr>
            <w:tcW w:w="46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0.1</w:t>
            </w:r>
          </w:p>
        </w:tc>
        <w:tc>
          <w:tcPr>
            <w:tcW w:w="6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240.7</w:t>
            </w:r>
          </w:p>
        </w:tc>
        <w:tc>
          <w:tcPr>
            <w:tcW w:w="2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(1.3)</w:t>
            </w:r>
          </w:p>
        </w:tc>
        <w:tc>
          <w:tcPr>
            <w:tcW w:w="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311.3</w:t>
            </w:r>
          </w:p>
        </w:tc>
        <w:tc>
          <w:tcPr>
            <w:tcW w:w="2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32.1</w:t>
            </w:r>
          </w:p>
        </w:tc>
        <w:tc>
          <w:tcPr>
            <w:tcW w:w="36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582.9</w:t>
            </w:r>
          </w:p>
        </w:tc>
        <w:tc>
          <w:tcPr>
            <w:tcW w:w="0" w:type="dxa"/>
            <w:vAlign w:val="bottom"/>
          </w:tcPr>
          <w:p>
            <w:pPr>
              <w:spacing w:after="0"/>
              <w:rPr>
                <w:sz w:val="1"/>
                <w:szCs w:val="1"/>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CONDENSED CONSOLIDATED STATEMENTS OF CASH FLOW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2"/>
          </w:tcPr>
          <w:p>
            <w:pPr>
              <w:jc w:val="right"/>
              <w:ind w:right="403"/>
              <w:spacing w:after="0"/>
              <w:rPr>
                <w:sz w:val="20"/>
                <w:szCs w:val="20"/>
                <w:color w:val="auto"/>
              </w:rPr>
            </w:pPr>
            <w:r>
              <w:rPr>
                <w:rFonts w:ascii="Arial" w:cs="Arial" w:eastAsia="Arial" w:hAnsi="Arial"/>
                <w:sz w:val="11"/>
                <w:szCs w:val="11"/>
                <w:b w:val="1"/>
                <w:bCs w:val="1"/>
                <w:color w:val="auto"/>
              </w:rPr>
              <w:t>Three Months Ended</w:t>
            </w:r>
          </w:p>
        </w:tc>
        <w:tc>
          <w:tcPr>
            <w:tcW w:w="840" w:type="dxa"/>
            <w:vAlign w:val="bottom"/>
          </w:tcPr>
          <w:p>
            <w:pPr>
              <w:spacing w:after="0"/>
              <w:rPr>
                <w:sz w:val="11"/>
                <w:szCs w:val="11"/>
                <w:color w:val="auto"/>
              </w:rPr>
            </w:pPr>
          </w:p>
        </w:tc>
      </w:tr>
      <w:tr>
        <w:trPr>
          <w:trHeight w:val="156"/>
        </w:trPr>
        <w:tc>
          <w:tcPr>
            <w:tcW w:w="74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jc w:val="right"/>
              <w:ind w:right="663"/>
              <w:spacing w:after="0"/>
              <w:rPr>
                <w:sz w:val="20"/>
                <w:szCs w:val="20"/>
                <w:color w:val="auto"/>
              </w:rPr>
            </w:pPr>
            <w:r>
              <w:rPr>
                <w:rFonts w:ascii="Arial" w:cs="Arial" w:eastAsia="Arial" w:hAnsi="Arial"/>
                <w:sz w:val="11"/>
                <w:szCs w:val="11"/>
                <w:b w:val="1"/>
                <w:bCs w:val="1"/>
                <w:color w:val="auto"/>
              </w:rPr>
              <w:t>January 31,</w:t>
            </w:r>
          </w:p>
        </w:tc>
        <w:tc>
          <w:tcPr>
            <w:tcW w:w="840" w:type="dxa"/>
            <w:vAlign w:val="bottom"/>
            <w:tcBorders>
              <w:bottom w:val="single" w:sz="8" w:color="auto"/>
            </w:tcBorders>
          </w:tcPr>
          <w:p>
            <w:pPr>
              <w:spacing w:after="0"/>
              <w:rPr>
                <w:sz w:val="13"/>
                <w:szCs w:val="13"/>
                <w:color w:val="auto"/>
              </w:rPr>
            </w:pPr>
          </w:p>
        </w:tc>
      </w:tr>
      <w:tr>
        <w:trPr>
          <w:trHeight w:val="175"/>
        </w:trPr>
        <w:tc>
          <w:tcPr>
            <w:tcW w:w="7440" w:type="dxa"/>
            <w:vAlign w:val="bottom"/>
            <w:tcBorders>
              <w:bottom w:val="single" w:sz="8" w:color="auto"/>
            </w:tcBorders>
          </w:tcPr>
          <w:p>
            <w:pPr>
              <w:ind w:left="20"/>
              <w:spacing w:after="0"/>
              <w:rPr>
                <w:sz w:val="20"/>
                <w:szCs w:val="20"/>
                <w:color w:val="auto"/>
              </w:rPr>
            </w:pPr>
            <w:r>
              <w:rPr>
                <w:rFonts w:ascii="Calibri" w:cs="Calibri" w:eastAsia="Calibri" w:hAnsi="Calibri"/>
                <w:sz w:val="11"/>
                <w:szCs w:val="11"/>
                <w:color w:val="auto"/>
              </w:rPr>
              <w:t>(In millions)</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2025</w:t>
            </w:r>
          </w:p>
        </w:tc>
        <w:tc>
          <w:tcPr>
            <w:tcW w:w="10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68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r>
      <w:tr>
        <w:trPr>
          <w:trHeight w:val="172"/>
        </w:trPr>
        <w:tc>
          <w:tcPr>
            <w:tcW w:w="74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ind w:right="56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6.2</w:t>
            </w:r>
          </w:p>
        </w:tc>
        <w:tc>
          <w:tcPr>
            <w:tcW w:w="1040" w:type="dxa"/>
            <w:vAlign w:val="bottom"/>
          </w:tcPr>
          <w:p>
            <w:pPr>
              <w:jc w:val="right"/>
              <w:ind w:right="72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2.0</w:t>
            </w:r>
          </w:p>
        </w:tc>
      </w:tr>
      <w:tr>
        <w:trPr>
          <w:trHeight w:val="189"/>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Adjustments to reconcile net income to net cash (used in) provided by operating activities: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Depreciation and amortization</w:t>
            </w:r>
          </w:p>
        </w:tc>
        <w:tc>
          <w:tcPr>
            <w:tcW w:w="6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8.7</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12.9</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Amortization of debt issuance costs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0.1</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0.1</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Equity method income</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(0.8)</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(0.4)</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Noncash lease expense</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1.8</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1.5</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Stock-based compensation</w:t>
            </w:r>
          </w:p>
        </w:tc>
        <w:tc>
          <w:tcPr>
            <w:tcW w:w="6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2.0</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1.4</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Dividends received from equity method investees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3.2</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Losses on asset impairment, disposals and sales</w:t>
            </w:r>
          </w:p>
        </w:tc>
        <w:tc>
          <w:tcPr>
            <w:tcW w:w="6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0.1</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0.2</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Deferred income taxes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(0.8)</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Unrealized gain on derivative financial instruments</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(0.1)</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Other</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(0.6)</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0.9</w:t>
            </w:r>
          </w:p>
        </w:tc>
      </w:tr>
      <w:tr>
        <w:trPr>
          <w:trHeight w:val="172"/>
        </w:trPr>
        <w:tc>
          <w:tcPr>
            <w:tcW w:w="7440" w:type="dxa"/>
            <w:vAlign w:val="bottom"/>
          </w:tcPr>
          <w:p>
            <w:pPr>
              <w:ind w:left="20"/>
              <w:spacing w:after="0"/>
              <w:rPr>
                <w:sz w:val="20"/>
                <w:szCs w:val="20"/>
                <w:color w:val="auto"/>
              </w:rPr>
            </w:pPr>
            <w:r>
              <w:rPr>
                <w:rFonts w:ascii="Arial" w:cs="Arial" w:eastAsia="Arial" w:hAnsi="Arial"/>
                <w:sz w:val="11"/>
                <w:szCs w:val="11"/>
                <w:color w:val="auto"/>
              </w:rPr>
              <w:t>Effect on cash of changes in operating assets and liabilities: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Trade accounts receivable</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(5.0)</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Grower fruit advances</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(2.0)</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Other receivables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(1.6)</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(0.7)</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Inventory</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(31.5)</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(14.8)</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Prepaid expenses and other current assets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(0.3)</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Income taxes receivable</w:t>
            </w:r>
          </w:p>
        </w:tc>
        <w:tc>
          <w:tcPr>
            <w:tcW w:w="6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4.4</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0.3</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Other assets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(4.0)</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0.1</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Accounts payable and accrued expenses</w:t>
            </w:r>
          </w:p>
        </w:tc>
        <w:tc>
          <w:tcPr>
            <w:tcW w:w="6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18.5</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4.6</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Income taxes payable</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(4.8)</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1.2</w:t>
            </w:r>
          </w:p>
        </w:tc>
      </w:tr>
      <w:tr>
        <w:trPr>
          <w:trHeight w:val="172"/>
        </w:trPr>
        <w:tc>
          <w:tcPr>
            <w:tcW w:w="7440" w:type="dxa"/>
            <w:vAlign w:val="bottom"/>
          </w:tcPr>
          <w:p>
            <w:pPr>
              <w:ind w:left="360"/>
              <w:spacing w:after="0"/>
              <w:rPr>
                <w:sz w:val="20"/>
                <w:szCs w:val="20"/>
                <w:color w:val="auto"/>
              </w:rPr>
            </w:pPr>
            <w:r>
              <w:rPr>
                <w:rFonts w:ascii="Arial" w:cs="Arial" w:eastAsia="Arial" w:hAnsi="Arial"/>
                <w:sz w:val="11"/>
                <w:szCs w:val="11"/>
                <w:color w:val="auto"/>
              </w:rPr>
              <w:t>Grower payables</w:t>
            </w:r>
          </w:p>
        </w:tc>
        <w:tc>
          <w:tcPr>
            <w:tcW w:w="6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1"/>
                <w:szCs w:val="11"/>
                <w:color w:val="auto"/>
              </w:rPr>
              <w:t>10.4</w:t>
            </w:r>
          </w:p>
        </w:tc>
        <w:tc>
          <w:tcPr>
            <w:tcW w:w="104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10.1</w:t>
            </w:r>
          </w:p>
        </w:tc>
      </w:tr>
      <w:tr>
        <w:trPr>
          <w:trHeight w:val="189"/>
        </w:trPr>
        <w:tc>
          <w:tcPr>
            <w:tcW w:w="7440" w:type="dxa"/>
            <w:vAlign w:val="bottom"/>
            <w:shd w:val="clear" w:color="auto" w:fill="DBDBDB"/>
          </w:tcPr>
          <w:p>
            <w:pPr>
              <w:ind w:left="360"/>
              <w:spacing w:after="0"/>
              <w:rPr>
                <w:sz w:val="20"/>
                <w:szCs w:val="20"/>
                <w:color w:val="auto"/>
              </w:rPr>
            </w:pPr>
            <w:r>
              <w:rPr>
                <w:rFonts w:ascii="Arial" w:cs="Arial" w:eastAsia="Arial" w:hAnsi="Arial"/>
                <w:sz w:val="11"/>
                <w:szCs w:val="11"/>
                <w:color w:val="auto"/>
              </w:rPr>
              <w:t>Operating lease liabilities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(0.9)</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(0.9)</w:t>
            </w:r>
          </w:p>
        </w:tc>
      </w:tr>
      <w:tr>
        <w:trPr>
          <w:trHeight w:val="172"/>
        </w:trPr>
        <w:tc>
          <w:tcPr>
            <w:tcW w:w="744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Other long-term liabilities</w:t>
            </w: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(1.8)</w:t>
            </w: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cash (used in) provided by operating activities</w:t>
            </w:r>
          </w:p>
        </w:tc>
        <w:tc>
          <w:tcPr>
            <w:tcW w:w="680" w:type="dxa"/>
            <w:vAlign w:val="bottom"/>
            <w:shd w:val="clear" w:color="auto" w:fill="DBDBDB"/>
          </w:tcPr>
          <w:p>
            <w:pPr>
              <w:jc w:val="right"/>
              <w:ind w:right="56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(1.2)</w:t>
            </w:r>
          </w:p>
        </w:tc>
        <w:tc>
          <w:tcPr>
            <w:tcW w:w="1040" w:type="dxa"/>
            <w:vAlign w:val="bottom"/>
            <w:shd w:val="clear" w:color="auto" w:fill="DBDBDB"/>
          </w:tcPr>
          <w:p>
            <w:pPr>
              <w:jc w:val="right"/>
              <w:ind w:right="723"/>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9.5</w:t>
            </w:r>
          </w:p>
        </w:tc>
      </w:tr>
      <w:tr>
        <w:trPr>
          <w:trHeight w:val="175"/>
        </w:trPr>
        <w:tc>
          <w:tcPr>
            <w:tcW w:w="744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Purchases of property, plant and equipment</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(14.8)</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w:t>
            </w:r>
          </w:p>
        </w:tc>
      </w:tr>
      <w:tr>
        <w:trPr>
          <w:trHeight w:val="17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(0.1)</w:t>
            </w: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cash used in investing activities</w:t>
            </w:r>
          </w:p>
        </w:tc>
        <w:tc>
          <w:tcPr>
            <w:tcW w:w="680" w:type="dxa"/>
            <w:vAlign w:val="bottom"/>
            <w:shd w:val="clear" w:color="auto" w:fill="DBDBDB"/>
          </w:tcPr>
          <w:p>
            <w:pPr>
              <w:jc w:val="right"/>
              <w:ind w:right="56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(14.9)</w:t>
            </w:r>
          </w:p>
        </w:tc>
        <w:tc>
          <w:tcPr>
            <w:tcW w:w="1040" w:type="dxa"/>
            <w:vAlign w:val="bottom"/>
            <w:shd w:val="clear" w:color="auto" w:fill="DBDBDB"/>
          </w:tcPr>
          <w:p>
            <w:pPr>
              <w:jc w:val="right"/>
              <w:ind w:right="723"/>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w:t>
            </w:r>
          </w:p>
        </w:tc>
      </w:tr>
      <w:tr>
        <w:trPr>
          <w:trHeight w:val="175"/>
        </w:trPr>
        <w:tc>
          <w:tcPr>
            <w:tcW w:w="744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Borrowings on revolving credit facility</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15.0</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15.0</w:t>
            </w:r>
          </w:p>
        </w:tc>
      </w:tr>
      <w:tr>
        <w:trPr>
          <w:trHeight w:val="172"/>
        </w:trPr>
        <w:tc>
          <w:tcPr>
            <w:tcW w:w="7440" w:type="dxa"/>
            <w:vAlign w:val="bottom"/>
          </w:tcPr>
          <w:p>
            <w:pPr>
              <w:ind w:left="20"/>
              <w:spacing w:after="0"/>
              <w:rPr>
                <w:sz w:val="20"/>
                <w:szCs w:val="20"/>
                <w:color w:val="auto"/>
              </w:rPr>
            </w:pPr>
            <w:r>
              <w:rPr>
                <w:rFonts w:ascii="Arial" w:cs="Arial" w:eastAsia="Arial" w:hAnsi="Arial"/>
                <w:sz w:val="11"/>
                <w:szCs w:val="11"/>
                <w:color w:val="auto"/>
              </w:rPr>
              <w:t>Payments on revolving credit facility</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(10.0)</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w:t>
            </w:r>
          </w:p>
        </w:tc>
      </w:tr>
      <w:tr>
        <w:trPr>
          <w:trHeight w:val="189"/>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Repayment of short-term borrowings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(3.5)</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w:t>
            </w:r>
          </w:p>
        </w:tc>
      </w:tr>
      <w:tr>
        <w:trPr>
          <w:trHeight w:val="172"/>
        </w:trPr>
        <w:tc>
          <w:tcPr>
            <w:tcW w:w="7440" w:type="dxa"/>
            <w:vAlign w:val="bottom"/>
          </w:tcPr>
          <w:p>
            <w:pPr>
              <w:ind w:left="20"/>
              <w:spacing w:after="0"/>
              <w:rPr>
                <w:sz w:val="20"/>
                <w:szCs w:val="20"/>
                <w:color w:val="auto"/>
              </w:rPr>
            </w:pPr>
            <w:r>
              <w:rPr>
                <w:rFonts w:ascii="Arial" w:cs="Arial" w:eastAsia="Arial" w:hAnsi="Arial"/>
                <w:sz w:val="11"/>
                <w:szCs w:val="11"/>
                <w:color w:val="auto"/>
              </w:rPr>
              <w:t>Principal payments on long-term debt obligations</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(0.8)</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89"/>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Principal payments on finance lease obligations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(0.1)</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w:t>
            </w:r>
          </w:p>
        </w:tc>
      </w:tr>
      <w:tr>
        <w:trPr>
          <w:trHeight w:val="172"/>
        </w:trPr>
        <w:tc>
          <w:tcPr>
            <w:tcW w:w="7440" w:type="dxa"/>
            <w:vAlign w:val="bottom"/>
          </w:tcPr>
          <w:p>
            <w:pPr>
              <w:ind w:left="20"/>
              <w:spacing w:after="0"/>
              <w:rPr>
                <w:sz w:val="20"/>
                <w:szCs w:val="20"/>
                <w:color w:val="auto"/>
              </w:rPr>
            </w:pPr>
            <w:r>
              <w:rPr>
                <w:rFonts w:ascii="Arial" w:cs="Arial" w:eastAsia="Arial" w:hAnsi="Arial"/>
                <w:sz w:val="11"/>
                <w:szCs w:val="11"/>
                <w:color w:val="auto"/>
              </w:rPr>
              <w:t>Payments for long-term supplier financing</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(0.3)</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89"/>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Principal payments on loans due to noncontrolling interest holder</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(0.5)</w:t>
            </w:r>
          </w:p>
        </w:tc>
      </w:tr>
      <w:tr>
        <w:trPr>
          <w:trHeight w:val="172"/>
        </w:trPr>
        <w:tc>
          <w:tcPr>
            <w:tcW w:w="7440" w:type="dxa"/>
            <w:vAlign w:val="bottom"/>
          </w:tcPr>
          <w:p>
            <w:pPr>
              <w:ind w:left="20"/>
              <w:spacing w:after="0"/>
              <w:rPr>
                <w:sz w:val="20"/>
                <w:szCs w:val="20"/>
                <w:color w:val="auto"/>
              </w:rPr>
            </w:pPr>
            <w:r>
              <w:rPr>
                <w:rFonts w:ascii="Arial" w:cs="Arial" w:eastAsia="Arial" w:hAnsi="Arial"/>
                <w:sz w:val="11"/>
                <w:szCs w:val="11"/>
                <w:color w:val="auto"/>
              </w:rPr>
              <w:t>Payments of minimum withholding taxes on net share settlement of equity awards</w:t>
            </w:r>
          </w:p>
        </w:tc>
        <w:tc>
          <w:tcPr>
            <w:tcW w:w="68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1"/>
                <w:szCs w:val="11"/>
                <w:color w:val="auto"/>
              </w:rPr>
              <w:t>(1.3)</w:t>
            </w:r>
          </w:p>
        </w:tc>
        <w:tc>
          <w:tcPr>
            <w:tcW w:w="10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(0.7)</w:t>
            </w:r>
          </w:p>
        </w:tc>
      </w:tr>
      <w:tr>
        <w:trPr>
          <w:trHeight w:val="189"/>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Exercise of stock options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0.3</w:t>
            </w:r>
          </w:p>
        </w:tc>
        <w:tc>
          <w:tcPr>
            <w:tcW w:w="1040" w:type="dxa"/>
            <w:vAlign w:val="bottom"/>
            <w:shd w:val="clear" w:color="auto" w:fill="DBDBDB"/>
          </w:tcPr>
          <w:p>
            <w:pPr>
              <w:spacing w:after="0"/>
              <w:rPr>
                <w:sz w:val="16"/>
                <w:szCs w:val="16"/>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Purchase and retirement of common stock</w:t>
            </w: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(0.3)</w:t>
            </w: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cash used in financing activities</w:t>
            </w:r>
          </w:p>
        </w:tc>
        <w:tc>
          <w:tcPr>
            <w:tcW w:w="680" w:type="dxa"/>
            <w:vAlign w:val="bottom"/>
            <w:shd w:val="clear" w:color="auto" w:fill="DBDBDB"/>
          </w:tcPr>
          <w:p>
            <w:pPr>
              <w:jc w:val="right"/>
              <w:ind w:right="56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(1.0)</w:t>
            </w:r>
          </w:p>
        </w:tc>
        <w:tc>
          <w:tcPr>
            <w:tcW w:w="1040" w:type="dxa"/>
            <w:vAlign w:val="bottom"/>
            <w:shd w:val="clear" w:color="auto" w:fill="DBDBDB"/>
          </w:tcPr>
          <w:p>
            <w:pPr>
              <w:jc w:val="right"/>
              <w:ind w:right="723"/>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w:t>
            </w:r>
          </w:p>
        </w:tc>
      </w:tr>
      <w:tr>
        <w:trPr>
          <w:trHeight w:val="17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Effect of exchange rate changes on cash</w:t>
            </w: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0.2</w:t>
            </w:r>
          </w:p>
        </w:tc>
      </w:tr>
      <w:tr>
        <w:trPr>
          <w:trHeight w:val="180"/>
        </w:trPr>
        <w:tc>
          <w:tcPr>
            <w:tcW w:w="7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decrease in cash, cash equivalents and restricted cash</w:t>
            </w:r>
          </w:p>
        </w:tc>
        <w:tc>
          <w:tcPr>
            <w:tcW w:w="680" w:type="dxa"/>
            <w:vAlign w:val="bottom"/>
            <w:shd w:val="clear" w:color="auto" w:fill="DBDBDB"/>
          </w:tcPr>
          <w:p>
            <w:pPr>
              <w:spacing w:after="0"/>
              <w:rPr>
                <w:sz w:val="15"/>
                <w:szCs w:val="15"/>
                <w:color w:val="auto"/>
              </w:rPr>
            </w:pPr>
          </w:p>
        </w:tc>
        <w:tc>
          <w:tcPr>
            <w:tcW w:w="11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(17.1)</w:t>
            </w:r>
          </w:p>
        </w:tc>
        <w:tc>
          <w:tcPr>
            <w:tcW w:w="10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w:t>
            </w:r>
          </w:p>
        </w:tc>
      </w:tr>
      <w:tr>
        <w:trPr>
          <w:trHeight w:val="17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Cash, cash equivalents and restricted cash, beginning of period</w:t>
            </w: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59.3</w:t>
            </w: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43.2</w:t>
            </w:r>
          </w:p>
        </w:tc>
      </w:tr>
      <w:tr>
        <w:trPr>
          <w:trHeight w:val="171"/>
        </w:trPr>
        <w:tc>
          <w:tcPr>
            <w:tcW w:w="7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Cash, cash equivalents and restricted cash, end of period</w:t>
            </w:r>
          </w:p>
        </w:tc>
        <w:tc>
          <w:tcPr>
            <w:tcW w:w="680" w:type="dxa"/>
            <w:vAlign w:val="bottom"/>
            <w:tcBorders>
              <w:bottom w:val="single" w:sz="8" w:color="auto"/>
            </w:tcBorders>
            <w:shd w:val="clear" w:color="auto" w:fill="DBDBDB"/>
          </w:tcPr>
          <w:p>
            <w:pPr>
              <w:jc w:val="right"/>
              <w:ind w:right="5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42.2</w:t>
            </w:r>
          </w:p>
        </w:tc>
        <w:tc>
          <w:tcPr>
            <w:tcW w:w="1040" w:type="dxa"/>
            <w:vAlign w:val="bottom"/>
            <w:tcBorders>
              <w:bottom w:val="single" w:sz="8" w:color="auto"/>
            </w:tcBorders>
            <w:shd w:val="clear" w:color="auto" w:fill="DBDBDB"/>
          </w:tcPr>
          <w:p>
            <w:pPr>
              <w:jc w:val="right"/>
              <w:ind w:right="72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143" w:right="439" w:bottom="1440" w:gutter="0" w:footer="0" w:header="0"/>
        </w:sectPr>
      </w:pPr>
    </w:p>
    <w:bookmarkStart w:id="9" w:name="page10"/>
    <w:bookmarkEnd w:id="9"/>
    <w:p>
      <w:pPr>
        <w:jc w:val="center"/>
        <w:ind w:left="728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28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18415</wp:posOffset>
            </wp:positionV>
            <wp:extent cx="23647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60" w:type="dxa"/>
            <w:vAlign w:val="bottom"/>
            <w:tcBorders>
              <w:bottom w:val="single" w:sz="8" w:color="auto"/>
            </w:tcBorders>
          </w:tcPr>
          <w:p>
            <w:pPr>
              <w:ind w:left="20"/>
              <w:spacing w:after="0"/>
              <w:rPr>
                <w:sz w:val="20"/>
                <w:szCs w:val="20"/>
                <w:color w:val="auto"/>
              </w:rPr>
            </w:pPr>
            <w:r>
              <w:rPr>
                <w:rFonts w:ascii="Calibri" w:cs="Calibri" w:eastAsia="Calibri" w:hAnsi="Calibri"/>
                <w:sz w:val="11"/>
                <w:szCs w:val="11"/>
                <w:color w:val="auto"/>
              </w:rPr>
              <w:t>(In millions)</w:t>
            </w:r>
          </w:p>
        </w:tc>
        <w:tc>
          <w:tcPr>
            <w:tcW w:w="1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686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Summary of cash, cash equivalents and restricted cash reported within the condensed consolidated balance sheets:</w:t>
            </w:r>
          </w:p>
        </w:tc>
        <w:tc>
          <w:tcPr>
            <w:tcW w:w="12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172"/>
        </w:trPr>
        <w:tc>
          <w:tcPr>
            <w:tcW w:w="686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128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143"/>
              <w:spacing w:after="0"/>
              <w:rPr>
                <w:sz w:val="20"/>
                <w:szCs w:val="20"/>
                <w:color w:val="auto"/>
              </w:rPr>
            </w:pPr>
            <w:r>
              <w:rPr>
                <w:rFonts w:ascii="Arial" w:cs="Arial" w:eastAsia="Arial" w:hAnsi="Arial"/>
                <w:sz w:val="11"/>
                <w:szCs w:val="11"/>
                <w:color w:val="auto"/>
              </w:rPr>
              <w:t>40.1</w:t>
            </w:r>
          </w:p>
        </w:tc>
        <w:tc>
          <w:tcPr>
            <w:tcW w:w="92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39.9</w:t>
            </w:r>
          </w:p>
        </w:tc>
      </w:tr>
      <w:tr>
        <w:trPr>
          <w:trHeight w:val="180"/>
        </w:trPr>
        <w:tc>
          <w:tcPr>
            <w:tcW w:w="6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128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2.1</w:t>
            </w:r>
          </w:p>
        </w:tc>
        <w:tc>
          <w:tcPr>
            <w:tcW w:w="9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0.6</w:t>
            </w:r>
          </w:p>
        </w:tc>
      </w:tr>
      <w:tr>
        <w:trPr>
          <w:trHeight w:val="17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cash, cash equivalents, and restricted cash shown in the condensed consolidated statements of cash flows</w:t>
            </w:r>
          </w:p>
        </w:tc>
        <w:tc>
          <w:tcPr>
            <w:tcW w:w="12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42.2</w:t>
            </w:r>
          </w:p>
        </w:tc>
        <w:tc>
          <w:tcPr>
            <w:tcW w:w="9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40.5</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194" w:right="4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General</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w:t>
      </w:r>
    </w:p>
    <w:p>
      <w:pPr>
        <w:spacing w:after="0" w:line="173" w:lineRule="exact"/>
        <w:rPr>
          <w:sz w:val="20"/>
          <w:szCs w:val="20"/>
          <w:color w:val="auto"/>
        </w:rPr>
      </w:pPr>
    </w:p>
    <w:p>
      <w:pPr>
        <w:ind w:right="80" w:firstLine="509"/>
        <w:spacing w:after="0" w:line="275" w:lineRule="auto"/>
        <w:rPr>
          <w:sz w:val="20"/>
          <w:szCs w:val="20"/>
          <w:color w:val="auto"/>
        </w:rPr>
      </w:pPr>
      <w:r>
        <w:rPr>
          <w:rFonts w:ascii="Arial" w:cs="Arial" w:eastAsia="Arial" w:hAnsi="Arial"/>
          <w:sz w:val="11"/>
          <w:szCs w:val="11"/>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&amp; Distribution, International Farming and Blueberries (see Note 12).</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consolidation</w:t>
      </w:r>
    </w:p>
    <w:p>
      <w:pPr>
        <w:spacing w:after="0" w:line="173" w:lineRule="exact"/>
        <w:rPr>
          <w:sz w:val="20"/>
          <w:szCs w:val="20"/>
          <w:color w:val="auto"/>
        </w:rPr>
      </w:pPr>
    </w:p>
    <w:p>
      <w:pPr>
        <w:ind w:right="160" w:firstLine="509"/>
        <w:spacing w:after="0" w:line="265" w:lineRule="auto"/>
        <w:rPr>
          <w:sz w:val="20"/>
          <w:szCs w:val="20"/>
          <w:color w:val="auto"/>
        </w:rPr>
      </w:pPr>
      <w:r>
        <w:rPr>
          <w:rFonts w:ascii="Arial" w:cs="Arial" w:eastAsia="Arial" w:hAnsi="Arial"/>
          <w:sz w:val="11"/>
          <w:szCs w:val="11"/>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2024.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2025.</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and disclosure standards</w:t>
      </w:r>
    </w:p>
    <w:p>
      <w:pPr>
        <w:spacing w:after="0" w:line="173"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In November 2024, and as updated in January 2025, the Financial Accounting Standards Board (“FASB”) issued Accounting Standards Update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(2) retrospectively to any or all prior periods presented in the financial statements. We are currently evaluating the impact of adoption on our financial disclosures.</w:t>
      </w:r>
    </w:p>
    <w:p>
      <w:pPr>
        <w:spacing w:after="0" w:line="171" w:lineRule="exact"/>
        <w:rPr>
          <w:sz w:val="20"/>
          <w:szCs w:val="20"/>
          <w:color w:val="auto"/>
        </w:rPr>
      </w:pPr>
    </w:p>
    <w:p>
      <w:pPr>
        <w:ind w:right="20" w:firstLine="509"/>
        <w:spacing w:after="0" w:line="275" w:lineRule="auto"/>
        <w:rPr>
          <w:sz w:val="20"/>
          <w:szCs w:val="20"/>
          <w:color w:val="auto"/>
        </w:rPr>
      </w:pPr>
      <w:r>
        <w:rPr>
          <w:rFonts w:ascii="Arial" w:cs="Arial" w:eastAsia="Arial" w:hAnsi="Arial"/>
          <w:sz w:val="11"/>
          <w:szCs w:val="11"/>
          <w:color w:val="auto"/>
        </w:rPr>
        <w:t>In March 2024, the Securities and Exchange Commission ("SEC") adopted final climate-related disclosure rules that will require registrants to disclose (subject to materiality conditions): climate-related risks, material direct greenhouse gas emissions, and the effects of severe weather events and other natural conditions. Adoption is required on a phase-in basis with respect to annual periods beginning in calendar year 2025 (the Company's fiscal year 2026). In April 2024, the SEC issued a stay on the rules, pending the completion of judicial review of the U.S. Court of Appeals of the Eighth Circuit. We are currently monitoring the status of the judicial review and we are evaluating the impact of the rules on our financial disclosures.</w:t>
      </w:r>
    </w:p>
    <w:p>
      <w:pPr>
        <w:spacing w:after="0" w:line="131" w:lineRule="exact"/>
        <w:rPr>
          <w:sz w:val="20"/>
          <w:szCs w:val="20"/>
          <w:color w:val="auto"/>
        </w:rPr>
      </w:pPr>
    </w:p>
    <w:p>
      <w:pPr>
        <w:ind w:right="40" w:firstLine="509"/>
        <w:spacing w:after="0" w:line="274" w:lineRule="auto"/>
        <w:rPr>
          <w:sz w:val="20"/>
          <w:szCs w:val="20"/>
          <w:color w:val="auto"/>
        </w:rPr>
      </w:pPr>
      <w:r>
        <w:rPr>
          <w:rFonts w:ascii="Arial" w:cs="Arial" w:eastAsia="Arial" w:hAnsi="Arial"/>
          <w:sz w:val="11"/>
          <w:szCs w:val="11"/>
          <w:color w:val="auto"/>
        </w:rPr>
        <w:t>In December 2023, the Financial Accounting Standards Board (“FASB”) issued Accounting Standards Update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pacing w:after="0" w:line="27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1"/>
          <w:szCs w:val="11"/>
          <w:color w:val="auto"/>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w:t>
        <w:tab/>
        <w:t>Inventory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80" w:type="dxa"/>
            <w:vAlign w:val="bottom"/>
          </w:tcPr>
          <w:p>
            <w:pPr>
              <w:ind w:left="520"/>
              <w:spacing w:after="0"/>
              <w:rPr>
                <w:sz w:val="20"/>
                <w:szCs w:val="20"/>
                <w:color w:val="auto"/>
              </w:rPr>
            </w:pPr>
            <w:r>
              <w:rPr>
                <w:rFonts w:ascii="Arial" w:cs="Arial" w:eastAsia="Arial" w:hAnsi="Arial"/>
                <w:sz w:val="11"/>
                <w:szCs w:val="11"/>
                <w:color w:val="auto"/>
              </w:rPr>
              <w:t>Major classes of inventory were as follows:</w:t>
            </w:r>
          </w:p>
        </w:tc>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8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January 31, 2025</w:t>
            </w: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2024</w:t>
            </w:r>
          </w:p>
        </w:tc>
      </w:tr>
      <w:tr>
        <w:trPr>
          <w:trHeight w:val="174"/>
        </w:trPr>
        <w:tc>
          <w:tcPr>
            <w:tcW w:w="5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Finished goods</w:t>
            </w:r>
          </w:p>
        </w:tc>
        <w:tc>
          <w:tcPr>
            <w:tcW w:w="292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64.7</w:t>
            </w:r>
          </w:p>
        </w:tc>
        <w:tc>
          <w:tcPr>
            <w:tcW w:w="54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45.1</w:t>
            </w:r>
          </w:p>
        </w:tc>
      </w:tr>
      <w:tr>
        <w:trPr>
          <w:trHeight w:val="172"/>
        </w:trPr>
        <w:tc>
          <w:tcPr>
            <w:tcW w:w="5180" w:type="dxa"/>
            <w:vAlign w:val="bottom"/>
          </w:tcPr>
          <w:p>
            <w:pPr>
              <w:ind w:left="20"/>
              <w:spacing w:after="0"/>
              <w:rPr>
                <w:sz w:val="20"/>
                <w:szCs w:val="20"/>
                <w:color w:val="auto"/>
              </w:rPr>
            </w:pPr>
            <w:r>
              <w:rPr>
                <w:rFonts w:ascii="Arial" w:cs="Arial" w:eastAsia="Arial" w:hAnsi="Arial"/>
                <w:sz w:val="11"/>
                <w:szCs w:val="11"/>
                <w:color w:val="auto"/>
              </w:rPr>
              <w:t>Crop growing costs</w:t>
            </w:r>
          </w:p>
        </w:tc>
        <w:tc>
          <w:tcPr>
            <w:tcW w:w="2920" w:type="dxa"/>
            <w:vAlign w:val="bottom"/>
          </w:tcPr>
          <w:p>
            <w:pPr>
              <w:spacing w:after="0"/>
              <w:rPr>
                <w:sz w:val="14"/>
                <w:szCs w:val="14"/>
                <w:color w:val="auto"/>
              </w:rPr>
            </w:pPr>
          </w:p>
        </w:tc>
        <w:tc>
          <w:tcPr>
            <w:tcW w:w="1380" w:type="dxa"/>
            <w:vAlign w:val="bottom"/>
          </w:tcPr>
          <w:p>
            <w:pPr>
              <w:jc w:val="right"/>
              <w:ind w:right="123"/>
              <w:spacing w:after="0"/>
              <w:rPr>
                <w:sz w:val="20"/>
                <w:szCs w:val="20"/>
                <w:color w:val="auto"/>
              </w:rPr>
            </w:pPr>
            <w:r>
              <w:rPr>
                <w:rFonts w:ascii="Arial" w:cs="Arial" w:eastAsia="Arial" w:hAnsi="Arial"/>
                <w:sz w:val="11"/>
                <w:szCs w:val="11"/>
                <w:color w:val="auto"/>
              </w:rPr>
              <w:t>40.6</w:t>
            </w:r>
          </w:p>
        </w:tc>
        <w:tc>
          <w:tcPr>
            <w:tcW w:w="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27.1</w:t>
            </w:r>
          </w:p>
        </w:tc>
      </w:tr>
      <w:tr>
        <w:trPr>
          <w:trHeight w:val="180"/>
        </w:trPr>
        <w:tc>
          <w:tcPr>
            <w:tcW w:w="5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Packaging and supplies</w:t>
            </w:r>
          </w:p>
        </w:tc>
        <w:tc>
          <w:tcPr>
            <w:tcW w:w="292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17.4</w:t>
            </w:r>
          </w:p>
        </w:tc>
        <w:tc>
          <w:tcPr>
            <w:tcW w:w="54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19.0</w:t>
            </w:r>
          </w:p>
        </w:tc>
      </w:tr>
      <w:tr>
        <w:trPr>
          <w:trHeight w:val="17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Inventory</w:t>
            </w:r>
          </w:p>
        </w:tc>
        <w:tc>
          <w:tcPr>
            <w:tcW w:w="29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122.7</w:t>
            </w:r>
          </w:p>
        </w:tc>
        <w:tc>
          <w:tcPr>
            <w:tcW w:w="5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91.2</w:t>
            </w:r>
          </w:p>
        </w:tc>
      </w:tr>
    </w:tbl>
    <w:p>
      <w:pPr>
        <w:spacing w:after="0" w:line="272"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3.</w:t>
        <w:tab/>
        <w:t>Goodwill and Intangible Asset, net</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International Farming</w:t>
            </w: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Blueberries</w:t>
            </w: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98"/>
              </w:rPr>
              <w:t>Total</w:t>
            </w:r>
          </w:p>
        </w:tc>
      </w:tr>
      <w:tr>
        <w:trPr>
          <w:trHeight w:val="166"/>
        </w:trPr>
        <w:tc>
          <w:tcPr>
            <w:tcW w:w="4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Goodwill as of January 31, 2025 and October 31, 2024</w:t>
            </w:r>
          </w:p>
        </w:tc>
        <w:tc>
          <w:tcPr>
            <w:tcW w:w="188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14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26.9</w:t>
            </w:r>
          </w:p>
        </w:tc>
        <w:tc>
          <w:tcPr>
            <w:tcW w:w="64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12.5</w:t>
            </w:r>
          </w:p>
        </w:tc>
        <w:tc>
          <w:tcPr>
            <w:tcW w:w="800" w:type="dxa"/>
            <w:vAlign w:val="bottom"/>
            <w:tcBorders>
              <w:bottom w:val="single" w:sz="8" w:color="auto"/>
            </w:tcBorders>
            <w:shd w:val="clear" w:color="auto" w:fill="DBDBDB"/>
          </w:tcPr>
          <w:p>
            <w:pPr>
              <w:jc w:val="right"/>
              <w:ind w:right="6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ind w:left="680"/>
              <w:spacing w:after="0"/>
              <w:rPr>
                <w:sz w:val="20"/>
                <w:szCs w:val="20"/>
                <w:color w:val="auto"/>
              </w:rPr>
            </w:pPr>
            <w:r>
              <w:rPr>
                <w:rFonts w:ascii="Arial" w:cs="Arial" w:eastAsia="Arial" w:hAnsi="Arial"/>
                <w:sz w:val="11"/>
                <w:szCs w:val="11"/>
                <w:color w:val="auto"/>
              </w:rPr>
              <w:t>39.4</w:t>
            </w:r>
          </w:p>
        </w:tc>
      </w:tr>
    </w:tbl>
    <w:p>
      <w:pPr>
        <w:spacing w:after="0" w:line="227" w:lineRule="exact"/>
        <w:rPr>
          <w:sz w:val="20"/>
          <w:szCs w:val="20"/>
          <w:color w:val="auto"/>
        </w:rPr>
      </w:pPr>
    </w:p>
    <w:p>
      <w:pPr>
        <w:ind w:right="180" w:firstLine="509"/>
        <w:spacing w:after="0" w:line="303" w:lineRule="auto"/>
        <w:rPr>
          <w:sz w:val="20"/>
          <w:szCs w:val="20"/>
          <w:color w:val="auto"/>
        </w:rPr>
      </w:pPr>
      <w:r>
        <w:rPr>
          <w:rFonts w:ascii="Arial" w:cs="Arial" w:eastAsia="Arial" w:hAnsi="Arial"/>
          <w:sz w:val="11"/>
          <w:szCs w:val="11"/>
          <w:color w:val="auto"/>
        </w:rPr>
        <w:t>The carrying amounts of goodwill as of January 31, 2025 and October 31, 2024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 net</w:t>
      </w:r>
    </w:p>
    <w:p>
      <w:pPr>
        <w:spacing w:after="0" w:line="184" w:lineRule="exact"/>
        <w:rPr>
          <w:sz w:val="20"/>
          <w:szCs w:val="20"/>
          <w:color w:val="auto"/>
        </w:rPr>
      </w:pPr>
    </w:p>
    <w:p>
      <w:pPr>
        <w:ind w:right="320" w:firstLine="509"/>
        <w:spacing w:after="0" w:line="303" w:lineRule="auto"/>
        <w:rPr>
          <w:sz w:val="20"/>
          <w:szCs w:val="20"/>
          <w:color w:val="auto"/>
        </w:rPr>
      </w:pPr>
      <w:r>
        <w:rPr>
          <w:rFonts w:ascii="Arial" w:cs="Arial" w:eastAsia="Arial" w:hAnsi="Arial"/>
          <w:sz w:val="11"/>
          <w:szCs w:val="11"/>
          <w:color w:val="auto"/>
        </w:rPr>
        <w:t>As of January 31, 2025 and October 31, 2024, our intangible asset was fully-amortized. Amortization expense was $0.3 million for the three months ended January 31, 2024, and included in selling, general and administrative expenses.</w:t>
      </w:r>
    </w:p>
    <w:p>
      <w:pPr>
        <w:spacing w:after="0" w:line="150"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4.</w:t>
        <w:tab/>
        <w:t>Details of Certain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Accrued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January 31, 2025</w:t>
            </w: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2024</w:t>
            </w:r>
          </w:p>
        </w:tc>
      </w:tr>
      <w:tr>
        <w:trPr>
          <w:trHeight w:val="174"/>
        </w:trPr>
        <w:tc>
          <w:tcPr>
            <w:tcW w:w="4400" w:type="dxa"/>
            <w:vAlign w:val="bottom"/>
            <w:shd w:val="clear" w:color="auto" w:fill="DBDBDB"/>
          </w:tcPr>
          <w:p>
            <w:pPr>
              <w:ind w:left="20"/>
              <w:spacing w:after="0"/>
              <w:rPr>
                <w:sz w:val="20"/>
                <w:szCs w:val="20"/>
                <w:color w:val="auto"/>
              </w:rPr>
            </w:pPr>
            <w:r>
              <w:rPr>
                <w:rFonts w:ascii="Arial" w:cs="Arial" w:eastAsia="Arial" w:hAnsi="Arial"/>
                <w:sz w:val="11"/>
                <w:szCs w:val="11"/>
                <w:color w:val="auto"/>
              </w:rPr>
              <w:t>Employee-related</w:t>
            </w:r>
          </w:p>
        </w:tc>
        <w:tc>
          <w:tcPr>
            <w:tcW w:w="370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26.7</w:t>
            </w:r>
          </w:p>
        </w:tc>
        <w:tc>
          <w:tcPr>
            <w:tcW w:w="54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22.1</w:t>
            </w:r>
          </w:p>
        </w:tc>
      </w:tr>
      <w:tr>
        <w:trPr>
          <w:trHeight w:val="172"/>
        </w:trPr>
        <w:tc>
          <w:tcPr>
            <w:tcW w:w="4400" w:type="dxa"/>
            <w:vAlign w:val="bottom"/>
          </w:tcPr>
          <w:p>
            <w:pPr>
              <w:ind w:left="20"/>
              <w:spacing w:after="0"/>
              <w:rPr>
                <w:sz w:val="20"/>
                <w:szCs w:val="20"/>
                <w:color w:val="auto"/>
              </w:rPr>
            </w:pPr>
            <w:r>
              <w:rPr>
                <w:rFonts w:ascii="Arial" w:cs="Arial" w:eastAsia="Arial" w:hAnsi="Arial"/>
                <w:sz w:val="11"/>
                <w:szCs w:val="11"/>
                <w:color w:val="auto"/>
              </w:rPr>
              <w:t>Freight</w:t>
            </w:r>
          </w:p>
        </w:tc>
        <w:tc>
          <w:tcPr>
            <w:tcW w:w="3700" w:type="dxa"/>
            <w:vAlign w:val="bottom"/>
          </w:tcPr>
          <w:p>
            <w:pPr>
              <w:spacing w:after="0"/>
              <w:rPr>
                <w:sz w:val="14"/>
                <w:szCs w:val="14"/>
                <w:color w:val="auto"/>
              </w:rPr>
            </w:pPr>
          </w:p>
        </w:tc>
        <w:tc>
          <w:tcPr>
            <w:tcW w:w="1380" w:type="dxa"/>
            <w:vAlign w:val="bottom"/>
          </w:tcPr>
          <w:p>
            <w:pPr>
              <w:jc w:val="right"/>
              <w:ind w:right="123"/>
              <w:spacing w:after="0"/>
              <w:rPr>
                <w:sz w:val="20"/>
                <w:szCs w:val="20"/>
                <w:color w:val="auto"/>
              </w:rPr>
            </w:pPr>
            <w:r>
              <w:rPr>
                <w:rFonts w:ascii="Arial" w:cs="Arial" w:eastAsia="Arial" w:hAnsi="Arial"/>
                <w:sz w:val="11"/>
                <w:szCs w:val="11"/>
                <w:color w:val="auto"/>
              </w:rPr>
              <w:t>7.0</w:t>
            </w:r>
          </w:p>
        </w:tc>
        <w:tc>
          <w:tcPr>
            <w:tcW w:w="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189"/>
        </w:trPr>
        <w:tc>
          <w:tcPr>
            <w:tcW w:w="4400" w:type="dxa"/>
            <w:vAlign w:val="bottom"/>
            <w:shd w:val="clear" w:color="auto" w:fill="DBDBDB"/>
          </w:tcPr>
          <w:p>
            <w:pPr>
              <w:ind w:left="20"/>
              <w:spacing w:after="0"/>
              <w:rPr>
                <w:sz w:val="20"/>
                <w:szCs w:val="20"/>
                <w:color w:val="auto"/>
              </w:rPr>
            </w:pPr>
            <w:r>
              <w:rPr>
                <w:rFonts w:ascii="Arial" w:cs="Arial" w:eastAsia="Arial" w:hAnsi="Arial"/>
                <w:sz w:val="11"/>
                <w:szCs w:val="11"/>
                <w:color w:val="auto"/>
              </w:rPr>
              <w:t>Outside fruit purchase</w:t>
            </w:r>
          </w:p>
        </w:tc>
        <w:tc>
          <w:tcPr>
            <w:tcW w:w="3700" w:type="dxa"/>
            <w:vAlign w:val="bottom"/>
            <w:shd w:val="clear" w:color="auto" w:fill="DBDBDB"/>
          </w:tcPr>
          <w:p>
            <w:pPr>
              <w:spacing w:after="0"/>
              <w:rPr>
                <w:sz w:val="16"/>
                <w:szCs w:val="16"/>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7.0</w:t>
            </w:r>
          </w:p>
        </w:tc>
        <w:tc>
          <w:tcPr>
            <w:tcW w:w="5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w:t>
            </w:r>
          </w:p>
        </w:tc>
      </w:tr>
      <w:tr>
        <w:trPr>
          <w:trHeight w:val="17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3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5.6</w:t>
            </w: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r>
      <w:tr>
        <w:trPr>
          <w:trHeight w:val="171"/>
        </w:trPr>
        <w:tc>
          <w:tcPr>
            <w:tcW w:w="44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Accrued expenses</w:t>
            </w:r>
          </w:p>
        </w:tc>
        <w:tc>
          <w:tcPr>
            <w:tcW w:w="370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46.3</w:t>
            </w:r>
          </w:p>
        </w:tc>
        <w:tc>
          <w:tcPr>
            <w:tcW w:w="54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39.9</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long-term liabilities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January 31, 2025</w:t>
            </w: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2024</w:t>
            </w:r>
          </w:p>
        </w:tc>
      </w:tr>
      <w:tr>
        <w:trPr>
          <w:trHeight w:val="174"/>
        </w:trPr>
        <w:tc>
          <w:tcPr>
            <w:tcW w:w="5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Uncertain tax positions</w:t>
            </w:r>
            <w:r>
              <w:rPr>
                <w:rFonts w:ascii="Arial" w:cs="Arial" w:eastAsia="Arial" w:hAnsi="Arial"/>
                <w:sz w:val="14"/>
                <w:szCs w:val="14"/>
                <w:color w:val="auto"/>
                <w:vertAlign w:val="superscript"/>
              </w:rPr>
              <w:t>(1)</w:t>
            </w:r>
          </w:p>
        </w:tc>
        <w:tc>
          <w:tcPr>
            <w:tcW w:w="302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17.6</w:t>
            </w:r>
          </w:p>
        </w:tc>
        <w:tc>
          <w:tcPr>
            <w:tcW w:w="54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17.9</w:t>
            </w:r>
          </w:p>
        </w:tc>
      </w:tr>
      <w:tr>
        <w:trPr>
          <w:trHeight w:val="172"/>
        </w:trPr>
        <w:tc>
          <w:tcPr>
            <w:tcW w:w="5080" w:type="dxa"/>
            <w:vAlign w:val="bottom"/>
          </w:tcPr>
          <w:p>
            <w:pPr>
              <w:ind w:left="20"/>
              <w:spacing w:after="0"/>
              <w:rPr>
                <w:sz w:val="20"/>
                <w:szCs w:val="20"/>
                <w:color w:val="auto"/>
              </w:rPr>
            </w:pPr>
            <w:r>
              <w:rPr>
                <w:rFonts w:ascii="Arial" w:cs="Arial" w:eastAsia="Arial" w:hAnsi="Arial"/>
                <w:sz w:val="11"/>
                <w:szCs w:val="11"/>
                <w:color w:val="auto"/>
              </w:rPr>
              <w:t>Employee-related</w:t>
            </w:r>
          </w:p>
        </w:tc>
        <w:tc>
          <w:tcPr>
            <w:tcW w:w="3020" w:type="dxa"/>
            <w:vAlign w:val="bottom"/>
          </w:tcPr>
          <w:p>
            <w:pPr>
              <w:spacing w:after="0"/>
              <w:rPr>
                <w:sz w:val="14"/>
                <w:szCs w:val="14"/>
                <w:color w:val="auto"/>
              </w:rPr>
            </w:pPr>
          </w:p>
        </w:tc>
        <w:tc>
          <w:tcPr>
            <w:tcW w:w="1380" w:type="dxa"/>
            <w:vAlign w:val="bottom"/>
          </w:tcPr>
          <w:p>
            <w:pPr>
              <w:jc w:val="right"/>
              <w:ind w:right="123"/>
              <w:spacing w:after="0"/>
              <w:rPr>
                <w:sz w:val="20"/>
                <w:szCs w:val="20"/>
                <w:color w:val="auto"/>
              </w:rPr>
            </w:pPr>
            <w:r>
              <w:rPr>
                <w:rFonts w:ascii="Arial" w:cs="Arial" w:eastAsia="Arial" w:hAnsi="Arial"/>
                <w:sz w:val="11"/>
                <w:szCs w:val="11"/>
                <w:color w:val="auto"/>
              </w:rPr>
              <w:t>2.2</w:t>
            </w:r>
          </w:p>
        </w:tc>
        <w:tc>
          <w:tcPr>
            <w:tcW w:w="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89"/>
        </w:trPr>
        <w:tc>
          <w:tcPr>
            <w:tcW w:w="5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Trade payables to noncontrolling interest holders</w:t>
            </w:r>
          </w:p>
        </w:tc>
        <w:tc>
          <w:tcPr>
            <w:tcW w:w="3020" w:type="dxa"/>
            <w:vAlign w:val="bottom"/>
            <w:shd w:val="clear" w:color="auto" w:fill="DBDBDB"/>
          </w:tcPr>
          <w:p>
            <w:pPr>
              <w:spacing w:after="0"/>
              <w:rPr>
                <w:sz w:val="16"/>
                <w:szCs w:val="16"/>
                <w:color w:val="auto"/>
              </w:rPr>
            </w:pP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1.7</w:t>
            </w:r>
          </w:p>
        </w:tc>
        <w:tc>
          <w:tcPr>
            <w:tcW w:w="5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w:t>
            </w:r>
          </w:p>
        </w:tc>
      </w:tr>
      <w:tr>
        <w:trPr>
          <w:trHeight w:val="17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3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2.1</w:t>
            </w: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r>
      <w:tr>
        <w:trPr>
          <w:trHeight w:val="171"/>
        </w:trPr>
        <w:tc>
          <w:tcPr>
            <w:tcW w:w="5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 long-term liabilities</w:t>
            </w:r>
          </w:p>
        </w:tc>
        <w:tc>
          <w:tcPr>
            <w:tcW w:w="302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23.6</w:t>
            </w:r>
          </w:p>
        </w:tc>
        <w:tc>
          <w:tcPr>
            <w:tcW w:w="54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26.0</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(1)Includes uncertain tax positions related to both income taxes and other statutory tax reserves, plus related penalties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(expense), net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00" w:type="dxa"/>
            <w:vAlign w:val="bottom"/>
            <w:gridSpan w:val="2"/>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1"/>
                <w:szCs w:val="11"/>
                <w:color w:val="auto"/>
              </w:rPr>
            </w:pPr>
          </w:p>
        </w:tc>
      </w:tr>
      <w:tr>
        <w:trPr>
          <w:trHeight w:val="160"/>
        </w:trPr>
        <w:tc>
          <w:tcPr>
            <w:tcW w:w="78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b w:val="1"/>
                <w:bCs w:val="1"/>
                <w:color w:val="auto"/>
              </w:rPr>
              <w:t>January 31,</w:t>
            </w:r>
          </w:p>
        </w:tc>
        <w:tc>
          <w:tcPr>
            <w:tcW w:w="760" w:type="dxa"/>
            <w:vAlign w:val="bottom"/>
            <w:tcBorders>
              <w:bottom w:val="single" w:sz="8" w:color="auto"/>
            </w:tcBorders>
          </w:tcPr>
          <w:p>
            <w:pPr>
              <w:spacing w:after="0"/>
              <w:rPr>
                <w:sz w:val="13"/>
                <w:szCs w:val="13"/>
                <w:color w:val="auto"/>
              </w:rPr>
            </w:pPr>
          </w:p>
        </w:tc>
      </w:tr>
      <w:tr>
        <w:trPr>
          <w:trHeight w:val="17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4"/>
        </w:trPr>
        <w:tc>
          <w:tcPr>
            <w:tcW w:w="7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Gains on derivative financial instruments</w:t>
            </w:r>
          </w:p>
        </w:tc>
        <w:tc>
          <w:tcPr>
            <w:tcW w:w="620" w:type="dxa"/>
            <w:vAlign w:val="bottom"/>
            <w:shd w:val="clear" w:color="auto" w:fill="DBDBDB"/>
          </w:tcPr>
          <w:p>
            <w:pPr>
              <w:jc w:val="right"/>
              <w:ind w:right="5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0.1</w:t>
            </w:r>
          </w:p>
        </w:tc>
        <w:tc>
          <w:tcPr>
            <w:tcW w:w="1000" w:type="dxa"/>
            <w:vAlign w:val="bottom"/>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7800" w:type="dxa"/>
            <w:vAlign w:val="bottom"/>
          </w:tcPr>
          <w:p>
            <w:pPr>
              <w:ind w:left="20"/>
              <w:spacing w:after="0"/>
              <w:rPr>
                <w:sz w:val="20"/>
                <w:szCs w:val="20"/>
                <w:color w:val="auto"/>
              </w:rPr>
            </w:pPr>
            <w:r>
              <w:rPr>
                <w:rFonts w:ascii="Arial" w:cs="Arial" w:eastAsia="Arial" w:hAnsi="Arial"/>
                <w:sz w:val="11"/>
                <w:szCs w:val="11"/>
                <w:color w:val="auto"/>
              </w:rPr>
              <w:t>Foreign currency transaction gain (loss)</w:t>
            </w:r>
          </w:p>
        </w:tc>
        <w:tc>
          <w:tcPr>
            <w:tcW w:w="620" w:type="dxa"/>
            <w:vAlign w:val="bottom"/>
          </w:tcPr>
          <w:p>
            <w:pPr>
              <w:spacing w:after="0"/>
              <w:rPr>
                <w:sz w:val="14"/>
                <w:szCs w:val="14"/>
                <w:color w:val="auto"/>
              </w:rPr>
            </w:pP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1.1</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89"/>
        </w:trPr>
        <w:tc>
          <w:tcPr>
            <w:tcW w:w="7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Interest income</w:t>
            </w:r>
          </w:p>
        </w:tc>
        <w:tc>
          <w:tcPr>
            <w:tcW w:w="62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0.3</w:t>
            </w:r>
          </w:p>
        </w:tc>
        <w:tc>
          <w:tcPr>
            <w:tcW w:w="10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w:t>
            </w:r>
          </w:p>
        </w:tc>
      </w:tr>
      <w:tr>
        <w:trPr>
          <w:trHeight w:val="172"/>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r>
      <w:tr>
        <w:trPr>
          <w:trHeight w:val="171"/>
        </w:trPr>
        <w:tc>
          <w:tcPr>
            <w:tcW w:w="7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 income (expense), net</w:t>
            </w:r>
          </w:p>
        </w:tc>
        <w:tc>
          <w:tcPr>
            <w:tcW w:w="62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1.5</w:t>
            </w:r>
          </w:p>
        </w:tc>
        <w:tc>
          <w:tcPr>
            <w:tcW w:w="1000" w:type="dxa"/>
            <w:vAlign w:val="bottom"/>
            <w:tcBorders>
              <w:bottom w:val="single" w:sz="8" w:color="auto"/>
            </w:tcBorders>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amounts attributable to noncontrolling interest holders</w:t>
      </w:r>
    </w:p>
    <w:p>
      <w:pPr>
        <w:spacing w:after="0" w:line="184" w:lineRule="exact"/>
        <w:rPr>
          <w:sz w:val="20"/>
          <w:szCs w:val="20"/>
          <w:color w:val="auto"/>
        </w:rPr>
      </w:pPr>
    </w:p>
    <w:p>
      <w:pPr>
        <w:ind w:right="380" w:firstLine="509"/>
        <w:spacing w:after="0" w:line="303" w:lineRule="auto"/>
        <w:rPr>
          <w:sz w:val="20"/>
          <w:szCs w:val="20"/>
          <w:color w:val="auto"/>
        </w:rPr>
      </w:pPr>
      <w:r>
        <w:rPr>
          <w:rFonts w:ascii="Arial" w:cs="Arial" w:eastAsia="Arial" w:hAnsi="Arial"/>
          <w:sz w:val="11"/>
          <w:szCs w:val="11"/>
          <w:color w:val="auto"/>
        </w:rPr>
        <w:t>Amounts included in trade accounts receivable due from noncontrolling interest holders were $4.9 million and $5.1 million as of January 31, 2025 and October 31, 2024, respectively. Amounts included in trade accounts payable due to noncontrolling interest holders were $9.4 million and $2.6 million as of January 31, 2025 and October 31, 2024, respectively.</w:t>
      </w:r>
    </w:p>
    <w:p>
      <w:pPr>
        <w:spacing w:after="0" w:line="150" w:lineRule="exact"/>
        <w:rPr>
          <w:sz w:val="20"/>
          <w:szCs w:val="20"/>
          <w:color w:val="auto"/>
        </w:rPr>
      </w:pPr>
    </w:p>
    <w:p>
      <w:pPr>
        <w:ind w:left="360" w:hanging="355"/>
        <w:spacing w:after="0"/>
        <w:tabs>
          <w:tab w:leader="none" w:pos="36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Entity</w:t>
      </w:r>
    </w:p>
    <w:p>
      <w:pPr>
        <w:spacing w:after="0" w:line="187" w:lineRule="exact"/>
        <w:rPr>
          <w:sz w:val="20"/>
          <w:szCs w:val="20"/>
          <w:color w:val="auto"/>
        </w:rPr>
      </w:pPr>
    </w:p>
    <w:p>
      <w:pPr>
        <w:ind w:right="240" w:firstLine="509"/>
        <w:spacing w:after="0" w:line="303" w:lineRule="auto"/>
        <w:rPr>
          <w:sz w:val="20"/>
          <w:szCs w:val="20"/>
          <w:color w:val="auto"/>
        </w:rPr>
      </w:pPr>
      <w:r>
        <w:rPr>
          <w:rFonts w:ascii="Arial" w:cs="Arial" w:eastAsia="Arial" w:hAnsi="Arial"/>
          <w:sz w:val="11"/>
          <w:szCs w:val="11"/>
          <w:color w:val="auto"/>
        </w:rPr>
        <w:t>Assets of our variable interest in our blueberry joint-venture entity Moruga, may only be used to settle its own liabilities and creditors of Moruga only have recourse for the liabilities of Moruga. A summary of these balances, which are wholly included in our condensed consolidated balance sheets,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7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January 31, 2025</w:t>
            </w:r>
          </w:p>
        </w:tc>
        <w:tc>
          <w:tcPr>
            <w:tcW w:w="6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2024</w:t>
            </w:r>
          </w:p>
        </w:tc>
      </w:tr>
      <w:tr>
        <w:trPr>
          <w:trHeight w:val="177"/>
        </w:trPr>
        <w:tc>
          <w:tcPr>
            <w:tcW w:w="4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Current assets</w:t>
            </w:r>
          </w:p>
        </w:tc>
        <w:tc>
          <w:tcPr>
            <w:tcW w:w="370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w:t>
            </w:r>
          </w:p>
        </w:tc>
        <w:tc>
          <w:tcPr>
            <w:tcW w:w="144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34.9</w:t>
            </w:r>
          </w:p>
        </w:tc>
        <w:tc>
          <w:tcPr>
            <w:tcW w:w="60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40.7</w:t>
            </w:r>
          </w:p>
        </w:tc>
      </w:tr>
      <w:tr>
        <w:trPr>
          <w:trHeight w:val="172"/>
        </w:trPr>
        <w:tc>
          <w:tcPr>
            <w:tcW w:w="4260" w:type="dxa"/>
            <w:vAlign w:val="bottom"/>
          </w:tcPr>
          <w:p>
            <w:pPr>
              <w:ind w:left="20"/>
              <w:spacing w:after="0"/>
              <w:rPr>
                <w:sz w:val="20"/>
                <w:szCs w:val="20"/>
                <w:color w:val="auto"/>
              </w:rPr>
            </w:pPr>
            <w:r>
              <w:rPr>
                <w:rFonts w:ascii="Arial" w:cs="Arial" w:eastAsia="Arial" w:hAnsi="Arial"/>
                <w:sz w:val="11"/>
                <w:szCs w:val="11"/>
                <w:color w:val="auto"/>
              </w:rPr>
              <w:t>Long-term assets</w:t>
            </w:r>
          </w:p>
        </w:tc>
        <w:tc>
          <w:tcPr>
            <w:tcW w:w="3700" w:type="dxa"/>
            <w:vAlign w:val="bottom"/>
          </w:tcPr>
          <w:p>
            <w:pPr>
              <w:spacing w:after="0"/>
              <w:rPr>
                <w:sz w:val="14"/>
                <w:szCs w:val="14"/>
                <w:color w:val="auto"/>
              </w:rPr>
            </w:pPr>
          </w:p>
        </w:tc>
        <w:tc>
          <w:tcPr>
            <w:tcW w:w="1440" w:type="dxa"/>
            <w:vAlign w:val="bottom"/>
          </w:tcPr>
          <w:p>
            <w:pPr>
              <w:jc w:val="right"/>
              <w:ind w:right="143"/>
              <w:spacing w:after="0"/>
              <w:rPr>
                <w:sz w:val="20"/>
                <w:szCs w:val="20"/>
                <w:color w:val="auto"/>
              </w:rPr>
            </w:pPr>
            <w:r>
              <w:rPr>
                <w:rFonts w:ascii="Arial" w:cs="Arial" w:eastAsia="Arial" w:hAnsi="Arial"/>
                <w:sz w:val="11"/>
                <w:szCs w:val="11"/>
                <w:color w:val="auto"/>
              </w:rPr>
              <w:t>80.7</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74.2</w:t>
            </w:r>
          </w:p>
        </w:tc>
      </w:tr>
      <w:tr>
        <w:trPr>
          <w:trHeight w:val="189"/>
        </w:trPr>
        <w:tc>
          <w:tcPr>
            <w:tcW w:w="4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Current liabilities</w:t>
            </w:r>
          </w:p>
        </w:tc>
        <w:tc>
          <w:tcPr>
            <w:tcW w:w="3700" w:type="dxa"/>
            <w:vAlign w:val="bottom"/>
            <w:shd w:val="clear" w:color="auto" w:fill="DBDBDB"/>
          </w:tcPr>
          <w:p>
            <w:pPr>
              <w:spacing w:after="0"/>
              <w:rPr>
                <w:sz w:val="16"/>
                <w:szCs w:val="16"/>
                <w:color w:val="auto"/>
              </w:rPr>
            </w:pPr>
          </w:p>
        </w:tc>
        <w:tc>
          <w:tcPr>
            <w:tcW w:w="144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21.1</w:t>
            </w:r>
          </w:p>
        </w:tc>
        <w:tc>
          <w:tcPr>
            <w:tcW w:w="60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22.0</w:t>
            </w:r>
          </w:p>
        </w:tc>
      </w:tr>
      <w:tr>
        <w:trPr>
          <w:trHeight w:val="172"/>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Long-term liabilities</w:t>
            </w:r>
          </w:p>
        </w:tc>
        <w:tc>
          <w:tcPr>
            <w:tcW w:w="3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25.0</w:t>
            </w:r>
          </w:p>
        </w:tc>
        <w:tc>
          <w:tcPr>
            <w:tcW w:w="6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w:t>
            </w: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0" w:type="dxa"/>
            <w:vAlign w:val="bottom"/>
          </w:tcPr>
          <w:p>
            <w:pPr>
              <w:spacing w:after="0"/>
              <w:rPr>
                <w:sz w:val="20"/>
                <w:szCs w:val="20"/>
                <w:color w:val="auto"/>
              </w:rPr>
            </w:pPr>
            <w:r>
              <w:rPr>
                <w:rFonts w:ascii="Arial" w:cs="Arial" w:eastAsia="Arial" w:hAnsi="Arial"/>
                <w:sz w:val="14"/>
                <w:szCs w:val="14"/>
                <w:b w:val="1"/>
                <w:bCs w:val="1"/>
                <w:color w:val="auto"/>
              </w:rPr>
              <w:t>6.</w:t>
            </w:r>
          </w:p>
        </w:tc>
        <w:tc>
          <w:tcPr>
            <w:tcW w:w="7540" w:type="dxa"/>
            <w:vAlign w:val="bottom"/>
          </w:tcPr>
          <w:p>
            <w:pPr>
              <w:ind w:left="100"/>
              <w:spacing w:after="0"/>
              <w:rPr>
                <w:sz w:val="20"/>
                <w:szCs w:val="20"/>
                <w:color w:val="auto"/>
              </w:rPr>
            </w:pPr>
            <w:r>
              <w:rPr>
                <w:rFonts w:ascii="Arial" w:cs="Arial" w:eastAsia="Arial" w:hAnsi="Arial"/>
                <w:sz w:val="14"/>
                <w:szCs w:val="14"/>
                <w:b w:val="1"/>
                <w:bCs w:val="1"/>
                <w:color w:val="auto"/>
              </w:rPr>
              <w:t>Debt</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23"/>
        </w:trPr>
        <w:tc>
          <w:tcPr>
            <w:tcW w:w="7760" w:type="dxa"/>
            <w:vAlign w:val="bottom"/>
            <w:gridSpan w:val="2"/>
          </w:tcPr>
          <w:p>
            <w:pPr>
              <w:spacing w:after="0"/>
              <w:rPr>
                <w:sz w:val="20"/>
                <w:szCs w:val="20"/>
                <w:color w:val="auto"/>
              </w:rPr>
            </w:pPr>
            <w:r>
              <w:rPr>
                <w:rFonts w:ascii="Arial" w:cs="Arial" w:eastAsia="Arial" w:hAnsi="Arial"/>
                <w:sz w:val="13"/>
                <w:szCs w:val="13"/>
                <w:b w:val="1"/>
                <w:bCs w:val="1"/>
                <w:color w:val="auto"/>
              </w:rPr>
              <w:t>Credit facility</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8"/>
        </w:trPr>
        <w:tc>
          <w:tcPr>
            <w:tcW w:w="2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1"/>
                <w:szCs w:val="11"/>
                <w:color w:val="auto"/>
              </w:rPr>
              <w:t>Long-term debt under our syndicated credit facility with Bank of America (“BoA”) Merrill Lynch consisted of the following:</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January 31, 2025</w:t>
            </w: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2024</w:t>
            </w:r>
          </w:p>
        </w:tc>
      </w:tr>
      <w:tr>
        <w:trPr>
          <w:trHeight w:val="14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1"/>
                <w:szCs w:val="11"/>
                <w:color w:val="auto"/>
              </w:rPr>
              <w:t>Revolving line of credit. The interest rate is variable, based on SOFR plus a spread that varies with the Company’s leverage ratio. As of January 31, 2025</w:t>
            </w:r>
          </w:p>
        </w:tc>
        <w:tc>
          <w:tcPr>
            <w:tcW w:w="50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0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25.0</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20.0</w:t>
            </w:r>
          </w:p>
        </w:tc>
      </w:tr>
      <w:tr>
        <w:trPr>
          <w:trHeight w:val="165"/>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1"/>
                <w:szCs w:val="11"/>
                <w:color w:val="auto"/>
              </w:rPr>
              <w:t>and October 31, 2024, the interest rate was 5.90% and 6.38%, respectively. Interest is payable monthly and principal is due in full in October 2027</w:t>
            </w:r>
          </w:p>
        </w:tc>
        <w:tc>
          <w:tcPr>
            <w:tcW w:w="5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r>
      <w:tr>
        <w:trPr>
          <w:trHeight w:val="153"/>
        </w:trPr>
        <w:tc>
          <w:tcPr>
            <w:tcW w:w="7760" w:type="dxa"/>
            <w:vAlign w:val="bottom"/>
            <w:gridSpan w:val="2"/>
          </w:tcPr>
          <w:p>
            <w:pPr>
              <w:ind w:left="20"/>
              <w:spacing w:after="0"/>
              <w:rPr>
                <w:sz w:val="20"/>
                <w:szCs w:val="20"/>
                <w:color w:val="auto"/>
              </w:rPr>
            </w:pPr>
            <w:r>
              <w:rPr>
                <w:rFonts w:ascii="Arial" w:cs="Arial" w:eastAsia="Arial" w:hAnsi="Arial"/>
                <w:sz w:val="11"/>
                <w:szCs w:val="11"/>
                <w:color w:val="auto"/>
              </w:rPr>
              <w:t>Senior term loan (A-1). The interest rate is variable, based on SOFR plus a spread that varies with the Company’s leverage ratio. As of January 31, 2025</w:t>
            </w:r>
          </w:p>
        </w:tc>
        <w:tc>
          <w:tcPr>
            <w:tcW w:w="500" w:type="dxa"/>
            <w:vAlign w:val="bottom"/>
          </w:tcPr>
          <w:p>
            <w:pPr>
              <w:spacing w:after="0"/>
              <w:rPr>
                <w:sz w:val="13"/>
                <w:szCs w:val="13"/>
                <w:color w:val="auto"/>
              </w:rPr>
            </w:pP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44.4</w:t>
            </w:r>
          </w:p>
        </w:tc>
        <w:tc>
          <w:tcPr>
            <w:tcW w:w="4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45.0</w:t>
            </w:r>
          </w:p>
        </w:tc>
      </w:tr>
      <w:tr>
        <w:trPr>
          <w:trHeight w:val="127"/>
        </w:trPr>
        <w:tc>
          <w:tcPr>
            <w:tcW w:w="7760" w:type="dxa"/>
            <w:vAlign w:val="bottom"/>
            <w:gridSpan w:val="2"/>
          </w:tcPr>
          <w:p>
            <w:pPr>
              <w:ind w:left="20"/>
              <w:spacing w:after="0"/>
              <w:rPr>
                <w:sz w:val="20"/>
                <w:szCs w:val="20"/>
                <w:color w:val="auto"/>
              </w:rPr>
            </w:pPr>
            <w:r>
              <w:rPr>
                <w:rFonts w:ascii="Arial" w:cs="Arial" w:eastAsia="Arial" w:hAnsi="Arial"/>
                <w:sz w:val="11"/>
                <w:szCs w:val="11"/>
                <w:color w:val="auto"/>
              </w:rPr>
              <w:t>and October 31, 2024, the interest rate was 5.91% and 6.29%, respectively. Interest is payable monthly, principal is payable quarterly and due in full in</w:t>
            </w:r>
          </w:p>
        </w:tc>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57"/>
        </w:trPr>
        <w:tc>
          <w:tcPr>
            <w:tcW w:w="7760" w:type="dxa"/>
            <w:vAlign w:val="bottom"/>
            <w:gridSpan w:val="2"/>
          </w:tcPr>
          <w:p>
            <w:pPr>
              <w:ind w:left="20"/>
              <w:spacing w:after="0"/>
              <w:rPr>
                <w:sz w:val="20"/>
                <w:szCs w:val="20"/>
                <w:color w:val="auto"/>
              </w:rPr>
            </w:pPr>
            <w:r>
              <w:rPr>
                <w:rFonts w:ascii="Arial" w:cs="Arial" w:eastAsia="Arial" w:hAnsi="Arial"/>
                <w:sz w:val="11"/>
                <w:szCs w:val="11"/>
                <w:color w:val="auto"/>
              </w:rPr>
              <w:t>October 2027.</w:t>
            </w: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1"/>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1"/>
                <w:szCs w:val="11"/>
                <w:color w:val="auto"/>
              </w:rPr>
              <w:t>Senior term loan (A-2). The interest rate is variable, based on SOFR plus a spread that varies with the Company’s leverage ratio. As of January 31, 2025</w:t>
            </w:r>
          </w:p>
        </w:tc>
        <w:tc>
          <w:tcPr>
            <w:tcW w:w="500" w:type="dxa"/>
            <w:vAlign w:val="bottom"/>
            <w:shd w:val="clear" w:color="auto" w:fill="DBDBDB"/>
          </w:tcPr>
          <w:p>
            <w:pPr>
              <w:spacing w:after="0"/>
              <w:rPr>
                <w:sz w:val="14"/>
                <w:szCs w:val="14"/>
                <w:color w:val="auto"/>
              </w:rPr>
            </w:pPr>
          </w:p>
        </w:tc>
        <w:tc>
          <w:tcPr>
            <w:tcW w:w="130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48.8</w:t>
            </w:r>
          </w:p>
        </w:tc>
        <w:tc>
          <w:tcPr>
            <w:tcW w:w="46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49.0</w:t>
            </w:r>
          </w:p>
        </w:tc>
      </w:tr>
      <w:tr>
        <w:trPr>
          <w:trHeight w:val="12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1"/>
                <w:szCs w:val="11"/>
                <w:color w:val="auto"/>
              </w:rPr>
              <w:t>and October 31, 2024, the interest rate was 6.16% and 6.54% respectively. Interest is payable monthly, principal is payable quarterly and due in full in</w:t>
            </w:r>
          </w:p>
        </w:tc>
        <w:tc>
          <w:tcPr>
            <w:tcW w:w="50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r>
      <w:tr>
        <w:trPr>
          <w:trHeight w:val="157"/>
        </w:trPr>
        <w:tc>
          <w:tcPr>
            <w:tcW w:w="776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1"/>
                <w:szCs w:val="11"/>
                <w:color w:val="auto"/>
              </w:rPr>
              <w:t>October 2029.</w:t>
            </w:r>
          </w:p>
        </w:tc>
        <w:tc>
          <w:tcPr>
            <w:tcW w:w="500" w:type="dxa"/>
            <w:vAlign w:val="bottom"/>
            <w:tcBorders>
              <w:bottom w:val="single" w:sz="8" w:color="auto"/>
            </w:tcBorders>
            <w:shd w:val="clear" w:color="auto" w:fill="DBDBDB"/>
          </w:tcPr>
          <w:p>
            <w:pPr>
              <w:spacing w:after="0"/>
              <w:rPr>
                <w:sz w:val="13"/>
                <w:szCs w:val="13"/>
                <w:color w:val="auto"/>
              </w:rPr>
            </w:pPr>
          </w:p>
        </w:tc>
        <w:tc>
          <w:tcPr>
            <w:tcW w:w="1300" w:type="dxa"/>
            <w:vAlign w:val="bottom"/>
            <w:tcBorders>
              <w:bottom w:val="single" w:sz="8" w:color="auto"/>
            </w:tcBorders>
            <w:shd w:val="clear" w:color="auto" w:fill="DBDBDB"/>
          </w:tcPr>
          <w:p>
            <w:pPr>
              <w:spacing w:after="0"/>
              <w:rPr>
                <w:sz w:val="13"/>
                <w:szCs w:val="13"/>
                <w:color w:val="auto"/>
              </w:rPr>
            </w:pPr>
          </w:p>
        </w:tc>
        <w:tc>
          <w:tcPr>
            <w:tcW w:w="460" w:type="dxa"/>
            <w:vAlign w:val="bottom"/>
            <w:tcBorders>
              <w:bottom w:val="single" w:sz="8" w:color="auto"/>
            </w:tcBorders>
            <w:shd w:val="clear" w:color="auto" w:fill="DBDBDB"/>
          </w:tcPr>
          <w:p>
            <w:pPr>
              <w:spacing w:after="0"/>
              <w:rPr>
                <w:sz w:val="13"/>
                <w:szCs w:val="13"/>
                <w:color w:val="auto"/>
              </w:rPr>
            </w:pPr>
          </w:p>
        </w:tc>
        <w:tc>
          <w:tcPr>
            <w:tcW w:w="1260" w:type="dxa"/>
            <w:vAlign w:val="bottom"/>
            <w:tcBorders>
              <w:bottom w:val="single" w:sz="8" w:color="auto"/>
            </w:tcBorders>
            <w:shd w:val="clear" w:color="auto" w:fill="DBDBDB"/>
          </w:tcPr>
          <w:p>
            <w:pPr>
              <w:spacing w:after="0"/>
              <w:rPr>
                <w:sz w:val="13"/>
                <w:szCs w:val="13"/>
                <w:color w:val="auto"/>
              </w:rPr>
            </w:pPr>
          </w:p>
        </w:tc>
      </w:tr>
      <w:tr>
        <w:trPr>
          <w:trHeight w:val="171"/>
        </w:trPr>
        <w:tc>
          <w:tcPr>
            <w:tcW w:w="776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500" w:type="dxa"/>
            <w:vAlign w:val="bottom"/>
          </w:tcPr>
          <w:p>
            <w:pPr>
              <w:spacing w:after="0"/>
              <w:rPr>
                <w:sz w:val="14"/>
                <w:szCs w:val="14"/>
                <w:color w:val="auto"/>
              </w:rPr>
            </w:pP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118.2</w:t>
            </w:r>
          </w:p>
        </w:tc>
        <w:tc>
          <w:tcPr>
            <w:tcW w:w="4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114.0</w:t>
            </w:r>
          </w:p>
        </w:tc>
      </w:tr>
      <w:tr>
        <w:trPr>
          <w:trHeight w:val="180"/>
        </w:trPr>
        <w:tc>
          <w:tcPr>
            <w:tcW w:w="776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1"/>
                <w:szCs w:val="11"/>
                <w:color w:val="auto"/>
              </w:rPr>
              <w:t>Less debt issuance costs</w:t>
            </w:r>
          </w:p>
        </w:tc>
        <w:tc>
          <w:tcPr>
            <w:tcW w:w="5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(0.3)</w:t>
            </w:r>
          </w:p>
        </w:tc>
        <w:tc>
          <w:tcPr>
            <w:tcW w:w="46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(0.3)</w:t>
            </w:r>
          </w:p>
        </w:tc>
      </w:tr>
      <w:tr>
        <w:trPr>
          <w:trHeight w:val="171"/>
        </w:trPr>
        <w:tc>
          <w:tcPr>
            <w:tcW w:w="7760" w:type="dxa"/>
            <w:vAlign w:val="bottom"/>
            <w:gridSpan w:val="2"/>
          </w:tcPr>
          <w:p>
            <w:pPr>
              <w:ind w:left="20"/>
              <w:spacing w:after="0"/>
              <w:rPr>
                <w:sz w:val="20"/>
                <w:szCs w:val="20"/>
                <w:color w:val="auto"/>
              </w:rPr>
            </w:pPr>
            <w:r>
              <w:rPr>
                <w:rFonts w:ascii="Arial" w:cs="Arial" w:eastAsia="Arial" w:hAnsi="Arial"/>
                <w:sz w:val="11"/>
                <w:szCs w:val="11"/>
                <w:color w:val="auto"/>
              </w:rPr>
              <w:t>Long-term debt, net of debt issuance costs</w:t>
            </w:r>
          </w:p>
        </w:tc>
        <w:tc>
          <w:tcPr>
            <w:tcW w:w="500" w:type="dxa"/>
            <w:vAlign w:val="bottom"/>
          </w:tcPr>
          <w:p>
            <w:pPr>
              <w:spacing w:after="0"/>
              <w:rPr>
                <w:sz w:val="14"/>
                <w:szCs w:val="14"/>
                <w:color w:val="auto"/>
              </w:rPr>
            </w:pP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117.9</w:t>
            </w:r>
          </w:p>
        </w:tc>
        <w:tc>
          <w:tcPr>
            <w:tcW w:w="4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113.7</w:t>
            </w:r>
          </w:p>
        </w:tc>
      </w:tr>
      <w:tr>
        <w:trPr>
          <w:trHeight w:val="180"/>
        </w:trPr>
        <w:tc>
          <w:tcPr>
            <w:tcW w:w="776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1"/>
                <w:szCs w:val="11"/>
                <w:color w:val="auto"/>
              </w:rPr>
              <w:t>Less current portion of long-term debt</w:t>
            </w:r>
          </w:p>
        </w:tc>
        <w:tc>
          <w:tcPr>
            <w:tcW w:w="5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(3.0)</w:t>
            </w:r>
          </w:p>
        </w:tc>
        <w:tc>
          <w:tcPr>
            <w:tcW w:w="46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(3.0)</w:t>
            </w:r>
          </w:p>
        </w:tc>
      </w:tr>
      <w:tr>
        <w:trPr>
          <w:trHeight w:val="171"/>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Long-term debt, net of current portion</w:t>
            </w:r>
          </w:p>
        </w:tc>
        <w:tc>
          <w:tcPr>
            <w:tcW w:w="5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114.9</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January 31, 2025, the Company was in compliance with all financial covenants of the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p>
    <w:p>
      <w:pPr>
        <w:spacing w:after="0" w:line="173" w:lineRule="exact"/>
        <w:rPr>
          <w:sz w:val="20"/>
          <w:szCs w:val="20"/>
          <w:color w:val="auto"/>
        </w:rPr>
      </w:pPr>
    </w:p>
    <w:p>
      <w:pPr>
        <w:ind w:right="120" w:firstLine="509"/>
        <w:spacing w:after="0" w:line="282" w:lineRule="auto"/>
        <w:rPr>
          <w:sz w:val="20"/>
          <w:szCs w:val="20"/>
          <w:color w:val="auto"/>
        </w:rPr>
      </w:pPr>
      <w:r>
        <w:rPr>
          <w:rFonts w:ascii="Arial" w:cs="Arial" w:eastAsia="Arial" w:hAnsi="Arial"/>
          <w:sz w:val="11"/>
          <w:szCs w:val="11"/>
          <w:color w:val="auto"/>
        </w:rPr>
        <w:t>Certain of our consolidated subsidiaries may also enter into short-term bank borrowings from time to time. No short-term bank borrowings were outstanding as of January 31, 2025 and $3.0 million were outstanding as of October 31, 2024. The weighted average interest rate on short-term bank borrowings outstanding was 9.91% as of October 31, 2024. Our Blueberries business also obtains loans from shareholders from time to time, which accrue interest at rates ranging from 5.0 to 6.5%. Amounts outstanding as of January 31, 2025 are expected to be repaid by the end of fiscal 2026.</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swaps</w:t>
      </w:r>
    </w:p>
    <w:p>
      <w:pPr>
        <w:spacing w:after="0" w:line="173" w:lineRule="exact"/>
        <w:rPr>
          <w:sz w:val="20"/>
          <w:szCs w:val="20"/>
          <w:color w:val="auto"/>
        </w:rPr>
      </w:pPr>
    </w:p>
    <w:p>
      <w:pPr>
        <w:ind w:right="40" w:firstLine="509"/>
        <w:spacing w:after="0" w:line="267" w:lineRule="auto"/>
        <w:rPr>
          <w:sz w:val="20"/>
          <w:szCs w:val="20"/>
          <w:color w:val="auto"/>
        </w:rPr>
      </w:pPr>
      <w:r>
        <w:rPr>
          <w:rFonts w:ascii="Arial" w:cs="Arial" w:eastAsia="Arial" w:hAnsi="Arial"/>
          <w:sz w:val="11"/>
          <w:szCs w:val="11"/>
          <w:color w:val="auto"/>
        </w:rPr>
        <w:t>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income (expense), net in the condensed consolidated statements of income and changes in the assets are presented in net cash (used in) provided by operating activities in the condensed consolidated statements of cash flow. As of January 31, 2025 and October 31, 2024, a notional amount of $10 million was outstanding, carrying a fixed SOFR rate of 4.47%. Refer to Note 9 for more details.</w:t>
      </w:r>
    </w:p>
    <w:p>
      <w:pPr>
        <w:spacing w:after="0" w:line="179" w:lineRule="exact"/>
        <w:rPr>
          <w:sz w:val="20"/>
          <w:szCs w:val="20"/>
          <w:color w:val="auto"/>
        </w:rPr>
      </w:pPr>
    </w:p>
    <w:p>
      <w:pPr>
        <w:ind w:left="360" w:hanging="355"/>
        <w:spacing w:after="0"/>
        <w:tabs>
          <w:tab w:leader="none" w:pos="36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73" w:lineRule="exact"/>
        <w:rPr>
          <w:sz w:val="20"/>
          <w:szCs w:val="20"/>
          <w:color w:val="auto"/>
        </w:rPr>
      </w:pPr>
    </w:p>
    <w:p>
      <w:pPr>
        <w:ind w:right="500" w:firstLine="509"/>
        <w:spacing w:after="0" w:line="303" w:lineRule="auto"/>
        <w:rPr>
          <w:sz w:val="20"/>
          <w:szCs w:val="20"/>
          <w:color w:val="auto"/>
        </w:rPr>
      </w:pPr>
      <w:r>
        <w:rPr>
          <w:rFonts w:ascii="Arial" w:cs="Arial" w:eastAsia="Arial" w:hAnsi="Arial"/>
          <w:sz w:val="11"/>
          <w:szCs w:val="11"/>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26"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Payment was sent to the Settlement Administrator on June 26, 2024, to be distributed directly to the class members. Once all settlement checks have been distributed and cashed or returned pursuant to the terms of the Settlement Agreement, the action will be dismissed with prejudice. The Court has set a deadline of June 2025 for Plaintiff to file a declaration from the settlement administrator regarding disbursal of funds.</w:t>
      </w:r>
    </w:p>
    <w:p>
      <w:pPr>
        <w:spacing w:after="0" w:line="274" w:lineRule="exact"/>
        <w:rPr>
          <w:sz w:val="20"/>
          <w:szCs w:val="20"/>
          <w:color w:val="auto"/>
        </w:rPr>
      </w:pPr>
    </w:p>
    <w:p>
      <w:pPr>
        <w:ind w:right="180" w:firstLine="509"/>
        <w:spacing w:after="0" w:line="275" w:lineRule="auto"/>
        <w:rPr>
          <w:sz w:val="20"/>
          <w:szCs w:val="20"/>
          <w:color w:val="auto"/>
        </w:rPr>
      </w:pPr>
      <w:r>
        <w:rPr>
          <w:rFonts w:ascii="Arial" w:cs="Arial" w:eastAsia="Arial" w:hAnsi="Arial"/>
          <w:sz w:val="11"/>
          <w:szCs w:val="11"/>
          <w:color w:val="auto"/>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The plaintiff seeks damages primarily consisting of class certification, payment of wages earned and owed, liquidated damages, penalties and fees, and injunctive relief. The Company is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42" w:lineRule="exact"/>
        <w:rPr>
          <w:sz w:val="20"/>
          <w:szCs w:val="20"/>
          <w:color w:val="auto"/>
        </w:rPr>
      </w:pPr>
    </w:p>
    <w:p>
      <w:pPr>
        <w:ind w:right="100" w:firstLine="509"/>
        <w:spacing w:after="0" w:line="265" w:lineRule="auto"/>
        <w:rPr>
          <w:sz w:val="20"/>
          <w:szCs w:val="20"/>
          <w:color w:val="auto"/>
        </w:rPr>
      </w:pPr>
      <w:r>
        <w:rPr>
          <w:rFonts w:ascii="Arial" w:cs="Arial" w:eastAsia="Arial" w:hAnsi="Arial"/>
          <w:sz w:val="11"/>
          <w:szCs w:val="11"/>
          <w:color w:val="auto"/>
        </w:rPr>
        <w:t>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303" w:lineRule="auto"/>
        <w:rPr>
          <w:sz w:val="20"/>
          <w:szCs w:val="20"/>
          <w:color w:val="auto"/>
        </w:rPr>
      </w:pPr>
      <w:r>
        <w:rPr>
          <w:rFonts w:ascii="Arial" w:cs="Arial" w:eastAsia="Arial" w:hAnsi="Arial"/>
          <w:sz w:val="11"/>
          <w:szCs w:val="11"/>
          <w:color w:val="auto"/>
        </w:rPr>
        <w:t>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w:t>
      </w:r>
    </w:p>
    <w:p>
      <w:pPr>
        <w:spacing w:after="0" w:line="126" w:lineRule="exact"/>
        <w:rPr>
          <w:sz w:val="20"/>
          <w:szCs w:val="20"/>
          <w:color w:val="auto"/>
        </w:rPr>
      </w:pPr>
    </w:p>
    <w:p>
      <w:pPr>
        <w:ind w:right="220" w:firstLine="509"/>
        <w:spacing w:after="0" w:line="303" w:lineRule="auto"/>
        <w:rPr>
          <w:sz w:val="20"/>
          <w:szCs w:val="20"/>
          <w:color w:val="auto"/>
        </w:rPr>
      </w:pPr>
      <w:r>
        <w:rPr>
          <w:rFonts w:ascii="Arial" w:cs="Arial" w:eastAsia="Arial" w:hAnsi="Arial"/>
          <w:sz w:val="11"/>
          <w:szCs w:val="11"/>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60"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87" w:lineRule="exact"/>
        <w:rPr>
          <w:sz w:val="20"/>
          <w:szCs w:val="20"/>
          <w:color w:val="auto"/>
        </w:rPr>
      </w:pPr>
    </w:p>
    <w:p>
      <w:pPr>
        <w:ind w:right="440" w:firstLine="509"/>
        <w:spacing w:after="0" w:line="283" w:lineRule="auto"/>
        <w:rPr>
          <w:sz w:val="20"/>
          <w:szCs w:val="20"/>
          <w:color w:val="auto"/>
        </w:rPr>
      </w:pPr>
      <w:r>
        <w:rPr>
          <w:rFonts w:ascii="Arial" w:cs="Arial" w:eastAsia="Arial" w:hAnsi="Arial"/>
          <w:sz w:val="11"/>
          <w:szCs w:val="11"/>
          <w:color w:val="auto"/>
        </w:rPr>
        <w:t>The provision for income tax recorded for the three months ended January 31, 2025 and 2024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spacing w:after="0" w:line="137" w:lineRule="exact"/>
        <w:rPr>
          <w:sz w:val="20"/>
          <w:szCs w:val="20"/>
          <w:color w:val="auto"/>
        </w:rPr>
      </w:pPr>
    </w:p>
    <w:p>
      <w:pPr>
        <w:jc w:val="both"/>
        <w:ind w:right="80" w:firstLine="509"/>
        <w:spacing w:after="0" w:line="282" w:lineRule="auto"/>
        <w:rPr>
          <w:sz w:val="20"/>
          <w:szCs w:val="20"/>
          <w:color w:val="auto"/>
        </w:rPr>
      </w:pPr>
      <w:r>
        <w:rPr>
          <w:rFonts w:ascii="Arial" w:cs="Arial" w:eastAsia="Arial" w:hAnsi="Arial"/>
          <w:sz w:val="11"/>
          <w:szCs w:val="11"/>
          <w:color w:val="auto"/>
        </w:rPr>
        <w:t>As of January 31, 2025, the Company had $15.4 million accrued in UTP on income taxes, of which $8.5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income (expense), net in the condensed consolidated statements of income.</w:t>
      </w:r>
    </w:p>
    <w:p>
      <w:pPr>
        <w:spacing w:after="0" w:line="363"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Financial assets or liabilities measured and recorded at fair value on a recurring basis included in the condensed consolidated balance sheets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January 31, 2025</w:t>
            </w:r>
          </w:p>
        </w:tc>
        <w:tc>
          <w:tcPr>
            <w:tcW w:w="9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October 31, 2024</w:t>
            </w:r>
          </w:p>
        </w:tc>
        <w:tc>
          <w:tcPr>
            <w:tcW w:w="9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21"/>
        </w:trPr>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Significant</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Significant</w:t>
            </w:r>
          </w:p>
        </w:tc>
        <w:tc>
          <w:tcPr>
            <w:tcW w:w="860" w:type="dxa"/>
            <w:vAlign w:val="bottom"/>
          </w:tcPr>
          <w:p>
            <w:pPr>
              <w:spacing w:after="0"/>
              <w:rPr>
                <w:sz w:val="10"/>
                <w:szCs w:val="10"/>
                <w:color w:val="auto"/>
              </w:rPr>
            </w:pPr>
          </w:p>
        </w:tc>
      </w:tr>
      <w:tr>
        <w:trPr>
          <w:trHeight w:val="117"/>
        </w:trPr>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jc w:val="right"/>
              <w:ind w:right="7"/>
              <w:spacing w:after="0"/>
              <w:rPr>
                <w:sz w:val="20"/>
                <w:szCs w:val="20"/>
                <w:color w:val="auto"/>
              </w:rPr>
            </w:pPr>
            <w:r>
              <w:rPr>
                <w:rFonts w:ascii="Arial" w:cs="Arial" w:eastAsia="Arial" w:hAnsi="Arial"/>
                <w:sz w:val="10"/>
                <w:szCs w:val="10"/>
                <w:color w:val="auto"/>
              </w:rPr>
              <w:t>Quoted Prices</w:t>
            </w:r>
          </w:p>
        </w:tc>
        <w:tc>
          <w:tcPr>
            <w:tcW w:w="560" w:type="dxa"/>
            <w:vAlign w:val="bottom"/>
          </w:tcPr>
          <w:p>
            <w:pPr>
              <w:spacing w:after="0"/>
              <w:rPr>
                <w:sz w:val="10"/>
                <w:szCs w:val="10"/>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Other</w:t>
            </w:r>
          </w:p>
        </w:tc>
        <w:tc>
          <w:tcPr>
            <w:tcW w:w="1040" w:type="dxa"/>
            <w:vAlign w:val="bottom"/>
            <w:gridSpan w:val="2"/>
          </w:tcPr>
          <w:p>
            <w:pPr>
              <w:jc w:val="right"/>
              <w:ind w:right="200"/>
              <w:spacing w:after="0"/>
              <w:rPr>
                <w:sz w:val="20"/>
                <w:szCs w:val="20"/>
                <w:color w:val="auto"/>
              </w:rPr>
            </w:pPr>
            <w:r>
              <w:rPr>
                <w:rFonts w:ascii="Arial" w:cs="Arial" w:eastAsia="Arial" w:hAnsi="Arial"/>
                <w:sz w:val="10"/>
                <w:szCs w:val="10"/>
                <w:color w:val="auto"/>
              </w:rPr>
              <w:t>Significant</w:t>
            </w: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right"/>
              <w:ind w:right="7"/>
              <w:spacing w:after="0"/>
              <w:rPr>
                <w:sz w:val="20"/>
                <w:szCs w:val="20"/>
                <w:color w:val="auto"/>
              </w:rPr>
            </w:pPr>
            <w:r>
              <w:rPr>
                <w:rFonts w:ascii="Arial" w:cs="Arial" w:eastAsia="Arial" w:hAnsi="Arial"/>
                <w:sz w:val="10"/>
                <w:szCs w:val="10"/>
                <w:color w:val="auto"/>
              </w:rPr>
              <w:t>Quoted Prices</w:t>
            </w:r>
          </w:p>
        </w:tc>
        <w:tc>
          <w:tcPr>
            <w:tcW w:w="560" w:type="dxa"/>
            <w:vAlign w:val="bottom"/>
          </w:tcPr>
          <w:p>
            <w:pPr>
              <w:spacing w:after="0"/>
              <w:rPr>
                <w:sz w:val="10"/>
                <w:szCs w:val="10"/>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Other</w:t>
            </w:r>
          </w:p>
        </w:tc>
        <w:tc>
          <w:tcPr>
            <w:tcW w:w="860" w:type="dxa"/>
            <w:vAlign w:val="bottom"/>
          </w:tcPr>
          <w:p>
            <w:pPr>
              <w:jc w:val="right"/>
              <w:spacing w:after="0"/>
              <w:rPr>
                <w:sz w:val="20"/>
                <w:szCs w:val="20"/>
                <w:color w:val="auto"/>
              </w:rPr>
            </w:pPr>
            <w:r>
              <w:rPr>
                <w:rFonts w:ascii="Arial" w:cs="Arial" w:eastAsia="Arial" w:hAnsi="Arial"/>
                <w:sz w:val="10"/>
                <w:szCs w:val="10"/>
                <w:color w:val="auto"/>
              </w:rPr>
              <w:t>Significant</w:t>
            </w:r>
          </w:p>
        </w:tc>
      </w:tr>
      <w:tr>
        <w:trPr>
          <w:trHeight w:val="127"/>
        </w:trPr>
        <w:tc>
          <w:tcPr>
            <w:tcW w:w="1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7"/>
              <w:spacing w:after="0"/>
              <w:rPr>
                <w:sz w:val="20"/>
                <w:szCs w:val="20"/>
                <w:color w:val="auto"/>
              </w:rPr>
            </w:pPr>
            <w:r>
              <w:rPr>
                <w:rFonts w:ascii="Arial" w:cs="Arial" w:eastAsia="Arial" w:hAnsi="Arial"/>
                <w:sz w:val="10"/>
                <w:szCs w:val="10"/>
                <w:color w:val="auto"/>
              </w:rPr>
              <w:t>in Active</w:t>
            </w:r>
          </w:p>
        </w:tc>
        <w:tc>
          <w:tcPr>
            <w:tcW w:w="560" w:type="dxa"/>
            <w:vAlign w:val="bottom"/>
          </w:tcPr>
          <w:p>
            <w:pPr>
              <w:spacing w:after="0"/>
              <w:rPr>
                <w:sz w:val="11"/>
                <w:szCs w:val="11"/>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Observable</w:t>
            </w:r>
          </w:p>
        </w:tc>
        <w:tc>
          <w:tcPr>
            <w:tcW w:w="1040" w:type="dxa"/>
            <w:vAlign w:val="bottom"/>
            <w:gridSpan w:val="2"/>
          </w:tcPr>
          <w:p>
            <w:pPr>
              <w:jc w:val="right"/>
              <w:ind w:right="200"/>
              <w:spacing w:after="0"/>
              <w:rPr>
                <w:sz w:val="20"/>
                <w:szCs w:val="20"/>
                <w:color w:val="auto"/>
              </w:rPr>
            </w:pPr>
            <w:r>
              <w:rPr>
                <w:rFonts w:ascii="Arial" w:cs="Arial" w:eastAsia="Arial" w:hAnsi="Arial"/>
                <w:sz w:val="10"/>
                <w:szCs w:val="10"/>
                <w:color w:val="auto"/>
              </w:rPr>
              <w:t>Unobservable</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jc w:val="right"/>
              <w:ind w:right="7"/>
              <w:spacing w:after="0"/>
              <w:rPr>
                <w:sz w:val="20"/>
                <w:szCs w:val="20"/>
                <w:color w:val="auto"/>
              </w:rPr>
            </w:pPr>
            <w:r>
              <w:rPr>
                <w:rFonts w:ascii="Arial" w:cs="Arial" w:eastAsia="Arial" w:hAnsi="Arial"/>
                <w:sz w:val="10"/>
                <w:szCs w:val="10"/>
                <w:color w:val="auto"/>
              </w:rPr>
              <w:t>in Active</w:t>
            </w:r>
          </w:p>
        </w:tc>
        <w:tc>
          <w:tcPr>
            <w:tcW w:w="560" w:type="dxa"/>
            <w:vAlign w:val="bottom"/>
          </w:tcPr>
          <w:p>
            <w:pPr>
              <w:spacing w:after="0"/>
              <w:rPr>
                <w:sz w:val="11"/>
                <w:szCs w:val="11"/>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Observable</w:t>
            </w:r>
          </w:p>
        </w:tc>
        <w:tc>
          <w:tcPr>
            <w:tcW w:w="860" w:type="dxa"/>
            <w:vAlign w:val="bottom"/>
          </w:tcPr>
          <w:p>
            <w:pPr>
              <w:jc w:val="right"/>
              <w:spacing w:after="0"/>
              <w:rPr>
                <w:sz w:val="20"/>
                <w:szCs w:val="20"/>
                <w:color w:val="auto"/>
              </w:rPr>
            </w:pPr>
            <w:r>
              <w:rPr>
                <w:rFonts w:ascii="Arial" w:cs="Arial" w:eastAsia="Arial" w:hAnsi="Arial"/>
                <w:sz w:val="10"/>
                <w:szCs w:val="10"/>
                <w:color w:val="auto"/>
              </w:rPr>
              <w:t>Unobservable</w:t>
            </w:r>
          </w:p>
        </w:tc>
      </w:tr>
      <w:tr>
        <w:trPr>
          <w:trHeight w:val="117"/>
        </w:trPr>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jc w:val="right"/>
              <w:ind w:right="7"/>
              <w:spacing w:after="0"/>
              <w:rPr>
                <w:sz w:val="20"/>
                <w:szCs w:val="20"/>
                <w:color w:val="auto"/>
              </w:rPr>
            </w:pPr>
            <w:r>
              <w:rPr>
                <w:rFonts w:ascii="Arial" w:cs="Arial" w:eastAsia="Arial" w:hAnsi="Arial"/>
                <w:sz w:val="10"/>
                <w:szCs w:val="10"/>
                <w:color w:val="auto"/>
              </w:rPr>
              <w:t>Markets</w:t>
            </w:r>
          </w:p>
        </w:tc>
        <w:tc>
          <w:tcPr>
            <w:tcW w:w="560" w:type="dxa"/>
            <w:vAlign w:val="bottom"/>
          </w:tcPr>
          <w:p>
            <w:pPr>
              <w:spacing w:after="0"/>
              <w:rPr>
                <w:sz w:val="10"/>
                <w:szCs w:val="10"/>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Inputs</w:t>
            </w:r>
          </w:p>
        </w:tc>
        <w:tc>
          <w:tcPr>
            <w:tcW w:w="1040" w:type="dxa"/>
            <w:vAlign w:val="bottom"/>
            <w:gridSpan w:val="2"/>
          </w:tcPr>
          <w:p>
            <w:pPr>
              <w:jc w:val="right"/>
              <w:ind w:right="200"/>
              <w:spacing w:after="0"/>
              <w:rPr>
                <w:sz w:val="20"/>
                <w:szCs w:val="20"/>
                <w:color w:val="auto"/>
              </w:rPr>
            </w:pPr>
            <w:r>
              <w:rPr>
                <w:rFonts w:ascii="Arial" w:cs="Arial" w:eastAsia="Arial" w:hAnsi="Arial"/>
                <w:sz w:val="10"/>
                <w:szCs w:val="10"/>
                <w:color w:val="auto"/>
              </w:rPr>
              <w:t>Inputs</w:t>
            </w: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right"/>
              <w:ind w:right="27"/>
              <w:spacing w:after="0"/>
              <w:rPr>
                <w:sz w:val="20"/>
                <w:szCs w:val="20"/>
                <w:color w:val="auto"/>
              </w:rPr>
            </w:pPr>
            <w:r>
              <w:rPr>
                <w:rFonts w:ascii="Arial" w:cs="Arial" w:eastAsia="Arial" w:hAnsi="Arial"/>
                <w:sz w:val="10"/>
                <w:szCs w:val="10"/>
                <w:color w:val="auto"/>
              </w:rPr>
              <w:t>Markets</w:t>
            </w:r>
          </w:p>
        </w:tc>
        <w:tc>
          <w:tcPr>
            <w:tcW w:w="560" w:type="dxa"/>
            <w:vAlign w:val="bottom"/>
          </w:tcPr>
          <w:p>
            <w:pPr>
              <w:spacing w:after="0"/>
              <w:rPr>
                <w:sz w:val="10"/>
                <w:szCs w:val="10"/>
                <w:color w:val="auto"/>
              </w:rPr>
            </w:pPr>
          </w:p>
        </w:tc>
        <w:tc>
          <w:tcPr>
            <w:tcW w:w="980" w:type="dxa"/>
            <w:vAlign w:val="bottom"/>
          </w:tcPr>
          <w:p>
            <w:pPr>
              <w:jc w:val="right"/>
              <w:ind w:right="368"/>
              <w:spacing w:after="0"/>
              <w:rPr>
                <w:sz w:val="20"/>
                <w:szCs w:val="20"/>
                <w:color w:val="auto"/>
              </w:rPr>
            </w:pPr>
            <w:r>
              <w:rPr>
                <w:rFonts w:ascii="Arial" w:cs="Arial" w:eastAsia="Arial" w:hAnsi="Arial"/>
                <w:sz w:val="10"/>
                <w:szCs w:val="10"/>
                <w:color w:val="auto"/>
              </w:rPr>
              <w:t>Inputs</w:t>
            </w:r>
          </w:p>
        </w:tc>
        <w:tc>
          <w:tcPr>
            <w:tcW w:w="860" w:type="dxa"/>
            <w:vAlign w:val="bottom"/>
          </w:tcPr>
          <w:p>
            <w:pPr>
              <w:jc w:val="right"/>
              <w:spacing w:after="0"/>
              <w:rPr>
                <w:sz w:val="20"/>
                <w:szCs w:val="20"/>
                <w:color w:val="auto"/>
              </w:rPr>
            </w:pPr>
            <w:r>
              <w:rPr>
                <w:rFonts w:ascii="Arial" w:cs="Arial" w:eastAsia="Arial" w:hAnsi="Arial"/>
                <w:sz w:val="10"/>
                <w:szCs w:val="10"/>
                <w:color w:val="auto"/>
              </w:rPr>
              <w:t>Inputs</w:t>
            </w:r>
          </w:p>
        </w:tc>
      </w:tr>
      <w:tr>
        <w:trPr>
          <w:trHeight w:val="145"/>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 millions)</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Total</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rPr>
              <w:t>(Level 1)</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(Level 2)</w:t>
            </w: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(Level 3)</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0"/>
                <w:szCs w:val="10"/>
                <w:color w:val="auto"/>
              </w:rPr>
              <w:t>Total</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rPr>
              <w:t>(Level 1)</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(Level 3)</w:t>
            </w:r>
          </w:p>
        </w:tc>
      </w:tr>
      <w:tr>
        <w:trPr>
          <w:trHeight w:val="176"/>
        </w:trPr>
        <w:tc>
          <w:tcPr>
            <w:tcW w:w="174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Assets</w:t>
            </w:r>
          </w:p>
        </w:tc>
        <w:tc>
          <w:tcPr>
            <w:tcW w:w="4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1"/>
                <w:szCs w:val="11"/>
                <w:color w:val="auto"/>
              </w:rPr>
              <w:t>Mutual funds</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640" w:type="dxa"/>
            <w:vAlign w:val="bottom"/>
          </w:tcPr>
          <w:p>
            <w:pPr>
              <w:ind w:left="380"/>
              <w:spacing w:after="0"/>
              <w:rPr>
                <w:sz w:val="20"/>
                <w:szCs w:val="20"/>
                <w:color w:val="auto"/>
              </w:rPr>
            </w:pPr>
            <w:r>
              <w:rPr>
                <w:rFonts w:ascii="Arial" w:cs="Arial" w:eastAsia="Arial" w:hAnsi="Arial"/>
                <w:sz w:val="11"/>
                <w:szCs w:val="11"/>
                <w:color w:val="auto"/>
              </w:rPr>
              <w:t>2.2</w:t>
            </w:r>
          </w:p>
        </w:tc>
        <w:tc>
          <w:tcPr>
            <w:tcW w:w="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7"/>
              <w:spacing w:after="0"/>
              <w:rPr>
                <w:sz w:val="20"/>
                <w:szCs w:val="20"/>
                <w:color w:val="auto"/>
              </w:rPr>
            </w:pPr>
            <w:r>
              <w:rPr>
                <w:rFonts w:ascii="Arial" w:cs="Arial" w:eastAsia="Arial" w:hAnsi="Arial"/>
                <w:sz w:val="11"/>
                <w:szCs w:val="11"/>
                <w:color w:val="auto"/>
              </w:rPr>
              <w:t>2.2</w:t>
            </w:r>
          </w:p>
        </w:tc>
        <w:tc>
          <w:tcPr>
            <w:tcW w:w="56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  $</w:t>
            </w:r>
          </w:p>
        </w:tc>
        <w:tc>
          <w:tcPr>
            <w:tcW w:w="104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640" w:type="dxa"/>
            <w:vAlign w:val="bottom"/>
          </w:tcPr>
          <w:p>
            <w:pPr>
              <w:ind w:left="400"/>
              <w:spacing w:after="0"/>
              <w:rPr>
                <w:sz w:val="20"/>
                <w:szCs w:val="20"/>
                <w:color w:val="auto"/>
              </w:rPr>
            </w:pPr>
            <w:r>
              <w:rPr>
                <w:rFonts w:ascii="Arial" w:cs="Arial" w:eastAsia="Arial" w:hAnsi="Arial"/>
                <w:sz w:val="11"/>
                <w:szCs w:val="11"/>
                <w:color w:val="auto"/>
              </w:rPr>
              <w:t>2.2</w:t>
            </w:r>
          </w:p>
        </w:tc>
        <w:tc>
          <w:tcPr>
            <w:tcW w:w="3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7"/>
              <w:spacing w:after="0"/>
              <w:rPr>
                <w:sz w:val="20"/>
                <w:szCs w:val="20"/>
                <w:color w:val="auto"/>
              </w:rPr>
            </w:pPr>
            <w:r>
              <w:rPr>
                <w:rFonts w:ascii="Arial" w:cs="Arial" w:eastAsia="Arial" w:hAnsi="Arial"/>
                <w:sz w:val="11"/>
                <w:szCs w:val="11"/>
                <w:color w:val="auto"/>
              </w:rPr>
              <w:t>2.2</w:t>
            </w:r>
          </w:p>
        </w:tc>
        <w:tc>
          <w:tcPr>
            <w:tcW w:w="56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88"/>
              <w:spacing w:after="0"/>
              <w:rPr>
                <w:sz w:val="20"/>
                <w:szCs w:val="20"/>
                <w:color w:val="auto"/>
              </w:rPr>
            </w:pPr>
            <w:r>
              <w:rPr>
                <w:rFonts w:ascii="Arial" w:cs="Arial" w:eastAsia="Arial" w:hAnsi="Arial"/>
                <w:sz w:val="11"/>
                <w:szCs w:val="11"/>
                <w:color w:val="auto"/>
              </w:rPr>
              <w:t>—  $</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174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Liabilities</w:t>
            </w:r>
          </w:p>
        </w:tc>
        <w:tc>
          <w:tcPr>
            <w:tcW w:w="46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r>
      <w:tr>
        <w:trPr>
          <w:trHeight w:val="172"/>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Interest rate swap</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0.1</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1"/>
                <w:szCs w:val="11"/>
                <w:color w:val="auto"/>
              </w:rPr>
              <w:t>0.1</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0.2</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1"/>
                <w:szCs w:val="11"/>
                <w:color w:val="auto"/>
              </w:rPr>
              <w:t>0.2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bl>
    <w:p>
      <w:pPr>
        <w:spacing w:after="0" w:line="238"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spacing w:after="0" w:line="126" w:lineRule="exact"/>
        <w:rPr>
          <w:sz w:val="20"/>
          <w:szCs w:val="20"/>
          <w:color w:val="auto"/>
        </w:rPr>
      </w:pPr>
    </w:p>
    <w:p>
      <w:pPr>
        <w:ind w:right="20" w:firstLine="509"/>
        <w:spacing w:after="0" w:line="262" w:lineRule="auto"/>
        <w:rPr>
          <w:sz w:val="20"/>
          <w:szCs w:val="20"/>
          <w:color w:val="auto"/>
        </w:rPr>
      </w:pPr>
      <w:r>
        <w:rPr>
          <w:rFonts w:ascii="Arial" w:cs="Arial" w:eastAsia="Arial" w:hAnsi="Arial"/>
          <w:sz w:val="11"/>
          <w:szCs w:val="11"/>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January 31, 2025 and October 31, 2024,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income (expense),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10.</w:t>
        <w:tab/>
        <w:t>Earnings Per Share</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8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8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1"/>
                <w:szCs w:val="11"/>
                <w:color w:val="auto"/>
              </w:rPr>
            </w:pPr>
          </w:p>
        </w:tc>
      </w:tr>
      <w:tr>
        <w:trPr>
          <w:trHeight w:val="160"/>
        </w:trPr>
        <w:tc>
          <w:tcPr>
            <w:tcW w:w="8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January 31,</w:t>
            </w:r>
          </w:p>
        </w:tc>
        <w:tc>
          <w:tcPr>
            <w:tcW w:w="800" w:type="dxa"/>
            <w:vAlign w:val="bottom"/>
            <w:tcBorders>
              <w:bottom w:val="single" w:sz="8" w:color="auto"/>
            </w:tcBorders>
          </w:tcPr>
          <w:p>
            <w:pPr>
              <w:spacing w:after="0"/>
              <w:rPr>
                <w:sz w:val="13"/>
                <w:szCs w:val="13"/>
                <w:color w:val="auto"/>
              </w:rPr>
            </w:pPr>
          </w:p>
        </w:tc>
      </w:tr>
      <w:tr>
        <w:trPr>
          <w:trHeight w:val="171"/>
        </w:trPr>
        <w:tc>
          <w:tcPr>
            <w:tcW w:w="8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818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Numerator:</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17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income attributable to Mission Produce (in millions)</w:t>
            </w: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3.9</w:t>
            </w:r>
          </w:p>
        </w:tc>
        <w:tc>
          <w:tcPr>
            <w:tcW w:w="7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818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Denominator:</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172"/>
        </w:trPr>
        <w:tc>
          <w:tcPr>
            <w:tcW w:w="8180" w:type="dxa"/>
            <w:vAlign w:val="bottom"/>
          </w:tcPr>
          <w:p>
            <w:pPr>
              <w:ind w:left="20"/>
              <w:spacing w:after="0"/>
              <w:rPr>
                <w:sz w:val="20"/>
                <w:szCs w:val="20"/>
                <w:color w:val="auto"/>
              </w:rPr>
            </w:pPr>
            <w:r>
              <w:rPr>
                <w:rFonts w:ascii="Arial" w:cs="Arial" w:eastAsia="Arial" w:hAnsi="Arial"/>
                <w:sz w:val="11"/>
                <w:szCs w:val="11"/>
                <w:color w:val="auto"/>
              </w:rPr>
              <w:t>Weighted average shares of common stock outstanding, used in computing basic earnings per share</w:t>
            </w:r>
          </w:p>
        </w:tc>
        <w:tc>
          <w:tcPr>
            <w:tcW w:w="4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70,962,630</w:t>
            </w:r>
          </w:p>
        </w:tc>
        <w:tc>
          <w:tcPr>
            <w:tcW w:w="7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70,761,022</w:t>
            </w:r>
          </w:p>
        </w:tc>
      </w:tr>
      <w:tr>
        <w:trPr>
          <w:trHeight w:val="189"/>
        </w:trPr>
        <w:tc>
          <w:tcPr>
            <w:tcW w:w="8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Effect of dilutive stock options</w:t>
            </w:r>
          </w:p>
        </w:tc>
        <w:tc>
          <w:tcPr>
            <w:tcW w:w="46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29,607</w:t>
            </w:r>
          </w:p>
        </w:tc>
        <w:tc>
          <w:tcPr>
            <w:tcW w:w="74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8180" w:type="dxa"/>
            <w:vAlign w:val="bottom"/>
          </w:tcPr>
          <w:p>
            <w:pPr>
              <w:ind w:left="20"/>
              <w:spacing w:after="0"/>
              <w:rPr>
                <w:sz w:val="20"/>
                <w:szCs w:val="20"/>
                <w:color w:val="auto"/>
              </w:rPr>
            </w:pPr>
            <w:r>
              <w:rPr>
                <w:rFonts w:ascii="Arial" w:cs="Arial" w:eastAsia="Arial" w:hAnsi="Arial"/>
                <w:sz w:val="11"/>
                <w:szCs w:val="11"/>
                <w:color w:val="auto"/>
              </w:rPr>
              <w:t>Effect of dilutive RSUs</w:t>
            </w:r>
          </w:p>
        </w:tc>
        <w:tc>
          <w:tcPr>
            <w:tcW w:w="46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328,645</w:t>
            </w:r>
          </w:p>
        </w:tc>
        <w:tc>
          <w:tcPr>
            <w:tcW w:w="7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8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Effect of dilutive PSUs</w:t>
            </w:r>
          </w:p>
        </w:tc>
        <w:tc>
          <w:tcPr>
            <w:tcW w:w="46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63,563</w:t>
            </w:r>
          </w:p>
        </w:tc>
        <w:tc>
          <w:tcPr>
            <w:tcW w:w="74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1"/>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Weighted average shares of common stock outstanding, used in computing diluted earnings per share</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71,384,445</w:t>
            </w: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70,761,022</w:t>
            </w:r>
          </w:p>
        </w:tc>
      </w:tr>
      <w:tr>
        <w:trPr>
          <w:trHeight w:val="180"/>
        </w:trPr>
        <w:tc>
          <w:tcPr>
            <w:tcW w:w="8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Earnings per share</w:t>
            </w:r>
          </w:p>
        </w:tc>
        <w:tc>
          <w:tcPr>
            <w:tcW w:w="4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172"/>
        </w:trPr>
        <w:tc>
          <w:tcPr>
            <w:tcW w:w="8180" w:type="dxa"/>
            <w:vAlign w:val="bottom"/>
          </w:tcPr>
          <w:p>
            <w:pPr>
              <w:ind w:left="140"/>
              <w:spacing w:after="0"/>
              <w:rPr>
                <w:sz w:val="20"/>
                <w:szCs w:val="20"/>
                <w:color w:val="auto"/>
              </w:rPr>
            </w:pPr>
            <w:r>
              <w:rPr>
                <w:rFonts w:ascii="Arial" w:cs="Arial" w:eastAsia="Arial" w:hAnsi="Arial"/>
                <w:sz w:val="11"/>
                <w:szCs w:val="11"/>
                <w:color w:val="auto"/>
              </w:rPr>
              <w:t>Basic</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0.06</w:t>
            </w:r>
          </w:p>
        </w:tc>
        <w:tc>
          <w:tcPr>
            <w:tcW w:w="74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81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46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0.05</w:t>
            </w:r>
          </w:p>
        </w:tc>
        <w:tc>
          <w:tcPr>
            <w:tcW w:w="740" w:type="dxa"/>
            <w:vAlign w:val="bottom"/>
            <w:tcBorders>
              <w:bottom w:val="single" w:sz="8" w:color="auto"/>
            </w:tcBorders>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bl>
    <w:p>
      <w:pPr>
        <w:spacing w:after="0" w:line="238" w:lineRule="exact"/>
        <w:rPr>
          <w:sz w:val="20"/>
          <w:szCs w:val="20"/>
          <w:color w:val="auto"/>
        </w:rPr>
      </w:pPr>
    </w:p>
    <w:p>
      <w:pPr>
        <w:ind w:right="300" w:firstLine="509"/>
        <w:spacing w:after="0" w:line="303" w:lineRule="auto"/>
        <w:rPr>
          <w:sz w:val="20"/>
          <w:szCs w:val="20"/>
          <w:color w:val="auto"/>
        </w:rPr>
      </w:pPr>
      <w:r>
        <w:rPr>
          <w:rFonts w:ascii="Arial" w:cs="Arial" w:eastAsia="Arial" w:hAnsi="Arial"/>
          <w:sz w:val="11"/>
          <w:szCs w:val="11"/>
          <w:color w:val="auto"/>
        </w:rPr>
        <w:t>Equity awards representing shares of common stock outstanding that were excluded in the computation of diluted earnings per share because their effect would have been anti-dilutive as a result of applying the treasury stock method,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60" w:type="dxa"/>
            <w:vAlign w:val="bottom"/>
          </w:tcPr>
          <w:p>
            <w:pPr>
              <w:spacing w:after="0"/>
              <w:rPr>
                <w:sz w:val="11"/>
                <w:szCs w:val="11"/>
                <w:color w:val="auto"/>
              </w:rPr>
            </w:pPr>
          </w:p>
        </w:tc>
        <w:tc>
          <w:tcPr>
            <w:tcW w:w="2260" w:type="dxa"/>
            <w:vAlign w:val="bottom"/>
          </w:tcPr>
          <w:p>
            <w:pPr>
              <w:jc w:val="right"/>
              <w:ind w:right="123"/>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1"/>
                <w:szCs w:val="11"/>
                <w:color w:val="auto"/>
              </w:rPr>
            </w:pPr>
          </w:p>
        </w:tc>
      </w:tr>
      <w:tr>
        <w:trPr>
          <w:trHeight w:val="154"/>
        </w:trPr>
        <w:tc>
          <w:tcPr>
            <w:tcW w:w="8260" w:type="dxa"/>
            <w:vAlign w:val="bottom"/>
          </w:tcPr>
          <w:p>
            <w:pPr>
              <w:spacing w:after="0"/>
              <w:rPr>
                <w:sz w:val="13"/>
                <w:szCs w:val="13"/>
                <w:color w:val="auto"/>
              </w:rPr>
            </w:pPr>
          </w:p>
        </w:tc>
        <w:tc>
          <w:tcPr>
            <w:tcW w:w="2260" w:type="dxa"/>
            <w:vAlign w:val="bottom"/>
          </w:tcPr>
          <w:p>
            <w:pPr>
              <w:jc w:val="right"/>
              <w:ind w:right="383"/>
              <w:spacing w:after="0"/>
              <w:rPr>
                <w:sz w:val="20"/>
                <w:szCs w:val="20"/>
                <w:color w:val="auto"/>
              </w:rPr>
            </w:pPr>
            <w:r>
              <w:rPr>
                <w:rFonts w:ascii="Arial" w:cs="Arial" w:eastAsia="Arial" w:hAnsi="Arial"/>
                <w:sz w:val="11"/>
                <w:szCs w:val="11"/>
                <w:b w:val="1"/>
                <w:bCs w:val="1"/>
                <w:color w:val="auto"/>
              </w:rPr>
              <w:t>January 31,</w:t>
            </w:r>
          </w:p>
        </w:tc>
        <w:tc>
          <w:tcPr>
            <w:tcW w:w="760" w:type="dxa"/>
            <w:vAlign w:val="bottom"/>
          </w:tcPr>
          <w:p>
            <w:pPr>
              <w:spacing w:after="0"/>
              <w:rPr>
                <w:sz w:val="13"/>
                <w:szCs w:val="13"/>
                <w:color w:val="auto"/>
              </w:rPr>
            </w:pPr>
          </w:p>
        </w:tc>
      </w:tr>
      <w:tr>
        <w:trPr>
          <w:trHeight w:val="22"/>
        </w:trPr>
        <w:tc>
          <w:tcPr>
            <w:tcW w:w="82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5"/>
        </w:trPr>
        <w:tc>
          <w:tcPr>
            <w:tcW w:w="8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b w:val="1"/>
                <w:bCs w:val="1"/>
                <w:color w:val="auto"/>
              </w:rPr>
              <w:t>2025</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8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Anti-dilutive stock options</w:t>
            </w:r>
          </w:p>
        </w:tc>
        <w:tc>
          <w:tcPr>
            <w:tcW w:w="2260" w:type="dxa"/>
            <w:vAlign w:val="bottom"/>
            <w:shd w:val="clear" w:color="auto" w:fill="DBDBDB"/>
          </w:tcPr>
          <w:p>
            <w:pPr>
              <w:jc w:val="right"/>
              <w:ind w:right="823"/>
              <w:spacing w:after="0"/>
              <w:rPr>
                <w:sz w:val="20"/>
                <w:szCs w:val="20"/>
                <w:color w:val="auto"/>
              </w:rPr>
            </w:pPr>
            <w:r>
              <w:rPr>
                <w:rFonts w:ascii="Arial" w:cs="Arial" w:eastAsia="Arial" w:hAnsi="Arial"/>
                <w:sz w:val="11"/>
                <w:szCs w:val="11"/>
                <w:color w:val="auto"/>
              </w:rPr>
              <w:t>1,699,770</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2,078,268</w:t>
            </w:r>
          </w:p>
        </w:tc>
      </w:tr>
      <w:tr>
        <w:trPr>
          <w:trHeight w:val="172"/>
        </w:trPr>
        <w:tc>
          <w:tcPr>
            <w:tcW w:w="8260" w:type="dxa"/>
            <w:vAlign w:val="bottom"/>
          </w:tcPr>
          <w:p>
            <w:pPr>
              <w:ind w:left="20"/>
              <w:spacing w:after="0"/>
              <w:rPr>
                <w:sz w:val="20"/>
                <w:szCs w:val="20"/>
                <w:color w:val="auto"/>
              </w:rPr>
            </w:pPr>
            <w:r>
              <w:rPr>
                <w:rFonts w:ascii="Arial" w:cs="Arial" w:eastAsia="Arial" w:hAnsi="Arial"/>
                <w:sz w:val="11"/>
                <w:szCs w:val="11"/>
                <w:color w:val="auto"/>
              </w:rPr>
              <w:t>Anti-dilutive RSUs</w:t>
            </w:r>
          </w:p>
        </w:tc>
        <w:tc>
          <w:tcPr>
            <w:tcW w:w="2260" w:type="dxa"/>
            <w:vAlign w:val="bottom"/>
          </w:tcPr>
          <w:p>
            <w:pPr>
              <w:jc w:val="right"/>
              <w:ind w:right="823"/>
              <w:spacing w:after="0"/>
              <w:rPr>
                <w:sz w:val="20"/>
                <w:szCs w:val="20"/>
                <w:color w:val="auto"/>
              </w:rPr>
            </w:pPr>
            <w:r>
              <w:rPr>
                <w:rFonts w:ascii="Arial" w:cs="Arial" w:eastAsia="Arial" w:hAnsi="Arial"/>
                <w:sz w:val="11"/>
                <w:szCs w:val="11"/>
                <w:color w:val="auto"/>
              </w:rPr>
              <w:t>52,211</w:t>
            </w:r>
          </w:p>
        </w:tc>
        <w:tc>
          <w:tcPr>
            <w:tcW w:w="760" w:type="dxa"/>
            <w:vAlign w:val="bottom"/>
          </w:tcPr>
          <w:p>
            <w:pPr>
              <w:jc w:val="right"/>
              <w:spacing w:after="0"/>
              <w:rPr>
                <w:sz w:val="20"/>
                <w:szCs w:val="20"/>
                <w:color w:val="auto"/>
              </w:rPr>
            </w:pPr>
            <w:r>
              <w:rPr>
                <w:rFonts w:ascii="Arial" w:cs="Arial" w:eastAsia="Arial" w:hAnsi="Arial"/>
                <w:sz w:val="11"/>
                <w:szCs w:val="11"/>
                <w:color w:val="auto"/>
              </w:rPr>
              <w:t>634,360</w:t>
            </w:r>
          </w:p>
        </w:tc>
      </w:tr>
      <w:tr>
        <w:trPr>
          <w:trHeight w:val="180"/>
        </w:trPr>
        <w:tc>
          <w:tcPr>
            <w:tcW w:w="8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Anti-dilutive PSUs</w:t>
            </w:r>
          </w:p>
        </w:tc>
        <w:tc>
          <w:tcPr>
            <w:tcW w:w="2260" w:type="dxa"/>
            <w:vAlign w:val="bottom"/>
            <w:tcBorders>
              <w:bottom w:val="single" w:sz="8" w:color="auto"/>
            </w:tcBorders>
            <w:shd w:val="clear" w:color="auto" w:fill="DBDBDB"/>
          </w:tcPr>
          <w:p>
            <w:pPr>
              <w:jc w:val="right"/>
              <w:ind w:right="8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 w:type="dxa"/>
            <w:vAlign w:val="bottom"/>
          </w:tcPr>
          <w:p>
            <w:pPr>
              <w:spacing w:after="0"/>
              <w:rPr>
                <w:sz w:val="20"/>
                <w:szCs w:val="20"/>
                <w:color w:val="auto"/>
              </w:rPr>
            </w:pPr>
            <w:r>
              <w:rPr>
                <w:rFonts w:ascii="Arial" w:cs="Arial" w:eastAsia="Arial" w:hAnsi="Arial"/>
                <w:sz w:val="14"/>
                <w:szCs w:val="14"/>
                <w:b w:val="1"/>
                <w:bCs w:val="1"/>
                <w:color w:val="auto"/>
              </w:rPr>
              <w:t>11.</w:t>
            </w:r>
          </w:p>
        </w:tc>
        <w:tc>
          <w:tcPr>
            <w:tcW w:w="2700" w:type="dxa"/>
            <w:vAlign w:val="bottom"/>
            <w:gridSpan w:val="4"/>
          </w:tcPr>
          <w:p>
            <w:pPr>
              <w:ind w:left="40"/>
              <w:spacing w:after="0"/>
              <w:rPr>
                <w:sz w:val="20"/>
                <w:szCs w:val="20"/>
                <w:color w:val="auto"/>
              </w:rPr>
            </w:pPr>
            <w:r>
              <w:rPr>
                <w:rFonts w:ascii="Arial" w:cs="Arial" w:eastAsia="Arial" w:hAnsi="Arial"/>
                <w:sz w:val="14"/>
                <w:szCs w:val="14"/>
                <w:b w:val="1"/>
                <w:bCs w:val="1"/>
                <w:color w:val="auto"/>
              </w:rPr>
              <w:t>Related Party Transactions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360" w:type="dxa"/>
            <w:vAlign w:val="bottom"/>
          </w:tcPr>
          <w:p>
            <w:pPr>
              <w:spacing w:after="0"/>
              <w:rPr>
                <w:sz w:val="24"/>
                <w:szCs w:val="24"/>
                <w:color w:val="auto"/>
              </w:rPr>
            </w:pPr>
          </w:p>
        </w:tc>
        <w:tc>
          <w:tcPr>
            <w:tcW w:w="6100" w:type="dxa"/>
            <w:vAlign w:val="bottom"/>
            <w:gridSpan w:val="10"/>
          </w:tcPr>
          <w:p>
            <w:pPr>
              <w:jc w:val="right"/>
              <w:ind w:right="391"/>
              <w:spacing w:after="0"/>
              <w:rPr>
                <w:sz w:val="20"/>
                <w:szCs w:val="20"/>
                <w:color w:val="auto"/>
              </w:rPr>
            </w:pPr>
            <w:r>
              <w:rPr>
                <w:rFonts w:ascii="Arial" w:cs="Arial" w:eastAsia="Arial" w:hAnsi="Arial"/>
                <w:sz w:val="11"/>
                <w:szCs w:val="11"/>
                <w:color w:val="auto"/>
              </w:rPr>
              <w:t>Transactions with related parties included in the condensed consolidated financial statements were as follows: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0"/>
                <w:szCs w:val="10"/>
                <w:b w:val="1"/>
                <w:bCs w:val="1"/>
                <w:color w:val="auto"/>
                <w:w w:val="99"/>
              </w:rPr>
              <w:t>Condensed Consolidated Balance Sheets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0"/>
                <w:szCs w:val="10"/>
                <w:b w:val="1"/>
                <w:bCs w:val="1"/>
                <w:color w:val="auto"/>
              </w:rPr>
              <w:t>January 31, 2025</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0"/>
                <w:szCs w:val="10"/>
                <w:b w:val="1"/>
                <w:bCs w:val="1"/>
                <w:color w:val="auto"/>
              </w:rPr>
              <w:t>October 31, 2024</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20"/>
              <w:spacing w:after="0"/>
              <w:rPr>
                <w:sz w:val="20"/>
                <w:szCs w:val="20"/>
                <w:color w:val="auto"/>
              </w:rPr>
            </w:pPr>
            <w:r>
              <w:rPr>
                <w:rFonts w:ascii="Arial" w:cs="Arial" w:eastAsia="Arial" w:hAnsi="Arial"/>
                <w:sz w:val="10"/>
                <w:szCs w:val="10"/>
                <w:color w:val="auto"/>
              </w:rPr>
              <w:t>(In millions)</w:t>
            </w: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0"/>
                <w:szCs w:val="10"/>
                <w:color w:val="auto"/>
              </w:rPr>
              <w:t>Accounts receivable</w:t>
            </w:r>
          </w:p>
        </w:tc>
        <w:tc>
          <w:tcPr>
            <w:tcW w:w="200" w:type="dxa"/>
            <w:vAlign w:val="bottom"/>
          </w:tcPr>
          <w:p>
            <w:pPr>
              <w:spacing w:after="0"/>
              <w:rPr>
                <w:sz w:val="11"/>
                <w:szCs w:val="11"/>
                <w:color w:val="auto"/>
              </w:rPr>
            </w:pP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Property, plant and</w:t>
            </w:r>
          </w:p>
        </w:tc>
        <w:tc>
          <w:tcPr>
            <w:tcW w:w="140" w:type="dxa"/>
            <w:vAlign w:val="bottom"/>
          </w:tcPr>
          <w:p>
            <w:pPr>
              <w:spacing w:after="0"/>
              <w:rPr>
                <w:sz w:val="11"/>
                <w:szCs w:val="11"/>
                <w:color w:val="auto"/>
              </w:rPr>
            </w:pPr>
          </w:p>
        </w:tc>
        <w:tc>
          <w:tcPr>
            <w:tcW w:w="1040" w:type="dxa"/>
            <w:vAlign w:val="bottom"/>
          </w:tcPr>
          <w:p>
            <w:pPr>
              <w:jc w:val="right"/>
              <w:ind w:right="91"/>
              <w:spacing w:after="0"/>
              <w:rPr>
                <w:sz w:val="20"/>
                <w:szCs w:val="20"/>
                <w:color w:val="auto"/>
              </w:rPr>
            </w:pPr>
            <w:r>
              <w:rPr>
                <w:rFonts w:ascii="Arial" w:cs="Arial" w:eastAsia="Arial" w:hAnsi="Arial"/>
                <w:sz w:val="10"/>
                <w:szCs w:val="10"/>
                <w:color w:val="auto"/>
                <w:w w:val="99"/>
              </w:rPr>
              <w:t>Accounts payable &amp;</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Finance lease</w:t>
            </w:r>
          </w:p>
        </w:tc>
        <w:tc>
          <w:tcPr>
            <w:tcW w:w="300" w:type="dxa"/>
            <w:vAlign w:val="bottom"/>
          </w:tcPr>
          <w:p>
            <w:pPr>
              <w:spacing w:after="0"/>
              <w:rPr>
                <w:sz w:val="11"/>
                <w:szCs w:val="11"/>
                <w:color w:val="auto"/>
              </w:rPr>
            </w:pPr>
          </w:p>
        </w:tc>
        <w:tc>
          <w:tcPr>
            <w:tcW w:w="1100" w:type="dxa"/>
            <w:vAlign w:val="bottom"/>
            <w:gridSpan w:val="3"/>
            <w:vMerge w:val="restart"/>
          </w:tcPr>
          <w:p>
            <w:pPr>
              <w:jc w:val="right"/>
              <w:ind w:right="51"/>
              <w:spacing w:after="0"/>
              <w:rPr>
                <w:sz w:val="20"/>
                <w:szCs w:val="20"/>
                <w:color w:val="auto"/>
              </w:rPr>
            </w:pPr>
            <w:r>
              <w:rPr>
                <w:rFonts w:ascii="Arial" w:cs="Arial" w:eastAsia="Arial" w:hAnsi="Arial"/>
                <w:sz w:val="10"/>
                <w:szCs w:val="10"/>
                <w:color w:val="auto"/>
              </w:rPr>
              <w:t>Accounts receivable</w:t>
            </w:r>
          </w:p>
        </w:tc>
        <w:tc>
          <w:tcPr>
            <w:tcW w:w="160" w:type="dxa"/>
            <w:vAlign w:val="bottom"/>
          </w:tcPr>
          <w:p>
            <w:pPr>
              <w:spacing w:after="0"/>
              <w:rPr>
                <w:sz w:val="11"/>
                <w:szCs w:val="11"/>
                <w:color w:val="auto"/>
              </w:rPr>
            </w:pPr>
          </w:p>
        </w:tc>
        <w:tc>
          <w:tcPr>
            <w:tcW w:w="1000" w:type="dxa"/>
            <w:vAlign w:val="bottom"/>
          </w:tcPr>
          <w:p>
            <w:pPr>
              <w:jc w:val="right"/>
              <w:ind w:right="31"/>
              <w:spacing w:after="0"/>
              <w:rPr>
                <w:sz w:val="20"/>
                <w:szCs w:val="20"/>
                <w:color w:val="auto"/>
              </w:rPr>
            </w:pPr>
            <w:r>
              <w:rPr>
                <w:rFonts w:ascii="Arial" w:cs="Arial" w:eastAsia="Arial" w:hAnsi="Arial"/>
                <w:sz w:val="10"/>
                <w:szCs w:val="10"/>
                <w:color w:val="auto"/>
              </w:rPr>
              <w:t>Property, plant and</w:t>
            </w:r>
          </w:p>
        </w:tc>
        <w:tc>
          <w:tcPr>
            <w:tcW w:w="180" w:type="dxa"/>
            <w:vAlign w:val="bottom"/>
          </w:tcPr>
          <w:p>
            <w:pPr>
              <w:spacing w:after="0"/>
              <w:rPr>
                <w:sz w:val="11"/>
                <w:szCs w:val="11"/>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color w:val="auto"/>
                <w:w w:val="99"/>
              </w:rPr>
              <w:t>Accounts payable &amp;</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Finance lease</w:t>
            </w:r>
          </w:p>
        </w:tc>
        <w:tc>
          <w:tcPr>
            <w:tcW w:w="0" w:type="dxa"/>
            <w:vAlign w:val="bottom"/>
          </w:tcPr>
          <w:p>
            <w:pPr>
              <w:spacing w:after="0"/>
              <w:rPr>
                <w:sz w:val="1"/>
                <w:szCs w:val="1"/>
                <w:color w:val="auto"/>
              </w:rPr>
            </w:pPr>
          </w:p>
        </w:tc>
      </w:tr>
      <w:tr>
        <w:trPr>
          <w:trHeight w:val="135"/>
        </w:trPr>
        <w:tc>
          <w:tcPr>
            <w:tcW w:w="19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equipment, net</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accrued expenses</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liabilities</w:t>
            </w: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equipment, net</w:t>
            </w: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accrued expenses</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liabilities</w:t>
            </w:r>
          </w:p>
        </w:tc>
        <w:tc>
          <w:tcPr>
            <w:tcW w:w="0" w:type="dxa"/>
            <w:vAlign w:val="bottom"/>
          </w:tcPr>
          <w:p>
            <w:pPr>
              <w:spacing w:after="0"/>
              <w:rPr>
                <w:sz w:val="1"/>
                <w:szCs w:val="1"/>
                <w:color w:val="auto"/>
              </w:rPr>
            </w:pPr>
          </w:p>
        </w:tc>
      </w:tr>
      <w:tr>
        <w:trPr>
          <w:trHeight w:val="155"/>
        </w:trPr>
        <w:tc>
          <w:tcPr>
            <w:tcW w:w="1980" w:type="dxa"/>
            <w:vAlign w:val="bottom"/>
            <w:gridSpan w:val="2"/>
            <w:shd w:val="clear" w:color="auto" w:fill="DBDBDB"/>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80" w:type="dxa"/>
            <w:vAlign w:val="bottom"/>
            <w:gridSpan w:val="2"/>
          </w:tcPr>
          <w:p>
            <w:pPr>
              <w:ind w:left="100"/>
              <w:spacing w:after="0"/>
              <w:rPr>
                <w:sz w:val="20"/>
                <w:szCs w:val="20"/>
                <w:color w:val="auto"/>
              </w:rPr>
            </w:pPr>
            <w:r>
              <w:rPr>
                <w:rFonts w:ascii="Arial" w:cs="Arial" w:eastAsia="Arial" w:hAnsi="Arial"/>
                <w:sz w:val="10"/>
                <w:szCs w:val="10"/>
                <w:color w:val="auto"/>
              </w:rPr>
              <w:t>Mr. Avocado</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2"/>
                <w:szCs w:val="12"/>
                <w:color w:val="auto"/>
              </w:rPr>
            </w:pPr>
          </w:p>
        </w:tc>
        <w:tc>
          <w:tcPr>
            <w:tcW w:w="2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0.7</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60" w:type="dxa"/>
            <w:vAlign w:val="bottom"/>
            <w:shd w:val="clear" w:color="auto" w:fill="DBDBDB"/>
          </w:tcPr>
          <w:p>
            <w:pPr>
              <w:ind w:left="20"/>
              <w:spacing w:after="0"/>
              <w:rPr>
                <w:sz w:val="20"/>
                <w:szCs w:val="20"/>
                <w:color w:val="auto"/>
              </w:rPr>
            </w:pPr>
            <w:r>
              <w:rPr>
                <w:rFonts w:ascii="Arial" w:cs="Arial" w:eastAsia="Arial" w:hAnsi="Arial"/>
                <w:sz w:val="10"/>
                <w:szCs w:val="10"/>
                <w:b w:val="1"/>
                <w:bCs w:val="1"/>
                <w:color w:val="auto"/>
              </w:rPr>
              <w:t>Other:</w:t>
            </w:r>
          </w:p>
        </w:tc>
        <w:tc>
          <w:tcPr>
            <w:tcW w:w="16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80" w:type="dxa"/>
            <w:vAlign w:val="bottom"/>
            <w:gridSpan w:val="2"/>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(1)</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11"/>
              <w:spacing w:after="0"/>
              <w:rPr>
                <w:sz w:val="20"/>
                <w:szCs w:val="20"/>
                <w:color w:val="auto"/>
              </w:rPr>
            </w:pPr>
            <w:r>
              <w:rPr>
                <w:rFonts w:ascii="Arial" w:cs="Arial" w:eastAsia="Arial" w:hAnsi="Arial"/>
                <w:sz w:val="10"/>
                <w:szCs w:val="10"/>
                <w:color w:val="auto"/>
              </w:rPr>
              <w:t>19.8</w:t>
            </w:r>
          </w:p>
        </w:tc>
        <w:tc>
          <w:tcPr>
            <w:tcW w:w="140" w:type="dxa"/>
            <w:vAlign w:val="bottom"/>
          </w:tcPr>
          <w:p>
            <w:pPr>
              <w:spacing w:after="0"/>
              <w:rPr>
                <w:sz w:val="13"/>
                <w:szCs w:val="13"/>
                <w:color w:val="auto"/>
              </w:rPr>
            </w:pPr>
          </w:p>
        </w:tc>
        <w:tc>
          <w:tcPr>
            <w:tcW w:w="1040" w:type="dxa"/>
            <w:vAlign w:val="bottom"/>
          </w:tcPr>
          <w:p>
            <w:pPr>
              <w:jc w:val="right"/>
              <w:ind w:right="131"/>
              <w:spacing w:after="0"/>
              <w:rPr>
                <w:sz w:val="20"/>
                <w:szCs w:val="20"/>
                <w:color w:val="auto"/>
              </w:rPr>
            </w:pPr>
            <w:r>
              <w:rPr>
                <w:rFonts w:ascii="Arial" w:cs="Arial" w:eastAsia="Arial" w:hAnsi="Arial"/>
                <w:sz w:val="10"/>
                <w:szCs w:val="10"/>
                <w:color w:val="auto"/>
              </w:rPr>
              <w:t>0.1</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20.2</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0.2</w:t>
            </w:r>
          </w:p>
        </w:tc>
        <w:tc>
          <w:tcPr>
            <w:tcW w:w="160" w:type="dxa"/>
            <w:vAlign w:val="bottom"/>
          </w:tcPr>
          <w:p>
            <w:pPr>
              <w:spacing w:after="0"/>
              <w:rPr>
                <w:sz w:val="13"/>
                <w:szCs w:val="13"/>
                <w:color w:val="auto"/>
              </w:rPr>
            </w:pP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20.0</w:t>
            </w:r>
          </w:p>
        </w:tc>
        <w:tc>
          <w:tcPr>
            <w:tcW w:w="180" w:type="dxa"/>
            <w:vAlign w:val="bottom"/>
          </w:tcPr>
          <w:p>
            <w:pPr>
              <w:spacing w:after="0"/>
              <w:rPr>
                <w:sz w:val="13"/>
                <w:szCs w:val="13"/>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21.7</w:t>
            </w:r>
          </w:p>
        </w:tc>
        <w:tc>
          <w:tcPr>
            <w:tcW w:w="0" w:type="dxa"/>
            <w:vAlign w:val="bottom"/>
          </w:tcPr>
          <w:p>
            <w:pPr>
              <w:spacing w:after="0"/>
              <w:rPr>
                <w:sz w:val="1"/>
                <w:szCs w:val="1"/>
                <w:color w:val="auto"/>
              </w:rPr>
            </w:pPr>
          </w:p>
        </w:tc>
      </w:tr>
      <w:tr>
        <w:trPr>
          <w:trHeight w:val="159"/>
        </w:trPr>
        <w:tc>
          <w:tcPr>
            <w:tcW w:w="1980" w:type="dxa"/>
            <w:vAlign w:val="bottom"/>
            <w:tcBorders>
              <w:bottom w:val="single" w:sz="8" w:color="auto"/>
            </w:tcBorders>
            <w:gridSpan w:val="2"/>
            <w:shd w:val="clear" w:color="auto" w:fill="DBDBDB"/>
          </w:tcPr>
          <w:p>
            <w:pPr>
              <w:ind w:left="100"/>
              <w:spacing w:after="0"/>
              <w:rPr>
                <w:sz w:val="20"/>
                <w:szCs w:val="20"/>
                <w:color w:val="auto"/>
              </w:rPr>
            </w:pPr>
            <w:r>
              <w:rPr>
                <w:rFonts w:ascii="Arial" w:cs="Arial" w:eastAsia="Arial" w:hAnsi="Arial"/>
                <w:sz w:val="10"/>
                <w:szCs w:val="10"/>
                <w:color w:val="auto"/>
              </w:rPr>
              <w:t>Employees</w:t>
            </w:r>
            <w:r>
              <w:rPr>
                <w:rFonts w:ascii="Arial" w:cs="Arial" w:eastAsia="Arial" w:hAnsi="Arial"/>
                <w:sz w:val="12"/>
                <w:szCs w:val="12"/>
                <w:color w:val="auto"/>
                <w:vertAlign w:val="superscript"/>
              </w:rPr>
              <w:t>(2)</w:t>
            </w:r>
          </w:p>
        </w:tc>
        <w:tc>
          <w:tcPr>
            <w:tcW w:w="100" w:type="dxa"/>
            <w:vAlign w:val="bottom"/>
            <w:tcBorders>
              <w:bottom w:val="single" w:sz="8" w:color="auto"/>
            </w:tcBorders>
            <w:shd w:val="clear" w:color="auto" w:fill="DBDBDB"/>
          </w:tcPr>
          <w:p>
            <w:pPr>
              <w:spacing w:after="0"/>
              <w:rPr>
                <w:sz w:val="13"/>
                <w:szCs w:val="13"/>
                <w:color w:val="auto"/>
              </w:rPr>
            </w:pPr>
          </w:p>
        </w:tc>
        <w:tc>
          <w:tcPr>
            <w:tcW w:w="98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ind w:right="111"/>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DBDBDB"/>
          </w:tcPr>
          <w:p>
            <w:pPr>
              <w:spacing w:after="0"/>
              <w:rPr>
                <w:sz w:val="13"/>
                <w:szCs w:val="13"/>
                <w:color w:val="auto"/>
              </w:rPr>
            </w:pPr>
          </w:p>
        </w:tc>
        <w:tc>
          <w:tcPr>
            <w:tcW w:w="10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rPr>
              <w:t>1.5</w:t>
            </w:r>
          </w:p>
        </w:tc>
        <w:tc>
          <w:tcPr>
            <w:tcW w:w="180" w:type="dxa"/>
            <w:vAlign w:val="bottom"/>
            <w:tcBorders>
              <w:bottom w:val="single" w:sz="8" w:color="auto"/>
            </w:tcBorders>
            <w:shd w:val="clear" w:color="auto" w:fill="DBDBDB"/>
          </w:tcPr>
          <w:p>
            <w:pPr>
              <w:spacing w:after="0"/>
              <w:rPr>
                <w:sz w:val="13"/>
                <w:szCs w:val="13"/>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shd w:val="clear" w:color="auto" w:fill="DBDBDB"/>
          </w:tcPr>
          <w:p>
            <w:pPr>
              <w:spacing w:after="0"/>
              <w:rPr>
                <w:sz w:val="13"/>
                <w:szCs w:val="13"/>
                <w:color w:val="auto"/>
              </w:rPr>
            </w:pPr>
          </w:p>
        </w:tc>
        <w:tc>
          <w:tcPr>
            <w:tcW w:w="180" w:type="dxa"/>
            <w:vAlign w:val="bottom"/>
            <w:tcBorders>
              <w:bottom w:val="single" w:sz="8" w:color="auto"/>
            </w:tcBorders>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spacing w:after="0"/>
              <w:rPr>
                <w:sz w:val="13"/>
                <w:szCs w:val="13"/>
                <w:color w:val="auto"/>
              </w:rPr>
            </w:pPr>
          </w:p>
        </w:tc>
        <w:tc>
          <w:tcPr>
            <w:tcW w:w="64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BDBDB"/>
          </w:tcPr>
          <w:p>
            <w:pPr>
              <w:spacing w:after="0"/>
              <w:rPr>
                <w:sz w:val="13"/>
                <w:szCs w:val="13"/>
                <w:color w:val="auto"/>
              </w:rPr>
            </w:pPr>
          </w:p>
        </w:tc>
        <w:tc>
          <w:tcPr>
            <w:tcW w:w="9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rPr>
              <w:t>0.4</w:t>
            </w:r>
          </w:p>
        </w:tc>
        <w:tc>
          <w:tcPr>
            <w:tcW w:w="22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1"/>
        </w:trPr>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right"/>
              <w:ind w:right="711"/>
              <w:spacing w:after="0"/>
              <w:rPr>
                <w:sz w:val="20"/>
                <w:szCs w:val="20"/>
                <w:color w:val="auto"/>
              </w:rPr>
            </w:pPr>
            <w:r>
              <w:rPr>
                <w:rFonts w:ascii="Arial" w:cs="Arial" w:eastAsia="Arial" w:hAnsi="Arial"/>
                <w:sz w:val="10"/>
                <w:szCs w:val="10"/>
                <w:b w:val="1"/>
                <w:bCs w:val="1"/>
                <w:color w:val="auto"/>
              </w:rPr>
              <w:t>Condensed Consolidated Statements of Income</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(In millions)</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Net sales</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Cost of sales</w:t>
            </w:r>
          </w:p>
        </w:tc>
        <w:tc>
          <w:tcPr>
            <w:tcW w:w="1600" w:type="dxa"/>
            <w:vAlign w:val="bottom"/>
            <w:tcBorders>
              <w:bottom w:val="single" w:sz="8" w:color="auto"/>
            </w:tcBorders>
            <w:gridSpan w:val="4"/>
          </w:tcPr>
          <w:p>
            <w:pPr>
              <w:ind w:left="520"/>
              <w:spacing w:after="0"/>
              <w:rPr>
                <w:sz w:val="20"/>
                <w:szCs w:val="20"/>
                <w:color w:val="auto"/>
              </w:rPr>
            </w:pPr>
            <w:r>
              <w:rPr>
                <w:rFonts w:ascii="Arial" w:cs="Arial" w:eastAsia="Arial" w:hAnsi="Arial"/>
                <w:sz w:val="10"/>
                <w:szCs w:val="10"/>
                <w:b w:val="1"/>
                <w:bCs w:val="1"/>
                <w:color w:val="auto"/>
              </w:rPr>
              <w:t>Interest expense</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w w:val="95"/>
              </w:rPr>
              <w:t>Net sales</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Cost of sales</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Interest expense</w:t>
            </w:r>
          </w:p>
        </w:tc>
        <w:tc>
          <w:tcPr>
            <w:tcW w:w="0" w:type="dxa"/>
            <w:vAlign w:val="bottom"/>
          </w:tcPr>
          <w:p>
            <w:pPr>
              <w:spacing w:after="0"/>
              <w:rPr>
                <w:sz w:val="1"/>
                <w:szCs w:val="1"/>
                <w:color w:val="auto"/>
              </w:rPr>
            </w:pPr>
          </w:p>
        </w:tc>
      </w:tr>
      <w:tr>
        <w:trPr>
          <w:trHeight w:val="122"/>
        </w:trPr>
        <w:tc>
          <w:tcPr>
            <w:tcW w:w="360" w:type="dxa"/>
            <w:vAlign w:val="bottom"/>
            <w:shd w:val="clear" w:color="auto" w:fill="DBDBDB"/>
          </w:tcPr>
          <w:p>
            <w:pPr>
              <w:spacing w:after="0"/>
              <w:rPr>
                <w:sz w:val="10"/>
                <w:szCs w:val="10"/>
                <w:color w:val="auto"/>
              </w:rPr>
            </w:pPr>
          </w:p>
        </w:tc>
        <w:tc>
          <w:tcPr>
            <w:tcW w:w="16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shd w:val="clear" w:color="auto" w:fill="DBDBDB"/>
          </w:tcPr>
          <w:p>
            <w:pPr>
              <w:spacing w:after="0"/>
              <w:rPr>
                <w:sz w:val="10"/>
                <w:szCs w:val="10"/>
                <w:color w:val="auto"/>
              </w:rPr>
            </w:pPr>
          </w:p>
        </w:tc>
        <w:tc>
          <w:tcPr>
            <w:tcW w:w="84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2160" w:type="dxa"/>
            <w:vAlign w:val="bottom"/>
            <w:gridSpan w:val="3"/>
            <w:shd w:val="clear" w:color="auto" w:fill="DBDBDB"/>
          </w:tcPr>
          <w:p>
            <w:pPr>
              <w:jc w:val="right"/>
              <w:ind w:right="411"/>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0" w:type="dxa"/>
            <w:vAlign w:val="bottom"/>
            <w:shd w:val="clear" w:color="auto" w:fill="DBDBDB"/>
          </w:tcPr>
          <w:p>
            <w:pPr>
              <w:spacing w:after="0"/>
              <w:rPr>
                <w:sz w:val="13"/>
                <w:szCs w:val="13"/>
                <w:color w:val="auto"/>
              </w:rPr>
            </w:pPr>
          </w:p>
        </w:tc>
        <w:tc>
          <w:tcPr>
            <w:tcW w:w="16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2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spacing w:after="0"/>
              <w:rPr>
                <w:sz w:val="13"/>
                <w:szCs w:val="13"/>
                <w:color w:val="auto"/>
              </w:rPr>
            </w:pPr>
          </w:p>
        </w:tc>
        <w:tc>
          <w:tcPr>
            <w:tcW w:w="140" w:type="dxa"/>
            <w:vAlign w:val="bottom"/>
            <w:tcBorders>
              <w:bottom w:val="single" w:sz="8" w:color="auto"/>
            </w:tcBorders>
            <w:shd w:val="clear" w:color="auto" w:fill="DBDBDB"/>
          </w:tcPr>
          <w:p>
            <w:pPr>
              <w:spacing w:after="0"/>
              <w:rPr>
                <w:sz w:val="13"/>
                <w:szCs w:val="13"/>
                <w:color w:val="auto"/>
              </w:rPr>
            </w:pPr>
          </w:p>
        </w:tc>
        <w:tc>
          <w:tcPr>
            <w:tcW w:w="104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0"/>
                <w:szCs w:val="10"/>
                <w:b w:val="1"/>
                <w:bCs w:val="1"/>
                <w:color w:val="auto"/>
              </w:rPr>
              <w:t>January 31, 2025</w:t>
            </w:r>
          </w:p>
        </w:tc>
        <w:tc>
          <w:tcPr>
            <w:tcW w:w="180" w:type="dxa"/>
            <w:vAlign w:val="bottom"/>
            <w:tcBorders>
              <w:bottom w:val="single" w:sz="8" w:color="auto"/>
            </w:tcBorders>
            <w:shd w:val="clear" w:color="auto" w:fill="DBDBDB"/>
          </w:tcPr>
          <w:p>
            <w:pPr>
              <w:spacing w:after="0"/>
              <w:rPr>
                <w:sz w:val="13"/>
                <w:szCs w:val="13"/>
                <w:color w:val="auto"/>
              </w:rPr>
            </w:pPr>
          </w:p>
        </w:tc>
        <w:tc>
          <w:tcPr>
            <w:tcW w:w="840" w:type="dxa"/>
            <w:vAlign w:val="bottom"/>
            <w:tcBorders>
              <w:bottom w:val="single" w:sz="8" w:color="auto"/>
            </w:tcBorders>
            <w:shd w:val="clear" w:color="auto" w:fill="DBDBDB"/>
          </w:tcPr>
          <w:p>
            <w:pPr>
              <w:spacing w:after="0"/>
              <w:rPr>
                <w:sz w:val="13"/>
                <w:szCs w:val="13"/>
                <w:color w:val="auto"/>
              </w:rPr>
            </w:pPr>
          </w:p>
        </w:tc>
        <w:tc>
          <w:tcPr>
            <w:tcW w:w="300" w:type="dxa"/>
            <w:vAlign w:val="bottom"/>
            <w:tcBorders>
              <w:bottom w:val="single" w:sz="8" w:color="auto"/>
            </w:tcBorders>
            <w:shd w:val="clear" w:color="auto" w:fill="DBDBDB"/>
          </w:tcPr>
          <w:p>
            <w:pPr>
              <w:spacing w:after="0"/>
              <w:rPr>
                <w:sz w:val="13"/>
                <w:szCs w:val="13"/>
                <w:color w:val="auto"/>
              </w:rPr>
            </w:pPr>
          </w:p>
        </w:tc>
        <w:tc>
          <w:tcPr>
            <w:tcW w:w="180" w:type="dxa"/>
            <w:vAlign w:val="bottom"/>
            <w:tcBorders>
              <w:bottom w:val="single" w:sz="8" w:color="auto"/>
            </w:tcBorders>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640" w:type="dxa"/>
            <w:vAlign w:val="bottom"/>
            <w:tcBorders>
              <w:bottom w:val="single" w:sz="8" w:color="auto"/>
            </w:tcBorders>
            <w:shd w:val="clear" w:color="auto" w:fill="DBDBDB"/>
          </w:tcPr>
          <w:p>
            <w:pPr>
              <w:spacing w:after="0"/>
              <w:rPr>
                <w:sz w:val="13"/>
                <w:szCs w:val="13"/>
                <w:color w:val="auto"/>
              </w:rPr>
            </w:pPr>
          </w:p>
        </w:tc>
        <w:tc>
          <w:tcPr>
            <w:tcW w:w="160" w:type="dxa"/>
            <w:vAlign w:val="bottom"/>
            <w:tcBorders>
              <w:bottom w:val="single" w:sz="8" w:color="auto"/>
            </w:tcBorders>
            <w:shd w:val="clear" w:color="auto" w:fill="DBDBDB"/>
          </w:tcPr>
          <w:p>
            <w:pPr>
              <w:spacing w:after="0"/>
              <w:rPr>
                <w:sz w:val="13"/>
                <w:szCs w:val="13"/>
                <w:color w:val="auto"/>
              </w:rPr>
            </w:pPr>
          </w:p>
        </w:tc>
        <w:tc>
          <w:tcPr>
            <w:tcW w:w="2160" w:type="dxa"/>
            <w:vAlign w:val="bottom"/>
            <w:tcBorders>
              <w:bottom w:val="single" w:sz="8" w:color="auto"/>
            </w:tcBorders>
            <w:gridSpan w:val="3"/>
            <w:shd w:val="clear" w:color="auto" w:fill="DBDBDB"/>
          </w:tcPr>
          <w:p>
            <w:pPr>
              <w:jc w:val="right"/>
              <w:ind w:right="491"/>
              <w:spacing w:after="0"/>
              <w:rPr>
                <w:sz w:val="20"/>
                <w:szCs w:val="20"/>
                <w:color w:val="auto"/>
              </w:rPr>
            </w:pPr>
            <w:r>
              <w:rPr>
                <w:rFonts w:ascii="Arial" w:cs="Arial" w:eastAsia="Arial" w:hAnsi="Arial"/>
                <w:sz w:val="10"/>
                <w:szCs w:val="10"/>
                <w:b w:val="1"/>
                <w:bCs w:val="1"/>
                <w:color w:val="auto"/>
              </w:rPr>
              <w:t>January 31, 2024</w:t>
            </w:r>
          </w:p>
        </w:tc>
        <w:tc>
          <w:tcPr>
            <w:tcW w:w="22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Other:</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80" w:type="dxa"/>
            <w:vAlign w:val="bottom"/>
            <w:gridSpan w:val="2"/>
            <w:shd w:val="clear" w:color="auto" w:fill="DBDBDB"/>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(1)</w:t>
            </w:r>
          </w:p>
        </w:tc>
        <w:tc>
          <w:tcPr>
            <w:tcW w:w="10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00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rPr>
              <w:t>0.6</w:t>
            </w:r>
          </w:p>
        </w:tc>
        <w:tc>
          <w:tcPr>
            <w:tcW w:w="14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18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w w:val="71"/>
              </w:rPr>
              <w:t>0.3</w:t>
            </w:r>
          </w:p>
        </w:tc>
        <w:tc>
          <w:tcPr>
            <w:tcW w:w="840" w:type="dxa"/>
            <w:vAlign w:val="bottom"/>
            <w:shd w:val="clear" w:color="auto" w:fill="DBDBDB"/>
          </w:tcPr>
          <w:p>
            <w:pPr>
              <w:spacing w:after="0"/>
              <w:rPr>
                <w:sz w:val="14"/>
                <w:szCs w:val="14"/>
                <w:color w:val="auto"/>
              </w:rPr>
            </w:pPr>
          </w:p>
        </w:tc>
        <w:tc>
          <w:tcPr>
            <w:tcW w:w="480" w:type="dxa"/>
            <w:vAlign w:val="bottom"/>
            <w:gridSpan w:val="2"/>
            <w:shd w:val="clear" w:color="auto" w:fill="DBDBDB"/>
          </w:tcPr>
          <w:p>
            <w:pPr>
              <w:jc w:val="right"/>
              <w:ind w:right="11"/>
              <w:spacing w:after="0"/>
              <w:rPr>
                <w:sz w:val="20"/>
                <w:szCs w:val="20"/>
                <w:color w:val="auto"/>
              </w:rPr>
            </w:pPr>
            <w:r>
              <w:rPr>
                <w:rFonts w:ascii="Arial" w:cs="Arial" w:eastAsia="Arial" w:hAnsi="Arial"/>
                <w:sz w:val="10"/>
                <w:szCs w:val="10"/>
                <w:color w:val="auto"/>
              </w:rPr>
              <w:t>0.5</w:t>
            </w:r>
          </w:p>
        </w:tc>
        <w:tc>
          <w:tcPr>
            <w:tcW w:w="2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00" w:type="dxa"/>
            <w:vAlign w:val="bottom"/>
            <w:shd w:val="clear" w:color="auto" w:fill="DBDBDB"/>
          </w:tcPr>
          <w:p>
            <w:pPr>
              <w:jc w:val="right"/>
              <w:ind w:right="531"/>
              <w:spacing w:after="0"/>
              <w:rPr>
                <w:sz w:val="20"/>
                <w:szCs w:val="20"/>
                <w:color w:val="auto"/>
              </w:rPr>
            </w:pPr>
            <w:r>
              <w:rPr>
                <w:rFonts w:ascii="Arial" w:cs="Arial" w:eastAsia="Arial" w:hAnsi="Arial"/>
                <w:sz w:val="10"/>
                <w:szCs w:val="10"/>
                <w:color w:val="auto"/>
              </w:rPr>
              <w:t>0.2</w:t>
            </w:r>
          </w:p>
        </w:tc>
        <w:tc>
          <w:tcPr>
            <w:tcW w:w="180" w:type="dxa"/>
            <w:vAlign w:val="bottom"/>
            <w:shd w:val="clear" w:color="auto" w:fill="DBDBDB"/>
          </w:tcPr>
          <w:p>
            <w:pPr>
              <w:spacing w:after="0"/>
              <w:rPr>
                <w:sz w:val="14"/>
                <w:szCs w:val="14"/>
                <w:color w:val="auto"/>
              </w:rPr>
            </w:pPr>
          </w:p>
        </w:tc>
        <w:tc>
          <w:tcPr>
            <w:tcW w:w="980" w:type="dxa"/>
            <w:vAlign w:val="bottom"/>
            <w:shd w:val="clear" w:color="auto" w:fill="DBDBDB"/>
          </w:tcPr>
          <w:p>
            <w:pPr>
              <w:jc w:val="right"/>
              <w:ind w:right="291"/>
              <w:spacing w:after="0"/>
              <w:rPr>
                <w:sz w:val="20"/>
                <w:szCs w:val="20"/>
                <w:color w:val="auto"/>
              </w:rPr>
            </w:pPr>
            <w:r>
              <w:rPr>
                <w:rFonts w:ascii="Arial" w:cs="Arial" w:eastAsia="Arial" w:hAnsi="Arial"/>
                <w:sz w:val="10"/>
                <w:szCs w:val="10"/>
                <w:color w:val="auto"/>
              </w:rPr>
              <w:t>0.2</w:t>
            </w:r>
          </w:p>
        </w:tc>
        <w:tc>
          <w:tcPr>
            <w:tcW w:w="22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0.5</w:t>
            </w:r>
          </w:p>
        </w:tc>
        <w:tc>
          <w:tcPr>
            <w:tcW w:w="0" w:type="dxa"/>
            <w:vAlign w:val="bottom"/>
          </w:tcPr>
          <w:p>
            <w:pPr>
              <w:spacing w:after="0"/>
              <w:rPr>
                <w:sz w:val="1"/>
                <w:szCs w:val="1"/>
                <w:color w:val="auto"/>
              </w:rPr>
            </w:pPr>
          </w:p>
        </w:tc>
      </w:tr>
      <w:tr>
        <w:trPr>
          <w:trHeight w:val="159"/>
        </w:trPr>
        <w:tc>
          <w:tcPr>
            <w:tcW w:w="19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Employees</w:t>
            </w:r>
            <w:r>
              <w:rPr>
                <w:rFonts w:ascii="Arial" w:cs="Arial" w:eastAsia="Arial" w:hAnsi="Arial"/>
                <w:sz w:val="12"/>
                <w:szCs w:val="12"/>
                <w:color w:val="auto"/>
                <w:vertAlign w:val="superscript"/>
              </w:rPr>
              <w:t>(2)</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1.2</w:t>
            </w: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color w:val="auto"/>
                <w:w w:val="99"/>
              </w:rPr>
              <w:t>—</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4.5</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00" w:right="180" w:hanging="195"/>
        <w:spacing w:after="0" w:line="296" w:lineRule="auto"/>
        <w:tabs>
          <w:tab w:leader="none" w:pos="194"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Company purchases from and sells fruit to, and provides logistics services to, a small number of entities having full or partial ownership by some of our directors/officers. These transactions are made under substantially similar terms as with other growers and customers.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right="40"/>
        <w:spacing w:after="0" w:line="261" w:lineRule="auto"/>
        <w:rPr>
          <w:sz w:val="20"/>
          <w:szCs w:val="20"/>
          <w:color w:val="auto"/>
        </w:rPr>
      </w:pPr>
      <w:r>
        <w:rPr>
          <w:rFonts w:ascii="Arial" w:cs="Arial" w:eastAsia="Arial" w:hAnsi="Arial"/>
          <w:sz w:val="10"/>
          <w:szCs w:val="10"/>
          <w:color w:val="auto"/>
        </w:rPr>
        <w:t>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The portion of lease costs attributable to noncontrolling interest, net of income taxes, was $0.2 million for both the three months ended January 31, 2025 and 2024; amounts were included as part of net income attributable to noncontrolling interest in the condensed consolidated statements of income.</w:t>
      </w:r>
    </w:p>
    <w:p>
      <w:pPr>
        <w:spacing w:after="0" w:line="20" w:lineRule="exact"/>
        <w:rPr>
          <w:sz w:val="20"/>
          <w:szCs w:val="20"/>
          <w:color w:val="auto"/>
        </w:rPr>
      </w:pPr>
    </w:p>
    <w:p>
      <w:pPr>
        <w:ind w:left="200" w:right="320" w:hanging="195"/>
        <w:spacing w:after="0" w:line="274" w:lineRule="auto"/>
        <w:tabs>
          <w:tab w:leader="none" w:pos="194"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181"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Segment and Revenue Information</w:t>
      </w:r>
    </w:p>
    <w:p>
      <w:pPr>
        <w:spacing w:after="0" w:line="187"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We have three operating segments which are also reportable segments. Our reportable segments are presented based on how information is used by our CEO, who is the chief operating decision maker, to measure performance and allocate resources.</w:t>
      </w:r>
    </w:p>
    <w:p>
      <w:pPr>
        <w:spacing w:after="0" w:line="94"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1"/>
          <w:szCs w:val="11"/>
          <w:color w:val="auto"/>
        </w:rPr>
      </w:pPr>
      <w:r>
        <w:rPr>
          <w:rFonts w:ascii="Arial" w:cs="Arial" w:eastAsia="Arial" w:hAnsi="Arial"/>
          <w:sz w:val="11"/>
          <w:szCs w:val="11"/>
          <w:i w:val="1"/>
          <w:iCs w:val="1"/>
          <w:color w:val="auto"/>
        </w:rPr>
        <w:t xml:space="preserve">Marketing &amp; Distribution. </w:t>
      </w:r>
      <w:r>
        <w:rPr>
          <w:rFonts w:ascii="Arial" w:cs="Arial" w:eastAsia="Arial" w:hAnsi="Arial"/>
          <w:sz w:val="11"/>
          <w:szCs w:val="11"/>
          <w:color w:val="auto"/>
        </w:rPr>
        <w:t>Our Marketing &amp; Distribution reportable segment sources fruit from growers and then distributes the fruit through our global distribution network.</w:t>
      </w:r>
    </w:p>
    <w:p>
      <w:pPr>
        <w:spacing w:after="0" w:line="159" w:lineRule="exact"/>
        <w:rPr>
          <w:rFonts w:ascii="Arial" w:cs="Arial" w:eastAsia="Arial" w:hAnsi="Arial"/>
          <w:sz w:val="11"/>
          <w:szCs w:val="11"/>
          <w:color w:val="auto"/>
        </w:rPr>
      </w:pPr>
    </w:p>
    <w:p>
      <w:pPr>
        <w:jc w:val="both"/>
        <w:ind w:left="520" w:right="160" w:hanging="260"/>
        <w:spacing w:after="0" w:line="272" w:lineRule="auto"/>
        <w:tabs>
          <w:tab w:leader="none" w:pos="517" w:val="left"/>
        </w:tabs>
        <w:numPr>
          <w:ilvl w:val="0"/>
          <w:numId w:val="12"/>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International Farming. </w:t>
      </w:r>
      <w:r>
        <w:rPr>
          <w:rFonts w:ascii="Arial" w:cs="Arial" w:eastAsia="Arial" w:hAnsi="Arial"/>
          <w:sz w:val="11"/>
          <w:szCs w:val="11"/>
          <w:color w:val="auto"/>
        </w:rPr>
        <w:t>International Farming owns and operates orchards from which the vast majority of fruit produced is sold to our Marketing &amp; Distribution segment. The segment’s farming activities range from</w:t>
      </w:r>
      <w:r>
        <w:rPr>
          <w:rFonts w:ascii="Arial" w:cs="Arial" w:eastAsia="Arial" w:hAnsi="Arial"/>
          <w:sz w:val="11"/>
          <w:szCs w:val="11"/>
          <w:i w:val="1"/>
          <w:iCs w:val="1"/>
          <w:color w:val="auto"/>
        </w:rPr>
        <w:t xml:space="preserve"> </w:t>
      </w:r>
      <w:r>
        <w:rPr>
          <w:rFonts w:ascii="Arial" w:cs="Arial" w:eastAsia="Arial" w:hAnsi="Arial"/>
          <w:sz w:val="11"/>
          <w:szCs w:val="11"/>
          <w:color w:val="auto"/>
        </w:rPr>
        <w:t>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11" w:lineRule="exact"/>
        <w:rPr>
          <w:rFonts w:ascii="Arial" w:cs="Arial" w:eastAsia="Arial" w:hAnsi="Arial"/>
          <w:sz w:val="11"/>
          <w:szCs w:val="11"/>
          <w:i w:val="1"/>
          <w:iCs w:val="1"/>
          <w:color w:val="auto"/>
        </w:rPr>
      </w:pPr>
    </w:p>
    <w:p>
      <w:pPr>
        <w:ind w:left="520" w:right="220" w:hanging="260"/>
        <w:spacing w:after="0" w:line="303" w:lineRule="auto"/>
        <w:tabs>
          <w:tab w:leader="none" w:pos="517" w:val="left"/>
        </w:tabs>
        <w:numPr>
          <w:ilvl w:val="0"/>
          <w:numId w:val="12"/>
        </w:numPr>
        <w:rPr>
          <w:rFonts w:ascii="Arial" w:cs="Arial" w:eastAsia="Arial" w:hAnsi="Arial"/>
          <w:sz w:val="11"/>
          <w:szCs w:val="11"/>
          <w:color w:val="auto"/>
        </w:rPr>
      </w:pPr>
      <w:r>
        <w:rPr>
          <w:rFonts w:ascii="Arial" w:cs="Arial" w:eastAsia="Arial" w:hAnsi="Arial"/>
          <w:sz w:val="11"/>
          <w:szCs w:val="11"/>
          <w:i w:val="1"/>
          <w:iCs w:val="1"/>
          <w:color w:val="auto"/>
        </w:rPr>
        <w:t xml:space="preserve">Blueberries. </w:t>
      </w:r>
      <w:r>
        <w:rPr>
          <w:rFonts w:ascii="Arial" w:cs="Arial" w:eastAsia="Arial" w:hAnsi="Arial"/>
          <w:sz w:val="11"/>
          <w:szCs w:val="11"/>
          <w:color w:val="auto"/>
        </w:rPr>
        <w:t>The Blueberries segment consists of farming activities that include cultivating early-stage blueberry plantings and harvesting mature bushes. Substantially all blueberries produced are sold to a single</w:t>
      </w:r>
      <w:r>
        <w:rPr>
          <w:rFonts w:ascii="Arial" w:cs="Arial" w:eastAsia="Arial" w:hAnsi="Arial"/>
          <w:sz w:val="11"/>
          <w:szCs w:val="11"/>
          <w:i w:val="1"/>
          <w:iCs w:val="1"/>
          <w:color w:val="auto"/>
        </w:rPr>
        <w:t xml:space="preserve"> </w:t>
      </w:r>
      <w:r>
        <w:rPr>
          <w:rFonts w:ascii="Arial" w:cs="Arial" w:eastAsia="Arial" w:hAnsi="Arial"/>
          <w:sz w:val="11"/>
          <w:szCs w:val="11"/>
          <w:color w:val="auto"/>
        </w:rPr>
        <w:t>distributor under an exclusive marketing agreement.</w:t>
      </w:r>
    </w:p>
    <w:p>
      <w:pPr>
        <w:spacing w:after="0" w:line="126" w:lineRule="exact"/>
        <w:rPr>
          <w:sz w:val="20"/>
          <w:szCs w:val="20"/>
          <w:color w:val="auto"/>
        </w:rPr>
      </w:pPr>
    </w:p>
    <w:p>
      <w:pPr>
        <w:ind w:right="40" w:firstLine="509"/>
        <w:spacing w:after="0" w:line="262" w:lineRule="auto"/>
        <w:rPr>
          <w:sz w:val="20"/>
          <w:szCs w:val="20"/>
          <w:color w:val="auto"/>
        </w:rPr>
      </w:pPr>
      <w:r>
        <w:rPr>
          <w:rFonts w:ascii="Arial" w:cs="Arial" w:eastAsia="Arial" w:hAnsi="Arial"/>
          <w:sz w:val="11"/>
          <w:szCs w:val="11"/>
          <w:color w:val="auto"/>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costs, and any special, non-recurring, or one-time items such as remeasurements or impairments, and any portion of these items attributable to the noncontrolling interest, all of which are excluded from the results the CEO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 Effective for the fourth quarter of 2024, the Company made a change in presentation of its reconciliation of adjusted EBITDA to its comparable GAAP financial measure to include a subtotal of the non-GAAP adjustments before the effect of the noncontrolling interest adjustment called “adjusted EBITDA before adjustment for noncontrolling interest.” The presentation change has no impact to total adjusted EBITDA. We believe the addition of the subtotal within the reconciliation is useful because it better aligns with management’s sequence of review of the information in the reconciliation.</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sales from each of our reportable segments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1940" w:type="dxa"/>
            <w:vAlign w:val="bottom"/>
          </w:tcPr>
          <w:p>
            <w:pPr>
              <w:spacing w:after="0"/>
              <w:rPr>
                <w:sz w:val="9"/>
                <w:szCs w:val="9"/>
                <w:color w:val="auto"/>
              </w:rPr>
            </w:pPr>
          </w:p>
        </w:tc>
        <w:tc>
          <w:tcPr>
            <w:tcW w:w="1080" w:type="dxa"/>
            <w:vAlign w:val="bottom"/>
            <w:gridSpan w:val="2"/>
          </w:tcPr>
          <w:p>
            <w:pPr>
              <w:ind w:left="20"/>
              <w:spacing w:after="0"/>
              <w:rPr>
                <w:sz w:val="20"/>
                <w:szCs w:val="20"/>
                <w:color w:val="auto"/>
              </w:rPr>
            </w:pPr>
            <w:r>
              <w:rPr>
                <w:rFonts w:ascii="Arial" w:cs="Arial" w:eastAsia="Arial" w:hAnsi="Arial"/>
                <w:sz w:val="8"/>
                <w:szCs w:val="8"/>
                <w:b w:val="1"/>
                <w:bCs w:val="1"/>
                <w:color w:val="auto"/>
              </w:rPr>
              <w:t>Marketing &amp; Distribution</w:t>
            </w:r>
          </w:p>
        </w:tc>
        <w:tc>
          <w:tcPr>
            <w:tcW w:w="18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b w:val="1"/>
                <w:bCs w:val="1"/>
                <w:color w:val="auto"/>
              </w:rPr>
              <w:t>International Farming</w:t>
            </w:r>
          </w:p>
        </w:tc>
        <w:tc>
          <w:tcPr>
            <w:tcW w:w="380" w:type="dxa"/>
            <w:vAlign w:val="bottom"/>
          </w:tcPr>
          <w:p>
            <w:pPr>
              <w:spacing w:after="0"/>
              <w:rPr>
                <w:sz w:val="9"/>
                <w:szCs w:val="9"/>
                <w:color w:val="auto"/>
              </w:rPr>
            </w:pPr>
          </w:p>
        </w:tc>
        <w:tc>
          <w:tcPr>
            <w:tcW w:w="780" w:type="dxa"/>
            <w:vAlign w:val="bottom"/>
          </w:tcPr>
          <w:p>
            <w:pPr>
              <w:jc w:val="right"/>
              <w:ind w:right="38"/>
              <w:spacing w:after="0"/>
              <w:rPr>
                <w:sz w:val="20"/>
                <w:szCs w:val="20"/>
                <w:color w:val="auto"/>
              </w:rPr>
            </w:pPr>
            <w:r>
              <w:rPr>
                <w:rFonts w:ascii="Arial" w:cs="Arial" w:eastAsia="Arial" w:hAnsi="Arial"/>
                <w:sz w:val="8"/>
                <w:szCs w:val="8"/>
                <w:b w:val="1"/>
                <w:bCs w:val="1"/>
                <w:color w:val="auto"/>
              </w:rPr>
              <w:t>Blueberries</w:t>
            </w:r>
          </w:p>
        </w:tc>
        <w:tc>
          <w:tcPr>
            <w:tcW w:w="480" w:type="dxa"/>
            <w:vAlign w:val="bottom"/>
          </w:tcPr>
          <w:p>
            <w:pPr>
              <w:spacing w:after="0"/>
              <w:rPr>
                <w:sz w:val="9"/>
                <w:szCs w:val="9"/>
                <w:color w:val="auto"/>
              </w:rPr>
            </w:pPr>
          </w:p>
        </w:tc>
        <w:tc>
          <w:tcPr>
            <w:tcW w:w="740" w:type="dxa"/>
            <w:vAlign w:val="bottom"/>
          </w:tcPr>
          <w:p>
            <w:pPr>
              <w:jc w:val="right"/>
              <w:ind w:right="98"/>
              <w:spacing w:after="0"/>
              <w:rPr>
                <w:sz w:val="20"/>
                <w:szCs w:val="20"/>
                <w:color w:val="auto"/>
              </w:rPr>
            </w:pPr>
            <w:r>
              <w:rPr>
                <w:rFonts w:ascii="Arial" w:cs="Arial" w:eastAsia="Arial" w:hAnsi="Arial"/>
                <w:sz w:val="8"/>
                <w:szCs w:val="8"/>
                <w:b w:val="1"/>
                <w:bCs w:val="1"/>
                <w:color w:val="auto"/>
              </w:rPr>
              <w:t>Total</w:t>
            </w:r>
          </w:p>
        </w:tc>
        <w:tc>
          <w:tcPr>
            <w:tcW w:w="1220" w:type="dxa"/>
            <w:vAlign w:val="bottom"/>
            <w:gridSpan w:val="2"/>
          </w:tcPr>
          <w:p>
            <w:pPr>
              <w:jc w:val="right"/>
              <w:ind w:right="38"/>
              <w:spacing w:after="0"/>
              <w:rPr>
                <w:sz w:val="20"/>
                <w:szCs w:val="20"/>
                <w:color w:val="auto"/>
              </w:rPr>
            </w:pPr>
            <w:r>
              <w:rPr>
                <w:rFonts w:ascii="Arial" w:cs="Arial" w:eastAsia="Arial" w:hAnsi="Arial"/>
                <w:sz w:val="8"/>
                <w:szCs w:val="8"/>
                <w:b w:val="1"/>
                <w:bCs w:val="1"/>
                <w:color w:val="auto"/>
              </w:rPr>
              <w:t>Marketing &amp; Distribution</w:t>
            </w:r>
          </w:p>
        </w:tc>
        <w:tc>
          <w:tcPr>
            <w:tcW w:w="18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b w:val="1"/>
                <w:bCs w:val="1"/>
                <w:color w:val="auto"/>
              </w:rPr>
              <w:t>International Farming</w:t>
            </w:r>
          </w:p>
        </w:tc>
        <w:tc>
          <w:tcPr>
            <w:tcW w:w="380" w:type="dxa"/>
            <w:vAlign w:val="bottom"/>
          </w:tcPr>
          <w:p>
            <w:pPr>
              <w:spacing w:after="0"/>
              <w:rPr>
                <w:sz w:val="9"/>
                <w:szCs w:val="9"/>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b w:val="1"/>
                <w:bCs w:val="1"/>
                <w:color w:val="auto"/>
              </w:rPr>
              <w:t>Blueberries</w:t>
            </w:r>
          </w:p>
        </w:tc>
        <w:tc>
          <w:tcPr>
            <w:tcW w:w="4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1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gridSpan w:val="2"/>
          </w:tcPr>
          <w:p>
            <w:pPr>
              <w:jc w:val="right"/>
              <w:ind w:right="178"/>
              <w:spacing w:after="0"/>
              <w:rPr>
                <w:sz w:val="20"/>
                <w:szCs w:val="20"/>
                <w:color w:val="auto"/>
              </w:rPr>
            </w:pPr>
            <w:r>
              <w:rPr>
                <w:rFonts w:ascii="Arial" w:cs="Arial" w:eastAsia="Arial" w:hAnsi="Arial"/>
                <w:sz w:val="8"/>
                <w:szCs w:val="8"/>
                <w:b w:val="1"/>
                <w:bCs w:val="1"/>
                <w:color w:val="auto"/>
              </w:rPr>
              <w:t>Three Months Ended</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gridSpan w:val="2"/>
          </w:tcPr>
          <w:p>
            <w:pPr>
              <w:jc w:val="right"/>
              <w:ind w:right="378"/>
              <w:spacing w:after="0"/>
              <w:rPr>
                <w:sz w:val="20"/>
                <w:szCs w:val="20"/>
                <w:color w:val="auto"/>
              </w:rPr>
            </w:pPr>
            <w:r>
              <w:rPr>
                <w:rFonts w:ascii="Arial" w:cs="Arial" w:eastAsia="Arial" w:hAnsi="Arial"/>
                <w:sz w:val="8"/>
                <w:szCs w:val="8"/>
                <w:b w:val="1"/>
                <w:bCs w:val="1"/>
                <w:color w:val="auto"/>
              </w:rPr>
              <w:t>January 31,</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rPr>
                <w:sz w:val="20"/>
                <w:szCs w:val="20"/>
                <w:color w:val="auto"/>
              </w:rPr>
            </w:pPr>
            <w:r>
              <w:rPr>
                <w:rFonts w:ascii="Arial" w:cs="Arial" w:eastAsia="Arial" w:hAnsi="Arial"/>
                <w:sz w:val="8"/>
                <w:szCs w:val="8"/>
                <w:color w:val="auto"/>
              </w:rPr>
              <w:t>(In millions)</w:t>
            </w: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19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right"/>
              <w:ind w:right="238"/>
              <w:spacing w:after="0"/>
              <w:rPr>
                <w:sz w:val="20"/>
                <w:szCs w:val="20"/>
                <w:color w:val="auto"/>
              </w:rPr>
            </w:pPr>
            <w:r>
              <w:rPr>
                <w:rFonts w:ascii="Arial" w:cs="Arial" w:eastAsia="Arial" w:hAnsi="Arial"/>
                <w:sz w:val="8"/>
                <w:szCs w:val="8"/>
                <w:b w:val="1"/>
                <w:bCs w:val="1"/>
                <w:color w:val="auto"/>
              </w:rPr>
              <w:t>2025</w:t>
            </w: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right"/>
              <w:ind w:right="238"/>
              <w:spacing w:after="0"/>
              <w:rPr>
                <w:sz w:val="20"/>
                <w:szCs w:val="20"/>
                <w:color w:val="auto"/>
              </w:rPr>
            </w:pPr>
            <w:r>
              <w:rPr>
                <w:rFonts w:ascii="Arial" w:cs="Arial" w:eastAsia="Arial" w:hAnsi="Arial"/>
                <w:sz w:val="8"/>
                <w:szCs w:val="8"/>
                <w:b w:val="1"/>
                <w:bCs w:val="1"/>
                <w:color w:val="auto"/>
              </w:rPr>
              <w:t>2024</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Third party sales</w:t>
            </w:r>
          </w:p>
        </w:tc>
        <w:tc>
          <w:tcPr>
            <w:tcW w:w="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295.8</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2.0</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36.4</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7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8"/>
                <w:szCs w:val="8"/>
                <w:color w:val="auto"/>
              </w:rPr>
              <w:t>334.2</w:t>
            </w:r>
          </w:p>
        </w:tc>
        <w:tc>
          <w:tcPr>
            <w:tcW w:w="660" w:type="dxa"/>
            <w:vAlign w:val="bottom"/>
            <w:tcBorders>
              <w:bottom w:val="single" w:sz="8" w:color="DBDBDB"/>
            </w:tcBorders>
            <w:shd w:val="clear" w:color="auto" w:fill="DBDBDB"/>
          </w:tcPr>
          <w:p>
            <w:pPr>
              <w:jc w:val="right"/>
              <w:ind w:right="43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224.6</w:t>
            </w:r>
          </w:p>
        </w:tc>
        <w:tc>
          <w:tcPr>
            <w:tcW w:w="1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1.6</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32.5</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258.7</w:t>
            </w:r>
          </w:p>
        </w:tc>
        <w:tc>
          <w:tcPr>
            <w:tcW w:w="0" w:type="dxa"/>
            <w:vAlign w:val="bottom"/>
          </w:tcPr>
          <w:p>
            <w:pPr>
              <w:spacing w:after="0"/>
              <w:rPr>
                <w:sz w:val="1"/>
                <w:szCs w:val="1"/>
                <w:color w:val="auto"/>
              </w:rPr>
            </w:pPr>
          </w:p>
        </w:tc>
      </w:tr>
      <w:tr>
        <w:trPr>
          <w:trHeight w:val="121"/>
        </w:trPr>
        <w:tc>
          <w:tcPr>
            <w:tcW w:w="1940" w:type="dxa"/>
            <w:vAlign w:val="bottom"/>
          </w:tcPr>
          <w:p>
            <w:pPr>
              <w:ind w:left="20"/>
              <w:spacing w:after="0"/>
              <w:rPr>
                <w:sz w:val="20"/>
                <w:szCs w:val="20"/>
                <w:color w:val="auto"/>
              </w:rPr>
            </w:pPr>
            <w:r>
              <w:rPr>
                <w:rFonts w:ascii="Arial" w:cs="Arial" w:eastAsia="Arial" w:hAnsi="Arial"/>
                <w:sz w:val="8"/>
                <w:szCs w:val="8"/>
                <w:color w:val="auto"/>
              </w:rPr>
              <w:t>Affiliated sales</w:t>
            </w:r>
          </w:p>
        </w:tc>
        <w:tc>
          <w:tcPr>
            <w:tcW w:w="400" w:type="dxa"/>
            <w:vAlign w:val="bottom"/>
          </w:tcPr>
          <w:p>
            <w:pPr>
              <w:spacing w:after="0"/>
              <w:rPr>
                <w:sz w:val="10"/>
                <w:szCs w:val="10"/>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78"/>
              <w:spacing w:after="0"/>
              <w:rPr>
                <w:sz w:val="20"/>
                <w:szCs w:val="20"/>
                <w:color w:val="auto"/>
              </w:rPr>
            </w:pPr>
            <w:r>
              <w:rPr>
                <w:rFonts w:ascii="Arial" w:cs="Arial" w:eastAsia="Arial" w:hAnsi="Arial"/>
                <w:sz w:val="8"/>
                <w:szCs w:val="8"/>
                <w:color w:val="auto"/>
              </w:rPr>
              <w:t>7.2</w:t>
            </w:r>
          </w:p>
        </w:tc>
        <w:tc>
          <w:tcPr>
            <w:tcW w:w="380" w:type="dxa"/>
            <w:vAlign w:val="bottom"/>
          </w:tcPr>
          <w:p>
            <w:pPr>
              <w:spacing w:after="0"/>
              <w:rPr>
                <w:sz w:val="10"/>
                <w:szCs w:val="10"/>
                <w:color w:val="auto"/>
              </w:rPr>
            </w:pPr>
          </w:p>
        </w:tc>
        <w:tc>
          <w:tcPr>
            <w:tcW w:w="7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740" w:type="dxa"/>
            <w:vAlign w:val="bottom"/>
          </w:tcPr>
          <w:p>
            <w:pPr>
              <w:jc w:val="right"/>
              <w:ind w:right="138"/>
              <w:spacing w:after="0"/>
              <w:rPr>
                <w:sz w:val="20"/>
                <w:szCs w:val="20"/>
                <w:color w:val="auto"/>
              </w:rPr>
            </w:pPr>
            <w:r>
              <w:rPr>
                <w:rFonts w:ascii="Arial" w:cs="Arial" w:eastAsia="Arial" w:hAnsi="Arial"/>
                <w:sz w:val="8"/>
                <w:szCs w:val="8"/>
                <w:color w:val="auto"/>
              </w:rPr>
              <w:t>7.2</w:t>
            </w:r>
          </w:p>
        </w:tc>
        <w:tc>
          <w:tcPr>
            <w:tcW w:w="66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58"/>
              <w:spacing w:after="0"/>
              <w:rPr>
                <w:sz w:val="20"/>
                <w:szCs w:val="20"/>
                <w:color w:val="auto"/>
              </w:rPr>
            </w:pPr>
            <w:r>
              <w:rPr>
                <w:rFonts w:ascii="Arial" w:cs="Arial" w:eastAsia="Arial" w:hAnsi="Arial"/>
                <w:sz w:val="8"/>
                <w:szCs w:val="8"/>
                <w:color w:val="auto"/>
              </w:rPr>
              <w:t>4.2</w:t>
            </w:r>
          </w:p>
        </w:tc>
        <w:tc>
          <w:tcPr>
            <w:tcW w:w="380" w:type="dxa"/>
            <w:vAlign w:val="bottom"/>
          </w:tcPr>
          <w:p>
            <w:pPr>
              <w:spacing w:after="0"/>
              <w:rPr>
                <w:sz w:val="10"/>
                <w:szCs w:val="1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Total segment sales</w:t>
            </w:r>
          </w:p>
        </w:tc>
        <w:tc>
          <w:tcPr>
            <w:tcW w:w="400" w:type="dxa"/>
            <w:vAlign w:val="bottom"/>
            <w:tcBorders>
              <w:bottom w:val="single" w:sz="8" w:color="DBDBDB"/>
            </w:tcBorders>
            <w:shd w:val="clear" w:color="auto" w:fill="DBDBDB"/>
          </w:tcPr>
          <w:p>
            <w:pPr>
              <w:spacing w:after="0"/>
              <w:rPr>
                <w:sz w:val="10"/>
                <w:szCs w:val="10"/>
                <w:color w:val="auto"/>
              </w:rPr>
            </w:pPr>
          </w:p>
        </w:tc>
        <w:tc>
          <w:tcPr>
            <w:tcW w:w="6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295.8</w:t>
            </w:r>
          </w:p>
        </w:tc>
        <w:tc>
          <w:tcPr>
            <w:tcW w:w="180" w:type="dxa"/>
            <w:vAlign w:val="bottom"/>
            <w:tcBorders>
              <w:bottom w:val="single" w:sz="8" w:color="DBDBDB"/>
            </w:tcBorders>
            <w:shd w:val="clear" w:color="auto" w:fill="DBDBDB"/>
          </w:tcPr>
          <w:p>
            <w:pPr>
              <w:spacing w:after="0"/>
              <w:rPr>
                <w:sz w:val="10"/>
                <w:szCs w:val="10"/>
                <w:color w:val="auto"/>
              </w:rPr>
            </w:pPr>
          </w:p>
        </w:tc>
        <w:tc>
          <w:tcPr>
            <w:tcW w:w="9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9.2</w:t>
            </w:r>
          </w:p>
        </w:tc>
        <w:tc>
          <w:tcPr>
            <w:tcW w:w="38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36.4</w:t>
            </w:r>
          </w:p>
        </w:tc>
        <w:tc>
          <w:tcPr>
            <w:tcW w:w="48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8"/>
                <w:szCs w:val="8"/>
                <w:color w:val="auto"/>
              </w:rPr>
              <w:t>341.4</w:t>
            </w:r>
          </w:p>
        </w:tc>
        <w:tc>
          <w:tcPr>
            <w:tcW w:w="660" w:type="dxa"/>
            <w:vAlign w:val="bottom"/>
            <w:tcBorders>
              <w:bottom w:val="single" w:sz="8" w:color="DBDBDB"/>
            </w:tcBorders>
            <w:shd w:val="clear" w:color="auto" w:fill="DBDBDB"/>
          </w:tcPr>
          <w:p>
            <w:pPr>
              <w:spacing w:after="0"/>
              <w:rPr>
                <w:sz w:val="10"/>
                <w:szCs w:val="10"/>
                <w:color w:val="auto"/>
              </w:rPr>
            </w:pPr>
          </w:p>
        </w:tc>
        <w:tc>
          <w:tcPr>
            <w:tcW w:w="5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224.6</w:t>
            </w:r>
          </w:p>
        </w:tc>
        <w:tc>
          <w:tcPr>
            <w:tcW w:w="180" w:type="dxa"/>
            <w:vAlign w:val="bottom"/>
            <w:tcBorders>
              <w:bottom w:val="single" w:sz="8" w:color="DBDBDB"/>
            </w:tcBorders>
            <w:shd w:val="clear" w:color="auto" w:fill="DBDBDB"/>
          </w:tcPr>
          <w:p>
            <w:pPr>
              <w:spacing w:after="0"/>
              <w:rPr>
                <w:sz w:val="10"/>
                <w:szCs w:val="10"/>
                <w:color w:val="auto"/>
              </w:rPr>
            </w:pPr>
          </w:p>
        </w:tc>
        <w:tc>
          <w:tcPr>
            <w:tcW w:w="9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5.8</w:t>
            </w:r>
          </w:p>
        </w:tc>
        <w:tc>
          <w:tcPr>
            <w:tcW w:w="380" w:type="dxa"/>
            <w:vAlign w:val="bottom"/>
            <w:tcBorders>
              <w:bottom w:val="single" w:sz="8" w:color="DBDBDB"/>
            </w:tcBorders>
            <w:shd w:val="clear" w:color="auto" w:fill="DBDBDB"/>
          </w:tcPr>
          <w:p>
            <w:pPr>
              <w:spacing w:after="0"/>
              <w:rPr>
                <w:sz w:val="10"/>
                <w:szCs w:val="10"/>
                <w:color w:val="auto"/>
              </w:rPr>
            </w:pPr>
          </w:p>
        </w:tc>
        <w:tc>
          <w:tcPr>
            <w:tcW w:w="80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32.5</w:t>
            </w:r>
          </w:p>
        </w:tc>
        <w:tc>
          <w:tcPr>
            <w:tcW w:w="480" w:type="dxa"/>
            <w:vAlign w:val="bottom"/>
            <w:tcBorders>
              <w:bottom w:val="single" w:sz="8" w:color="DBDBDB"/>
            </w:tcBorders>
            <w:shd w:val="clear" w:color="auto" w:fill="DBDBDB"/>
          </w:tcPr>
          <w:p>
            <w:pPr>
              <w:spacing w:after="0"/>
              <w:rPr>
                <w:sz w:val="10"/>
                <w:szCs w:val="10"/>
                <w:color w:val="auto"/>
              </w:rPr>
            </w:pPr>
          </w:p>
        </w:tc>
        <w:tc>
          <w:tcPr>
            <w:tcW w:w="6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262.9</w:t>
            </w:r>
          </w:p>
        </w:tc>
        <w:tc>
          <w:tcPr>
            <w:tcW w:w="0" w:type="dxa"/>
            <w:vAlign w:val="bottom"/>
          </w:tcPr>
          <w:p>
            <w:pPr>
              <w:spacing w:after="0"/>
              <w:rPr>
                <w:sz w:val="1"/>
                <w:szCs w:val="1"/>
                <w:color w:val="auto"/>
              </w:rPr>
            </w:pPr>
          </w:p>
        </w:tc>
      </w:tr>
      <w:tr>
        <w:trPr>
          <w:trHeight w:val="121"/>
        </w:trPr>
        <w:tc>
          <w:tcPr>
            <w:tcW w:w="1940" w:type="dxa"/>
            <w:vAlign w:val="bottom"/>
          </w:tcPr>
          <w:p>
            <w:pPr>
              <w:ind w:left="20"/>
              <w:spacing w:after="0"/>
              <w:rPr>
                <w:sz w:val="20"/>
                <w:szCs w:val="20"/>
                <w:color w:val="auto"/>
              </w:rPr>
            </w:pPr>
            <w:r>
              <w:rPr>
                <w:rFonts w:ascii="Arial" w:cs="Arial" w:eastAsia="Arial" w:hAnsi="Arial"/>
                <w:sz w:val="8"/>
                <w:szCs w:val="8"/>
                <w:color w:val="auto"/>
              </w:rPr>
              <w:t>Intercompany eliminations</w:t>
            </w:r>
          </w:p>
        </w:tc>
        <w:tc>
          <w:tcPr>
            <w:tcW w:w="400" w:type="dxa"/>
            <w:vAlign w:val="bottom"/>
          </w:tcPr>
          <w:p>
            <w:pPr>
              <w:spacing w:after="0"/>
              <w:rPr>
                <w:sz w:val="10"/>
                <w:szCs w:val="10"/>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color w:val="auto"/>
              </w:rPr>
              <w:t>(7.2)</w:t>
            </w:r>
          </w:p>
        </w:tc>
        <w:tc>
          <w:tcPr>
            <w:tcW w:w="380" w:type="dxa"/>
            <w:vAlign w:val="bottom"/>
          </w:tcPr>
          <w:p>
            <w:pPr>
              <w:spacing w:after="0"/>
              <w:rPr>
                <w:sz w:val="10"/>
                <w:szCs w:val="10"/>
                <w:color w:val="auto"/>
              </w:rPr>
            </w:pPr>
          </w:p>
        </w:tc>
        <w:tc>
          <w:tcPr>
            <w:tcW w:w="7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(7.2)</w:t>
            </w:r>
          </w:p>
        </w:tc>
        <w:tc>
          <w:tcPr>
            <w:tcW w:w="66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color w:val="auto"/>
              </w:rPr>
              <w:t>(4.2)</w:t>
            </w:r>
          </w:p>
        </w:tc>
        <w:tc>
          <w:tcPr>
            <w:tcW w:w="380" w:type="dxa"/>
            <w:vAlign w:val="bottom"/>
          </w:tcPr>
          <w:p>
            <w:pPr>
              <w:spacing w:after="0"/>
              <w:rPr>
                <w:sz w:val="10"/>
                <w:szCs w:val="1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Total net sales</w:t>
            </w:r>
          </w:p>
        </w:tc>
        <w:tc>
          <w:tcPr>
            <w:tcW w:w="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295.8</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2.0</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36.4</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7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8"/>
                <w:szCs w:val="8"/>
                <w:color w:val="auto"/>
              </w:rPr>
              <w:t>334.2</w:t>
            </w:r>
          </w:p>
        </w:tc>
        <w:tc>
          <w:tcPr>
            <w:tcW w:w="660" w:type="dxa"/>
            <w:vAlign w:val="bottom"/>
            <w:tcBorders>
              <w:bottom w:val="single" w:sz="8" w:color="DBDBDB"/>
            </w:tcBorders>
            <w:shd w:val="clear" w:color="auto" w:fill="DBDBDB"/>
          </w:tcPr>
          <w:p>
            <w:pPr>
              <w:jc w:val="right"/>
              <w:ind w:right="43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224.6</w:t>
            </w:r>
          </w:p>
        </w:tc>
        <w:tc>
          <w:tcPr>
            <w:tcW w:w="1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1.6</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32.5</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258.7</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 w:type="dxa"/>
            <w:vAlign w:val="bottom"/>
          </w:tcPr>
          <w:p>
            <w:pPr>
              <w:spacing w:after="0"/>
              <w:rPr>
                <w:sz w:val="12"/>
                <w:szCs w:val="12"/>
                <w:color w:val="auto"/>
              </w:rPr>
            </w:pPr>
          </w:p>
        </w:tc>
        <w:tc>
          <w:tcPr>
            <w:tcW w:w="7560" w:type="dxa"/>
            <w:vAlign w:val="bottom"/>
          </w:tcPr>
          <w:p>
            <w:pPr>
              <w:ind w:left="400"/>
              <w:spacing w:after="0"/>
              <w:rPr>
                <w:sz w:val="20"/>
                <w:szCs w:val="20"/>
                <w:color w:val="auto"/>
              </w:rPr>
            </w:pPr>
            <w:r>
              <w:rPr>
                <w:rFonts w:ascii="Arial" w:cs="Arial" w:eastAsia="Arial" w:hAnsi="Arial"/>
                <w:sz w:val="11"/>
                <w:szCs w:val="11"/>
                <w:color w:val="auto"/>
              </w:rPr>
              <w:t>Supplemental sales information is as follows.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gridSpan w:val="2"/>
          </w:tcPr>
          <w:p>
            <w:pPr>
              <w:jc w:val="center"/>
              <w:ind w:left="203"/>
              <w:spacing w:after="0"/>
              <w:rPr>
                <w:sz w:val="20"/>
                <w:szCs w:val="20"/>
                <w:color w:val="auto"/>
              </w:rPr>
            </w:pPr>
            <w:r>
              <w:rPr>
                <w:rFonts w:ascii="Arial" w:cs="Arial" w:eastAsia="Arial" w:hAnsi="Arial"/>
                <w:sz w:val="11"/>
                <w:szCs w:val="11"/>
                <w:b w:val="1"/>
                <w:bCs w:val="1"/>
                <w:color w:val="auto"/>
              </w:rPr>
              <w:t>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jc w:val="center"/>
              <w:ind w:left="183"/>
              <w:spacing w:after="0"/>
              <w:rPr>
                <w:sz w:val="20"/>
                <w:szCs w:val="20"/>
                <w:color w:val="auto"/>
              </w:rPr>
            </w:pPr>
            <w:r>
              <w:rPr>
                <w:rFonts w:ascii="Arial" w:cs="Arial" w:eastAsia="Arial" w:hAnsi="Arial"/>
                <w:sz w:val="11"/>
                <w:szCs w:val="11"/>
                <w:b w:val="1"/>
                <w:bCs w:val="1"/>
                <w:color w:val="auto"/>
              </w:rPr>
              <w:t>January 31,</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4"/>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1"/>
                <w:szCs w:val="11"/>
                <w:i w:val="1"/>
                <w:iCs w:val="1"/>
                <w:color w:val="auto"/>
              </w:rPr>
              <w:t>By type</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60"/>
              <w:spacing w:after="0"/>
              <w:rPr>
                <w:sz w:val="20"/>
                <w:szCs w:val="20"/>
                <w:color w:val="auto"/>
              </w:rPr>
            </w:pPr>
            <w:r>
              <w:rPr>
                <w:rFonts w:ascii="Arial" w:cs="Arial" w:eastAsia="Arial" w:hAnsi="Arial"/>
                <w:sz w:val="11"/>
                <w:szCs w:val="11"/>
                <w:color w:val="auto"/>
              </w:rPr>
              <w:t>Avocado</w:t>
            </w:r>
          </w:p>
        </w:tc>
        <w:tc>
          <w:tcPr>
            <w:tcW w:w="68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279.2</w:t>
            </w:r>
          </w:p>
        </w:tc>
        <w:tc>
          <w:tcPr>
            <w:tcW w:w="1000" w:type="dxa"/>
            <w:vAlign w:val="bottom"/>
          </w:tcPr>
          <w:p>
            <w:pPr>
              <w:jc w:val="right"/>
              <w:ind w:right="7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212.3</w:t>
            </w:r>
          </w:p>
        </w:tc>
        <w:tc>
          <w:tcPr>
            <w:tcW w:w="0" w:type="dxa"/>
            <w:vAlign w:val="bottom"/>
          </w:tcPr>
          <w:p>
            <w:pPr>
              <w:spacing w:after="0"/>
              <w:rPr>
                <w:sz w:val="1"/>
                <w:szCs w:val="1"/>
                <w:color w:val="auto"/>
              </w:rPr>
            </w:pPr>
          </w:p>
        </w:tc>
      </w:tr>
      <w:tr>
        <w:trPr>
          <w:trHeight w:val="189"/>
        </w:trPr>
        <w:tc>
          <w:tcPr>
            <w:tcW w:w="120" w:type="dxa"/>
            <w:vAlign w:val="bottom"/>
            <w:shd w:val="clear" w:color="auto" w:fill="DBDBDB"/>
          </w:tcPr>
          <w:p>
            <w:pPr>
              <w:spacing w:after="0"/>
              <w:rPr>
                <w:sz w:val="16"/>
                <w:szCs w:val="16"/>
                <w:color w:val="auto"/>
              </w:rPr>
            </w:pPr>
          </w:p>
        </w:tc>
        <w:tc>
          <w:tcPr>
            <w:tcW w:w="7560" w:type="dxa"/>
            <w:vAlign w:val="bottom"/>
            <w:shd w:val="clear" w:color="auto" w:fill="DBDBDB"/>
          </w:tcPr>
          <w:p>
            <w:pPr>
              <w:ind w:left="60"/>
              <w:spacing w:after="0"/>
              <w:rPr>
                <w:sz w:val="20"/>
                <w:szCs w:val="20"/>
                <w:color w:val="auto"/>
              </w:rPr>
            </w:pPr>
            <w:r>
              <w:rPr>
                <w:rFonts w:ascii="Arial" w:cs="Arial" w:eastAsia="Arial" w:hAnsi="Arial"/>
                <w:sz w:val="11"/>
                <w:szCs w:val="11"/>
                <w:color w:val="auto"/>
              </w:rPr>
              <w:t>Blueberry</w:t>
            </w: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36.4</w:t>
            </w:r>
          </w:p>
        </w:tc>
        <w:tc>
          <w:tcPr>
            <w:tcW w:w="1000" w:type="dxa"/>
            <w:vAlign w:val="bottom"/>
            <w:shd w:val="clear" w:color="auto" w:fill="DBDBDB"/>
          </w:tcPr>
          <w:p>
            <w:pPr>
              <w:spacing w:after="0"/>
              <w:rPr>
                <w:sz w:val="16"/>
                <w:szCs w:val="16"/>
                <w:color w:val="auto"/>
              </w:rPr>
            </w:pPr>
          </w:p>
        </w:tc>
        <w:tc>
          <w:tcPr>
            <w:tcW w:w="820" w:type="dxa"/>
            <w:vAlign w:val="bottom"/>
            <w:gridSpan w:val="2"/>
            <w:shd w:val="clear" w:color="auto" w:fill="DBDBDB"/>
          </w:tcPr>
          <w:p>
            <w:pPr>
              <w:jc w:val="right"/>
              <w:ind w:right="40"/>
              <w:spacing w:after="0"/>
              <w:rPr>
                <w:sz w:val="20"/>
                <w:szCs w:val="20"/>
                <w:color w:val="auto"/>
              </w:rPr>
            </w:pPr>
            <w:r>
              <w:rPr>
                <w:rFonts w:ascii="Arial" w:cs="Arial" w:eastAsia="Arial" w:hAnsi="Arial"/>
                <w:sz w:val="11"/>
                <w:szCs w:val="11"/>
                <w:color w:val="auto"/>
              </w:rPr>
              <w:t>32.5</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60"/>
              <w:spacing w:after="0"/>
              <w:rPr>
                <w:sz w:val="20"/>
                <w:szCs w:val="20"/>
                <w:color w:val="auto"/>
              </w:rPr>
            </w:pPr>
            <w:r>
              <w:rPr>
                <w:rFonts w:ascii="Arial" w:cs="Arial" w:eastAsia="Arial" w:hAnsi="Arial"/>
                <w:sz w:val="11"/>
                <w:szCs w:val="11"/>
                <w:color w:val="auto"/>
              </w:rPr>
              <w:t>Mango</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14.8</w:t>
            </w:r>
          </w:p>
        </w:tc>
        <w:tc>
          <w:tcPr>
            <w:tcW w:w="10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80"/>
        </w:trPr>
        <w:tc>
          <w:tcPr>
            <w:tcW w:w="120" w:type="dxa"/>
            <w:vAlign w:val="bottom"/>
            <w:tcBorders>
              <w:bottom w:val="single" w:sz="8" w:color="auto"/>
            </w:tcBorders>
            <w:shd w:val="clear" w:color="auto" w:fill="DBDBDB"/>
          </w:tcPr>
          <w:p>
            <w:pPr>
              <w:spacing w:after="0"/>
              <w:rPr>
                <w:sz w:val="15"/>
                <w:szCs w:val="15"/>
                <w:color w:val="auto"/>
              </w:rPr>
            </w:pPr>
          </w:p>
        </w:tc>
        <w:tc>
          <w:tcPr>
            <w:tcW w:w="7560" w:type="dxa"/>
            <w:vAlign w:val="bottom"/>
            <w:tcBorders>
              <w:bottom w:val="single" w:sz="8" w:color="auto"/>
            </w:tcBorders>
            <w:shd w:val="clear" w:color="auto" w:fill="DBDBDB"/>
          </w:tcPr>
          <w:p>
            <w:pPr>
              <w:ind w:left="60"/>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3.8</w:t>
            </w:r>
          </w:p>
        </w:tc>
        <w:tc>
          <w:tcPr>
            <w:tcW w:w="100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71"/>
        </w:trPr>
        <w:tc>
          <w:tcPr>
            <w:tcW w:w="7680" w:type="dxa"/>
            <w:vAlign w:val="bottom"/>
            <w:gridSpan w:val="2"/>
          </w:tcPr>
          <w:p>
            <w:pPr>
              <w:ind w:left="20"/>
              <w:spacing w:after="0"/>
              <w:rPr>
                <w:sz w:val="20"/>
                <w:szCs w:val="20"/>
                <w:color w:val="auto"/>
              </w:rPr>
            </w:pPr>
            <w:r>
              <w:rPr>
                <w:rFonts w:ascii="Arial" w:cs="Arial" w:eastAsia="Arial" w:hAnsi="Arial"/>
                <w:sz w:val="11"/>
                <w:szCs w:val="11"/>
                <w:color w:val="auto"/>
              </w:rPr>
              <w:t>Total net sales</w:t>
            </w:r>
          </w:p>
        </w:tc>
        <w:tc>
          <w:tcPr>
            <w:tcW w:w="68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334.2</w:t>
            </w:r>
          </w:p>
        </w:tc>
        <w:tc>
          <w:tcPr>
            <w:tcW w:w="1000" w:type="dxa"/>
            <w:vAlign w:val="bottom"/>
          </w:tcPr>
          <w:p>
            <w:pPr>
              <w:jc w:val="right"/>
              <w:ind w:right="7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258.7</w:t>
            </w:r>
          </w:p>
        </w:tc>
        <w:tc>
          <w:tcPr>
            <w:tcW w:w="0" w:type="dxa"/>
            <w:vAlign w:val="bottom"/>
          </w:tcPr>
          <w:p>
            <w:pPr>
              <w:spacing w:after="0"/>
              <w:rPr>
                <w:sz w:val="1"/>
                <w:szCs w:val="1"/>
                <w:color w:val="auto"/>
              </w:rPr>
            </w:pPr>
          </w:p>
        </w:tc>
      </w:tr>
      <w:tr>
        <w:trPr>
          <w:trHeight w:val="189"/>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1"/>
                <w:szCs w:val="11"/>
                <w:i w:val="1"/>
                <w:iCs w:val="1"/>
                <w:color w:val="auto"/>
              </w:rPr>
              <w:t>By customer location</w:t>
            </w: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60"/>
              <w:spacing w:after="0"/>
              <w:rPr>
                <w:sz w:val="20"/>
                <w:szCs w:val="20"/>
                <w:color w:val="auto"/>
              </w:rPr>
            </w:pPr>
            <w:r>
              <w:rPr>
                <w:rFonts w:ascii="Arial" w:cs="Arial" w:eastAsia="Arial" w:hAnsi="Arial"/>
                <w:sz w:val="11"/>
                <w:szCs w:val="11"/>
                <w:color w:val="auto"/>
              </w:rPr>
              <w:t>United States</w:t>
            </w:r>
          </w:p>
        </w:tc>
        <w:tc>
          <w:tcPr>
            <w:tcW w:w="68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264.8</w:t>
            </w:r>
          </w:p>
        </w:tc>
        <w:tc>
          <w:tcPr>
            <w:tcW w:w="1000" w:type="dxa"/>
            <w:vAlign w:val="bottom"/>
          </w:tcPr>
          <w:p>
            <w:pPr>
              <w:jc w:val="right"/>
              <w:ind w:right="7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211.8</w:t>
            </w:r>
          </w:p>
        </w:tc>
        <w:tc>
          <w:tcPr>
            <w:tcW w:w="0" w:type="dxa"/>
            <w:vAlign w:val="bottom"/>
          </w:tcPr>
          <w:p>
            <w:pPr>
              <w:spacing w:after="0"/>
              <w:rPr>
                <w:sz w:val="1"/>
                <w:szCs w:val="1"/>
                <w:color w:val="auto"/>
              </w:rPr>
            </w:pPr>
          </w:p>
        </w:tc>
      </w:tr>
      <w:tr>
        <w:trPr>
          <w:trHeight w:val="180"/>
        </w:trPr>
        <w:tc>
          <w:tcPr>
            <w:tcW w:w="120" w:type="dxa"/>
            <w:vAlign w:val="bottom"/>
            <w:tcBorders>
              <w:bottom w:val="single" w:sz="8" w:color="auto"/>
            </w:tcBorders>
            <w:shd w:val="clear" w:color="auto" w:fill="DBDBDB"/>
          </w:tcPr>
          <w:p>
            <w:pPr>
              <w:spacing w:after="0"/>
              <w:rPr>
                <w:sz w:val="15"/>
                <w:szCs w:val="15"/>
                <w:color w:val="auto"/>
              </w:rPr>
            </w:pPr>
          </w:p>
        </w:tc>
        <w:tc>
          <w:tcPr>
            <w:tcW w:w="7560" w:type="dxa"/>
            <w:vAlign w:val="bottom"/>
            <w:tcBorders>
              <w:bottom w:val="single" w:sz="8" w:color="auto"/>
            </w:tcBorders>
            <w:shd w:val="clear" w:color="auto" w:fill="DBDBDB"/>
          </w:tcPr>
          <w:p>
            <w:pPr>
              <w:ind w:left="60"/>
              <w:spacing w:after="0"/>
              <w:rPr>
                <w:sz w:val="20"/>
                <w:szCs w:val="20"/>
                <w:color w:val="auto"/>
              </w:rPr>
            </w:pPr>
            <w:r>
              <w:rPr>
                <w:rFonts w:ascii="Arial" w:cs="Arial" w:eastAsia="Arial" w:hAnsi="Arial"/>
                <w:sz w:val="11"/>
                <w:szCs w:val="11"/>
                <w:color w:val="auto"/>
              </w:rPr>
              <w:t>Rest of world</w:t>
            </w:r>
          </w:p>
        </w:tc>
        <w:tc>
          <w:tcPr>
            <w:tcW w:w="12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69.4</w:t>
            </w:r>
          </w:p>
        </w:tc>
        <w:tc>
          <w:tcPr>
            <w:tcW w:w="100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r>
        <w:trPr>
          <w:trHeight w:val="171"/>
        </w:trPr>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Total net sales</w:t>
            </w:r>
          </w:p>
        </w:tc>
        <w:tc>
          <w:tcPr>
            <w:tcW w:w="6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334.2</w:t>
            </w:r>
          </w:p>
        </w:tc>
        <w:tc>
          <w:tcPr>
            <w:tcW w:w="100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258.7</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7560" w:type="dxa"/>
            <w:vAlign w:val="bottom"/>
          </w:tcPr>
          <w:p>
            <w:pPr>
              <w:ind w:left="400"/>
              <w:spacing w:after="0"/>
              <w:rPr>
                <w:sz w:val="20"/>
                <w:szCs w:val="20"/>
                <w:color w:val="auto"/>
              </w:rPr>
            </w:pPr>
            <w:r>
              <w:rPr>
                <w:rFonts w:ascii="Arial" w:cs="Arial" w:eastAsia="Arial" w:hAnsi="Arial"/>
                <w:sz w:val="11"/>
                <w:szCs w:val="11"/>
                <w:color w:val="auto"/>
              </w:rPr>
              <w:t>Adjusted EBITDA (as defined above) for each of our reportable segments was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gridSpan w:val="2"/>
          </w:tcPr>
          <w:p>
            <w:pPr>
              <w:ind w:left="500"/>
              <w:spacing w:after="0"/>
              <w:rPr>
                <w:sz w:val="20"/>
                <w:szCs w:val="20"/>
                <w:color w:val="auto"/>
              </w:rPr>
            </w:pPr>
            <w:r>
              <w:rPr>
                <w:rFonts w:ascii="Arial" w:cs="Arial" w:eastAsia="Arial" w:hAnsi="Arial"/>
                <w:sz w:val="11"/>
                <w:szCs w:val="11"/>
                <w:b w:val="1"/>
                <w:bCs w:val="1"/>
                <w:color w:val="auto"/>
              </w:rPr>
              <w:t>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00" w:type="dxa"/>
            <w:vAlign w:val="bottom"/>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756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75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Marketing &amp; Distribution adjusted EBITDA</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9.7</w:t>
            </w:r>
          </w:p>
        </w:tc>
        <w:tc>
          <w:tcPr>
            <w:tcW w:w="1000" w:type="dxa"/>
            <w:vAlign w:val="bottom"/>
            <w:shd w:val="clear" w:color="auto" w:fill="DBDBDB"/>
          </w:tcPr>
          <w:p>
            <w:pPr>
              <w:jc w:val="center"/>
              <w:ind w:right="783"/>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International Farming adjusted EBITDA</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1.8</w:t>
            </w:r>
          </w:p>
        </w:tc>
        <w:tc>
          <w:tcPr>
            <w:tcW w:w="10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Blueberries adjusted EBITDA</w:t>
            </w:r>
          </w:p>
        </w:tc>
        <w:tc>
          <w:tcPr>
            <w:tcW w:w="12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6.2</w:t>
            </w:r>
          </w:p>
        </w:tc>
        <w:tc>
          <w:tcPr>
            <w:tcW w:w="1000" w:type="dxa"/>
            <w:vAlign w:val="bottom"/>
            <w:tcBorders>
              <w:bottom w:val="single" w:sz="8" w:color="auto"/>
            </w:tcBorders>
            <w:shd w:val="clear" w:color="auto" w:fill="DBDBDB"/>
          </w:tcPr>
          <w:p>
            <w:pPr>
              <w:spacing w:after="0"/>
              <w:rPr>
                <w:sz w:val="15"/>
                <w:szCs w:val="15"/>
                <w:color w:val="auto"/>
              </w:rPr>
            </w:pPr>
          </w:p>
        </w:tc>
        <w:tc>
          <w:tcPr>
            <w:tcW w:w="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reportable segment 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17.7</w:t>
            </w:r>
          </w:p>
        </w:tc>
        <w:tc>
          <w:tcPr>
            <w:tcW w:w="1000" w:type="dxa"/>
            <w:vAlign w:val="bottom"/>
            <w:tcBorders>
              <w:bottom w:val="single" w:sz="8" w:color="auto"/>
            </w:tcBorders>
          </w:tcPr>
          <w:p>
            <w:pPr>
              <w:jc w:val="center"/>
              <w:ind w:right="78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6.2</w:t>
            </w:r>
          </w:p>
        </w:tc>
        <w:tc>
          <w:tcPr>
            <w:tcW w:w="100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Interest expense</w:t>
            </w:r>
            <w:r>
              <w:rPr>
                <w:rFonts w:ascii="Arial" w:cs="Arial" w:eastAsia="Arial" w:hAnsi="Arial"/>
                <w:sz w:val="14"/>
                <w:szCs w:val="14"/>
                <w:color w:val="auto"/>
                <w:vertAlign w:val="superscript"/>
              </w:rPr>
              <w:t>(1)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2.2</w:t>
            </w:r>
          </w:p>
        </w:tc>
        <w:tc>
          <w:tcPr>
            <w:tcW w:w="1000" w:type="dxa"/>
            <w:vAlign w:val="bottom"/>
          </w:tcPr>
          <w:p>
            <w:pPr>
              <w:spacing w:after="0"/>
              <w:rPr>
                <w:sz w:val="15"/>
                <w:szCs w:val="15"/>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Provision for income taxes</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3.2</w:t>
            </w:r>
          </w:p>
        </w:tc>
        <w:tc>
          <w:tcPr>
            <w:tcW w:w="100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14"/>
                <w:szCs w:val="14"/>
                <w:color w:val="auto"/>
                <w:vertAlign w:val="superscript"/>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8.7</w:t>
            </w:r>
          </w:p>
        </w:tc>
        <w:tc>
          <w:tcPr>
            <w:tcW w:w="1000" w:type="dxa"/>
            <w:vAlign w:val="bottom"/>
          </w:tcPr>
          <w:p>
            <w:pPr>
              <w:spacing w:after="0"/>
              <w:rPr>
                <w:sz w:val="15"/>
                <w:szCs w:val="15"/>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ind w:left="740"/>
              <w:spacing w:after="0"/>
              <w:rPr>
                <w:sz w:val="20"/>
                <w:szCs w:val="20"/>
                <w:color w:val="auto"/>
              </w:rPr>
            </w:pPr>
            <w:r>
              <w:rPr>
                <w:rFonts w:ascii="Arial" w:cs="Arial" w:eastAsia="Arial" w:hAnsi="Arial"/>
                <w:sz w:val="11"/>
                <w:szCs w:val="11"/>
                <w:color w:val="auto"/>
              </w:rPr>
              <w:t>(0.8)</w:t>
            </w:r>
          </w:p>
        </w:tc>
        <w:tc>
          <w:tcPr>
            <w:tcW w:w="100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2.0</w:t>
            </w:r>
          </w:p>
        </w:tc>
        <w:tc>
          <w:tcPr>
            <w:tcW w:w="10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Losses on asset impairment and disposals</w:t>
            </w: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0.1</w:t>
            </w:r>
          </w:p>
        </w:tc>
        <w:tc>
          <w:tcPr>
            <w:tcW w:w="10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Farming costs for nonproductive orchards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0.5</w:t>
            </w:r>
          </w:p>
        </w:tc>
        <w:tc>
          <w:tcPr>
            <w:tcW w:w="10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Recognition of deferred ERP costs</w:t>
            </w: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0.6</w:t>
            </w:r>
          </w:p>
        </w:tc>
        <w:tc>
          <w:tcPr>
            <w:tcW w:w="10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Severance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Legal settlement</w:t>
            </w: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0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Arial" w:cs="Arial" w:eastAsia="Arial" w:hAnsi="Arial"/>
                <w:sz w:val="11"/>
                <w:szCs w:val="11"/>
                <w:color w:val="auto"/>
              </w:rPr>
              <w:t>Transaction costs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0.1</w:t>
            </w:r>
          </w:p>
        </w:tc>
        <w:tc>
          <w:tcPr>
            <w:tcW w:w="10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Canada site closures</w:t>
            </w:r>
            <w:r>
              <w:rPr>
                <w:rFonts w:ascii="Arial" w:cs="Arial" w:eastAsia="Arial" w:hAnsi="Arial"/>
                <w:sz w:val="14"/>
                <w:szCs w:val="14"/>
                <w:color w:val="auto"/>
                <w:vertAlign w:val="superscript"/>
              </w:rPr>
              <w:t>(3)</w:t>
            </w: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0.5</w:t>
            </w:r>
          </w:p>
        </w:tc>
        <w:tc>
          <w:tcPr>
            <w:tcW w:w="10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rPr>
              <w:t>(1.5)</w:t>
            </w: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Adjusted EBITDA before adjustment for noncontrolling interest</w:t>
            </w:r>
          </w:p>
        </w:tc>
        <w:tc>
          <w:tcPr>
            <w:tcW w:w="12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21.8</w:t>
            </w:r>
          </w:p>
        </w:tc>
        <w:tc>
          <w:tcPr>
            <w:tcW w:w="100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Noncontrolling interest</w:t>
            </w:r>
            <w:r>
              <w:rPr>
                <w:rFonts w:ascii="Arial" w:cs="Arial" w:eastAsia="Arial" w:hAnsi="Arial"/>
                <w:sz w:val="14"/>
                <w:szCs w:val="14"/>
                <w:color w:val="auto"/>
                <w:vertAlign w:val="superscript"/>
              </w:rPr>
              <w:t>(4)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rPr>
              <w:t>(4.1)</w:t>
            </w: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adjusted EBITDA</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17.7</w:t>
            </w:r>
          </w:p>
        </w:tc>
        <w:tc>
          <w:tcPr>
            <w:tcW w:w="1000" w:type="dxa"/>
            <w:vAlign w:val="bottom"/>
            <w:tcBorders>
              <w:bottom w:val="single" w:sz="8" w:color="auto"/>
            </w:tcBorders>
            <w:shd w:val="clear" w:color="auto" w:fill="DBDBDB"/>
          </w:tcPr>
          <w:p>
            <w:pPr>
              <w:jc w:val="center"/>
              <w:ind w:right="78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80" w:hanging="175"/>
        <w:spacing w:after="0"/>
        <w:tabs>
          <w:tab w:leader="none" w:pos="1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interest expense from finance leases, the most significant of which is for land at our Blueberries segment of $0.5 million for both the three months ended January 31, 2025 and 2024.</w:t>
      </w:r>
    </w:p>
    <w:p>
      <w:pPr>
        <w:spacing w:after="0" w:line="44" w:lineRule="exact"/>
        <w:rPr>
          <w:rFonts w:ascii="Arial" w:cs="Arial" w:eastAsia="Arial" w:hAnsi="Arial"/>
          <w:sz w:val="10"/>
          <w:szCs w:val="10"/>
          <w:color w:val="auto"/>
        </w:rPr>
      </w:pPr>
    </w:p>
    <w:p>
      <w:pPr>
        <w:ind w:left="200" w:right="40" w:hanging="195"/>
        <w:spacing w:after="0" w:line="261" w:lineRule="auto"/>
        <w:tabs>
          <w:tab w:leader="none" w:pos="194"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depreciation and amortization of purchase accounting assets of $0.3 million and $2.9 million for the three months ended January 31, 2025 and 2024, respectively, and $0.2 million of amortization of the Blueberries finance lease for both the three months ended January 31, 2025 and 2024. The three months ended January 31, 2025 also include $0.9 million of accelerated depreciation expense from fixed assets related to the closure of our Canada facilities during the respective quarter. The three months ended January 31, 2024 also include $4.1 million of accelerated depreciation expense, $2.0 million of which was from purchase accounting assets, for certain blueberry plants determined to have no remaining useful life during the respective quarter.</w:t>
      </w:r>
    </w:p>
    <w:p>
      <w:pPr>
        <w:spacing w:after="0" w:line="19" w:lineRule="exact"/>
        <w:rPr>
          <w:rFonts w:ascii="Arial" w:cs="Arial" w:eastAsia="Arial" w:hAnsi="Arial"/>
          <w:sz w:val="10"/>
          <w:szCs w:val="10"/>
          <w:color w:val="auto"/>
        </w:rPr>
      </w:pPr>
    </w:p>
    <w:p>
      <w:pPr>
        <w:ind w:left="180" w:hanging="175"/>
        <w:spacing w:after="0"/>
        <w:tabs>
          <w:tab w:leader="none" w:pos="1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Represents accelerated amortization of operating lease right-of-use assets and severance costs incurred due to the closure of our Canada facilities during the first quarter of 2025, recognized in cost of sales.</w:t>
      </w:r>
    </w:p>
    <w:p>
      <w:pPr>
        <w:spacing w:after="0" w:line="44" w:lineRule="exact"/>
        <w:rPr>
          <w:rFonts w:ascii="Arial" w:cs="Arial" w:eastAsia="Arial" w:hAnsi="Arial"/>
          <w:sz w:val="10"/>
          <w:szCs w:val="10"/>
          <w:color w:val="auto"/>
        </w:rPr>
      </w:pPr>
    </w:p>
    <w:p>
      <w:pPr>
        <w:ind w:left="180" w:hanging="175"/>
        <w:spacing w:after="0"/>
        <w:tabs>
          <w:tab w:leader="none" w:pos="1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Represents net income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9" w:lineRule="exact"/>
        <w:rPr>
          <w:sz w:val="20"/>
          <w:szCs w:val="20"/>
          <w:color w:val="auto"/>
        </w:rPr>
      </w:pPr>
    </w:p>
    <w:p>
      <w:pPr>
        <w:ind w:right="40" w:firstLine="509"/>
        <w:spacing w:after="0" w:line="272" w:lineRule="auto"/>
        <w:rPr>
          <w:sz w:val="20"/>
          <w:szCs w:val="20"/>
          <w:color w:val="auto"/>
        </w:rPr>
      </w:pPr>
      <w:r>
        <w:rPr>
          <w:rFonts w:ascii="Arial" w:cs="Arial" w:eastAsia="Arial" w:hAnsi="Arial"/>
          <w:sz w:val="11"/>
          <w:szCs w:val="11"/>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7" w:lineRule="exact"/>
        <w:rPr>
          <w:sz w:val="20"/>
          <w:szCs w:val="20"/>
          <w:color w:val="auto"/>
        </w:rPr>
      </w:pPr>
    </w:p>
    <w:p>
      <w:pPr>
        <w:ind w:right="40" w:firstLine="509"/>
        <w:spacing w:after="0" w:line="282" w:lineRule="auto"/>
        <w:rPr>
          <w:sz w:val="20"/>
          <w:szCs w:val="20"/>
          <w:color w:val="auto"/>
        </w:rPr>
      </w:pPr>
      <w:r>
        <w:rPr>
          <w:rFonts w:ascii="Arial" w:cs="Arial" w:eastAsia="Arial" w:hAnsi="Arial"/>
          <w:sz w:val="11"/>
          <w:szCs w:val="11"/>
          <w:color w:val="auto"/>
        </w:rPr>
        <w:t>We are a world leader in sourcing, producing, growing and distributing Hass avocados, serving retail, wholesale and foodservice customers. We source, produce, pack and distribute avocados and a small amount of other fruits, including mangos,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have three operating segments which are also reportable segments:</w:t>
      </w:r>
    </w:p>
    <w:p>
      <w:pPr>
        <w:spacing w:after="0" w:line="160"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1"/>
          <w:szCs w:val="11"/>
          <w:color w:val="auto"/>
        </w:rPr>
      </w:pPr>
      <w:r>
        <w:rPr>
          <w:rFonts w:ascii="Arial" w:cs="Arial" w:eastAsia="Arial" w:hAnsi="Arial"/>
          <w:sz w:val="11"/>
          <w:szCs w:val="11"/>
          <w:i w:val="1"/>
          <w:iCs w:val="1"/>
          <w:color w:val="auto"/>
        </w:rPr>
        <w:t xml:space="preserve">Marketing &amp; Distribution. </w:t>
      </w:r>
      <w:r>
        <w:rPr>
          <w:rFonts w:ascii="Arial" w:cs="Arial" w:eastAsia="Arial" w:hAnsi="Arial"/>
          <w:sz w:val="11"/>
          <w:szCs w:val="11"/>
          <w:color w:val="auto"/>
        </w:rPr>
        <w:t>Our Marketing &amp; Distribution reportable segment sources fruit from growers and then distributes the fruit through our global distribution network.</w:t>
      </w:r>
    </w:p>
    <w:p>
      <w:pPr>
        <w:spacing w:after="0" w:line="149" w:lineRule="exact"/>
        <w:rPr>
          <w:rFonts w:ascii="Arial" w:cs="Arial" w:eastAsia="Arial" w:hAnsi="Arial"/>
          <w:sz w:val="11"/>
          <w:szCs w:val="11"/>
          <w:color w:val="auto"/>
        </w:rPr>
      </w:pPr>
    </w:p>
    <w:p>
      <w:pPr>
        <w:jc w:val="both"/>
        <w:ind w:left="520" w:right="160" w:hanging="260"/>
        <w:spacing w:after="0" w:line="272" w:lineRule="auto"/>
        <w:tabs>
          <w:tab w:leader="none" w:pos="517"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International Farming. </w:t>
      </w:r>
      <w:r>
        <w:rPr>
          <w:rFonts w:ascii="Arial" w:cs="Arial" w:eastAsia="Arial" w:hAnsi="Arial"/>
          <w:sz w:val="11"/>
          <w:szCs w:val="11"/>
          <w:color w:val="auto"/>
        </w:rPr>
        <w:t>International Farming owns and operates orchards from which the vast majority of fruit produced is sold to our Marketing &amp; Distribution segment. The segment’s farming activities range from</w:t>
      </w:r>
      <w:r>
        <w:rPr>
          <w:rFonts w:ascii="Arial" w:cs="Arial" w:eastAsia="Arial" w:hAnsi="Arial"/>
          <w:sz w:val="11"/>
          <w:szCs w:val="11"/>
          <w:i w:val="1"/>
          <w:iCs w:val="1"/>
          <w:color w:val="auto"/>
        </w:rPr>
        <w:t xml:space="preserve"> </w:t>
      </w:r>
      <w:r>
        <w:rPr>
          <w:rFonts w:ascii="Arial" w:cs="Arial" w:eastAsia="Arial" w:hAnsi="Arial"/>
          <w:sz w:val="11"/>
          <w:szCs w:val="11"/>
          <w:color w:val="auto"/>
        </w:rPr>
        <w:t>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11" w:lineRule="exact"/>
        <w:rPr>
          <w:rFonts w:ascii="Arial" w:cs="Arial" w:eastAsia="Arial" w:hAnsi="Arial"/>
          <w:sz w:val="11"/>
          <w:szCs w:val="11"/>
          <w:i w:val="1"/>
          <w:iCs w:val="1"/>
          <w:color w:val="auto"/>
        </w:rPr>
      </w:pPr>
    </w:p>
    <w:p>
      <w:pPr>
        <w:ind w:left="520" w:right="220" w:hanging="260"/>
        <w:spacing w:after="0" w:line="303" w:lineRule="auto"/>
        <w:tabs>
          <w:tab w:leader="none" w:pos="517" w:val="left"/>
        </w:tabs>
        <w:numPr>
          <w:ilvl w:val="0"/>
          <w:numId w:val="14"/>
        </w:numPr>
        <w:rPr>
          <w:rFonts w:ascii="Arial" w:cs="Arial" w:eastAsia="Arial" w:hAnsi="Arial"/>
          <w:sz w:val="11"/>
          <w:szCs w:val="11"/>
          <w:color w:val="auto"/>
        </w:rPr>
      </w:pPr>
      <w:r>
        <w:rPr>
          <w:rFonts w:ascii="Arial" w:cs="Arial" w:eastAsia="Arial" w:hAnsi="Arial"/>
          <w:sz w:val="11"/>
          <w:szCs w:val="11"/>
          <w:i w:val="1"/>
          <w:iCs w:val="1"/>
          <w:color w:val="auto"/>
        </w:rPr>
        <w:t xml:space="preserve">Blueberries. </w:t>
      </w:r>
      <w:r>
        <w:rPr>
          <w:rFonts w:ascii="Arial" w:cs="Arial" w:eastAsia="Arial" w:hAnsi="Arial"/>
          <w:sz w:val="11"/>
          <w:szCs w:val="11"/>
          <w:color w:val="auto"/>
        </w:rPr>
        <w:t>The Blueberries segment consists of farming activities that include cultivating early-stage blueberry plantings and harvesting mature bushes. Substantially all blueberries produced are sold to a single</w:t>
      </w:r>
      <w:r>
        <w:rPr>
          <w:rFonts w:ascii="Arial" w:cs="Arial" w:eastAsia="Arial" w:hAnsi="Arial"/>
          <w:sz w:val="11"/>
          <w:szCs w:val="11"/>
          <w:i w:val="1"/>
          <w:iCs w:val="1"/>
          <w:color w:val="auto"/>
        </w:rPr>
        <w:t xml:space="preserve"> </w:t>
      </w:r>
      <w:r>
        <w:rPr>
          <w:rFonts w:ascii="Arial" w:cs="Arial" w:eastAsia="Arial" w:hAnsi="Arial"/>
          <w:sz w:val="11"/>
          <w:szCs w:val="11"/>
          <w:color w:val="auto"/>
        </w:rPr>
        <w:t>distributor under an exclusive marketing agreement.</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Supply chain optimization</w:t>
      </w:r>
    </w:p>
    <w:p>
      <w:pPr>
        <w:spacing w:after="0" w:line="173"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As previously announced, the Company closed its Canadian distribution centers within its Marketing &amp; Distribution segment during the first quarter of 2025. In connection with the closure, we recognized approximately $1.4 million in charges during the quarter, consisting of accelerated depreciation expense of property, plant and equipment, accelerated amortization expense of operating lease right-of-use assets and severance costs. Distribution volume from these facilities has been absorbed by our other distribution centers and third-party service providers.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7" w:lineRule="exact"/>
        <w:rPr>
          <w:sz w:val="20"/>
          <w:szCs w:val="20"/>
          <w:color w:val="auto"/>
        </w:rPr>
      </w:pPr>
    </w:p>
    <w:p>
      <w:pPr>
        <w:jc w:val="both"/>
        <w:ind w:right="120" w:firstLine="509"/>
        <w:spacing w:after="0" w:line="272" w:lineRule="auto"/>
        <w:rPr>
          <w:sz w:val="20"/>
          <w:szCs w:val="20"/>
          <w:color w:val="auto"/>
        </w:rPr>
      </w:pPr>
      <w:r>
        <w:rPr>
          <w:rFonts w:ascii="Arial" w:cs="Arial" w:eastAsia="Arial" w:hAnsi="Arial"/>
          <w:sz w:val="11"/>
          <w:szCs w:val="11"/>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43" w:lineRule="exact"/>
        <w:rPr>
          <w:sz w:val="20"/>
          <w:szCs w:val="20"/>
          <w:color w:val="auto"/>
        </w:rPr>
      </w:pPr>
    </w:p>
    <w:p>
      <w:pPr>
        <w:ind w:right="20" w:firstLine="509"/>
        <w:spacing w:after="0" w:line="267" w:lineRule="auto"/>
        <w:rPr>
          <w:sz w:val="20"/>
          <w:szCs w:val="20"/>
          <w:color w:val="auto"/>
        </w:rPr>
      </w:pPr>
      <w:r>
        <w:rPr>
          <w:rFonts w:ascii="Arial" w:cs="Arial" w:eastAsia="Arial" w:hAnsi="Arial"/>
          <w:sz w:val="11"/>
          <w:szCs w:val="11"/>
          <w:color w:val="auto"/>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4" w:right="339" w:bottom="1440" w:gutter="0" w:footer="0" w:header="0"/>
        </w:sectPr>
      </w:pPr>
    </w:p>
    <w:bookmarkStart w:id="19" w:name="page20"/>
    <w:bookmarkEnd w:id="19"/>
    <w:p>
      <w:pPr>
        <w:jc w:val="center"/>
        <w:ind w:left="720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20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18415</wp:posOffset>
            </wp:positionV>
            <wp:extent cx="25400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0000" cy="698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7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r>
      <w:tr>
        <w:trPr>
          <w:trHeight w:val="17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for percentages)</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Dollars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Dollars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74"/>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sales</w:t>
            </w:r>
          </w:p>
        </w:tc>
        <w:tc>
          <w:tcPr>
            <w:tcW w:w="380" w:type="dxa"/>
            <w:vAlign w:val="bottom"/>
            <w:shd w:val="clear" w:color="auto" w:fill="DBDBDB"/>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334.2</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6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258.7</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r>
      <w:tr>
        <w:trPr>
          <w:trHeight w:val="17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Cost of sales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302.7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91 %</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230.0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89 %</w:t>
            </w:r>
          </w:p>
        </w:tc>
      </w:tr>
      <w:tr>
        <w:trPr>
          <w:trHeight w:val="180"/>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31.5</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9 %</w:t>
            </w:r>
          </w:p>
        </w:tc>
        <w:tc>
          <w:tcPr>
            <w:tcW w:w="1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28.7</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11 %</w:t>
            </w:r>
          </w:p>
        </w:tc>
      </w:tr>
      <w:tr>
        <w:trPr>
          <w:trHeight w:val="17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7 %</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20.7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8 %</w:t>
            </w:r>
          </w:p>
        </w:tc>
      </w:tr>
      <w:tr>
        <w:trPr>
          <w:trHeight w:val="180"/>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Operating income</w:t>
            </w: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9.3</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3 %</w:t>
            </w:r>
          </w:p>
        </w:tc>
        <w:tc>
          <w:tcPr>
            <w:tcW w:w="1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8.0</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3 %</w:t>
            </w:r>
          </w:p>
        </w:tc>
      </w:tr>
      <w:tr>
        <w:trPr>
          <w:trHeight w:val="172"/>
        </w:trPr>
        <w:tc>
          <w:tcPr>
            <w:tcW w:w="722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380" w:type="dxa"/>
            <w:vAlign w:val="bottom"/>
          </w:tcPr>
          <w:p>
            <w:pPr>
              <w:spacing w:after="0"/>
              <w:rPr>
                <w:sz w:val="14"/>
                <w:szCs w:val="14"/>
                <w:color w:val="auto"/>
              </w:rPr>
            </w:pPr>
          </w:p>
        </w:tc>
        <w:tc>
          <w:tcPr>
            <w:tcW w:w="960" w:type="dxa"/>
            <w:vAlign w:val="bottom"/>
          </w:tcPr>
          <w:p>
            <w:pPr>
              <w:jc w:val="right"/>
              <w:ind w:right="203"/>
              <w:spacing w:after="0"/>
              <w:rPr>
                <w:sz w:val="20"/>
                <w:szCs w:val="20"/>
                <w:color w:val="auto"/>
              </w:rPr>
            </w:pPr>
            <w:r>
              <w:rPr>
                <w:rFonts w:ascii="Arial" w:cs="Arial" w:eastAsia="Arial" w:hAnsi="Arial"/>
                <w:sz w:val="11"/>
                <w:szCs w:val="11"/>
                <w:color w:val="auto"/>
              </w:rPr>
              <w:t>(2.2)</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203"/>
              <w:spacing w:after="0"/>
              <w:rPr>
                <w:sz w:val="20"/>
                <w:szCs w:val="20"/>
                <w:color w:val="auto"/>
              </w:rPr>
            </w:pPr>
            <w:r>
              <w:rPr>
                <w:rFonts w:ascii="Arial" w:cs="Arial" w:eastAsia="Arial" w:hAnsi="Arial"/>
                <w:sz w:val="11"/>
                <w:szCs w:val="11"/>
                <w:color w:val="auto"/>
              </w:rPr>
              <w:t>(3.3)</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89"/>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38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0.8</w:t>
            </w: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1"/>
                <w:szCs w:val="11"/>
                <w:color w:val="auto"/>
              </w:rPr>
              <w:t>— %</w:t>
            </w:r>
          </w:p>
        </w:tc>
        <w:tc>
          <w:tcPr>
            <w:tcW w:w="38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0.4</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 %</w:t>
            </w:r>
          </w:p>
        </w:tc>
      </w:tr>
      <w:tr>
        <w:trPr>
          <w:trHeight w:val="17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1.5</w:t>
            </w: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 %</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(1.0)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r>
      <w:tr>
        <w:trPr>
          <w:trHeight w:val="180"/>
        </w:trPr>
        <w:tc>
          <w:tcPr>
            <w:tcW w:w="722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Income before income taxes</w:t>
            </w: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9.4</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3 %</w:t>
            </w:r>
          </w:p>
        </w:tc>
        <w:tc>
          <w:tcPr>
            <w:tcW w:w="1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4.1</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2 %</w:t>
            </w:r>
          </w:p>
        </w:tc>
      </w:tr>
      <w:tr>
        <w:trPr>
          <w:trHeight w:val="17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Provision for income taxes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3.2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1 %</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1 %</w:t>
            </w:r>
          </w:p>
        </w:tc>
      </w:tr>
      <w:tr>
        <w:trPr>
          <w:trHeight w:val="171"/>
        </w:trPr>
        <w:tc>
          <w:tcPr>
            <w:tcW w:w="7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Net income</w:t>
            </w:r>
          </w:p>
        </w:tc>
        <w:tc>
          <w:tcPr>
            <w:tcW w:w="38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rPr>
              <w:t>6.2</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2 %</w:t>
            </w:r>
          </w:p>
        </w:tc>
        <w:tc>
          <w:tcPr>
            <w:tcW w:w="160" w:type="dxa"/>
            <w:vAlign w:val="bottom"/>
            <w:tcBorders>
              <w:bottom w:val="single" w:sz="8" w:color="auto"/>
            </w:tcBorders>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rPr>
              <w:t>2.0</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1 %</w:t>
            </w:r>
          </w:p>
        </w:tc>
      </w:tr>
      <w:tr>
        <w:trPr>
          <w:trHeight w:val="152"/>
        </w:trPr>
        <w:tc>
          <w:tcPr>
            <w:tcW w:w="7220" w:type="dxa"/>
            <w:vAlign w:val="bottom"/>
          </w:tcPr>
          <w:p>
            <w:pPr>
              <w:ind w:left="20"/>
              <w:spacing w:after="0"/>
              <w:rPr>
                <w:sz w:val="20"/>
                <w:szCs w:val="20"/>
                <w:color w:val="auto"/>
              </w:rPr>
            </w:pPr>
            <w:r>
              <w:rPr>
                <w:rFonts w:ascii="Arial" w:cs="Arial" w:eastAsia="Arial" w:hAnsi="Arial"/>
                <w:sz w:val="11"/>
                <w:szCs w:val="11"/>
                <w:color w:val="auto"/>
              </w:rPr>
              <w:t>Less:</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7"/>
        </w:trPr>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Net income attributable to noncontrolling interest</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1 %</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1 %</w:t>
            </w:r>
          </w:p>
        </w:tc>
      </w:tr>
      <w:tr>
        <w:trPr>
          <w:trHeight w:val="171"/>
        </w:trPr>
        <w:tc>
          <w:tcPr>
            <w:tcW w:w="7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Net income attributable to Mission Produce</w:t>
            </w:r>
          </w:p>
        </w:tc>
        <w:tc>
          <w:tcPr>
            <w:tcW w:w="38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rPr>
              <w:t>3.9</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60" w:type="dxa"/>
            <w:vAlign w:val="bottom"/>
            <w:tcBorders>
              <w:bottom w:val="single" w:sz="8" w:color="auto"/>
            </w:tcBorders>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 %</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w:t>
      </w:r>
    </w:p>
    <w:p>
      <w:pPr>
        <w:spacing w:after="0" w:line="173" w:lineRule="exact"/>
        <w:rPr>
          <w:sz w:val="20"/>
          <w:szCs w:val="20"/>
          <w:color w:val="auto"/>
        </w:rPr>
      </w:pPr>
    </w:p>
    <w:p>
      <w:pPr>
        <w:jc w:val="both"/>
        <w:ind w:right="300" w:firstLine="509"/>
        <w:spacing w:after="0" w:line="282" w:lineRule="auto"/>
        <w:rPr>
          <w:sz w:val="20"/>
          <w:szCs w:val="20"/>
          <w:color w:val="auto"/>
        </w:rPr>
      </w:pPr>
      <w:r>
        <w:rPr>
          <w:rFonts w:ascii="Arial" w:cs="Arial" w:eastAsia="Arial" w:hAnsi="Arial"/>
          <w:sz w:val="11"/>
          <w:szCs w:val="11"/>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7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1"/>
                <w:szCs w:val="11"/>
                <w:color w:val="auto"/>
              </w:rPr>
            </w:pPr>
          </w:p>
        </w:tc>
      </w:tr>
      <w:tr>
        <w:trPr>
          <w:trHeight w:val="160"/>
        </w:trPr>
        <w:tc>
          <w:tcPr>
            <w:tcW w:w="77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1"/>
                <w:szCs w:val="11"/>
                <w:b w:val="1"/>
                <w:bCs w:val="1"/>
                <w:color w:val="auto"/>
              </w:rPr>
              <w:t>January 31,</w:t>
            </w:r>
          </w:p>
        </w:tc>
        <w:tc>
          <w:tcPr>
            <w:tcW w:w="780" w:type="dxa"/>
            <w:vAlign w:val="bottom"/>
            <w:tcBorders>
              <w:bottom w:val="single" w:sz="8" w:color="auto"/>
            </w:tcBorders>
          </w:tcPr>
          <w:p>
            <w:pPr>
              <w:spacing w:after="0"/>
              <w:rPr>
                <w:sz w:val="13"/>
                <w:szCs w:val="13"/>
                <w:color w:val="auto"/>
              </w:rPr>
            </w:pPr>
          </w:p>
        </w:tc>
      </w:tr>
      <w:tr>
        <w:trPr>
          <w:trHeight w:val="173"/>
        </w:trPr>
        <w:tc>
          <w:tcPr>
            <w:tcW w:w="77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millions)</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4"/>
        </w:trPr>
        <w:tc>
          <w:tcPr>
            <w:tcW w:w="7700" w:type="dxa"/>
            <w:vAlign w:val="bottom"/>
            <w:shd w:val="clear" w:color="auto" w:fill="DBDBDB"/>
          </w:tcPr>
          <w:p>
            <w:pPr>
              <w:spacing w:after="0"/>
              <w:rPr>
                <w:sz w:val="20"/>
                <w:szCs w:val="20"/>
                <w:color w:val="auto"/>
              </w:rPr>
            </w:pPr>
            <w:r>
              <w:rPr>
                <w:rFonts w:ascii="Arial" w:cs="Arial" w:eastAsia="Arial" w:hAnsi="Arial"/>
                <w:sz w:val="11"/>
                <w:szCs w:val="11"/>
                <w:color w:val="auto"/>
              </w:rPr>
              <w:t>Net sales by segment:</w:t>
            </w:r>
          </w:p>
        </w:tc>
        <w:tc>
          <w:tcPr>
            <w:tcW w:w="6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r>
      <w:tr>
        <w:trPr>
          <w:trHeight w:val="172"/>
        </w:trPr>
        <w:tc>
          <w:tcPr>
            <w:tcW w:w="7700" w:type="dxa"/>
            <w:vAlign w:val="bottom"/>
          </w:tcPr>
          <w:p>
            <w:pPr>
              <w:ind w:left="180"/>
              <w:spacing w:after="0"/>
              <w:rPr>
                <w:sz w:val="20"/>
                <w:szCs w:val="20"/>
                <w:color w:val="auto"/>
              </w:rPr>
            </w:pPr>
            <w:r>
              <w:rPr>
                <w:rFonts w:ascii="Arial" w:cs="Arial" w:eastAsia="Arial" w:hAnsi="Arial"/>
                <w:sz w:val="11"/>
                <w:szCs w:val="11"/>
                <w:color w:val="auto"/>
              </w:rPr>
              <w:t>Marketing &amp; Distribution</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295.8</w:t>
            </w:r>
          </w:p>
        </w:tc>
        <w:tc>
          <w:tcPr>
            <w:tcW w:w="980" w:type="dxa"/>
            <w:vAlign w:val="bottom"/>
          </w:tcPr>
          <w:p>
            <w:pPr>
              <w:jc w:val="right"/>
              <w:ind w:right="76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224.6</w:t>
            </w:r>
          </w:p>
        </w:tc>
      </w:tr>
      <w:tr>
        <w:trPr>
          <w:trHeight w:val="189"/>
        </w:trPr>
        <w:tc>
          <w:tcPr>
            <w:tcW w:w="7700" w:type="dxa"/>
            <w:vAlign w:val="bottom"/>
            <w:shd w:val="clear" w:color="auto" w:fill="DBDBDB"/>
          </w:tcPr>
          <w:p>
            <w:pPr>
              <w:ind w:left="180"/>
              <w:spacing w:after="0"/>
              <w:rPr>
                <w:sz w:val="20"/>
                <w:szCs w:val="20"/>
                <w:color w:val="auto"/>
              </w:rPr>
            </w:pPr>
            <w:r>
              <w:rPr>
                <w:rFonts w:ascii="Arial" w:cs="Arial" w:eastAsia="Arial" w:hAnsi="Arial"/>
                <w:sz w:val="11"/>
                <w:szCs w:val="11"/>
                <w:color w:val="auto"/>
              </w:rPr>
              <w:t>International Farming</w:t>
            </w:r>
          </w:p>
        </w:tc>
        <w:tc>
          <w:tcPr>
            <w:tcW w:w="62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2.0</w:t>
            </w:r>
          </w:p>
        </w:tc>
        <w:tc>
          <w:tcPr>
            <w:tcW w:w="9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1.6</w:t>
            </w:r>
          </w:p>
        </w:tc>
      </w:tr>
      <w:tr>
        <w:trPr>
          <w:trHeight w:val="172"/>
        </w:trPr>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Blueberries</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36.4</w:t>
            </w: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32.5</w:t>
            </w:r>
          </w:p>
        </w:tc>
      </w:tr>
      <w:tr>
        <w:trPr>
          <w:trHeight w:val="171"/>
        </w:trPr>
        <w:tc>
          <w:tcPr>
            <w:tcW w:w="77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Total net sales</w:t>
            </w:r>
          </w:p>
        </w:tc>
        <w:tc>
          <w:tcPr>
            <w:tcW w:w="62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334.2</w:t>
            </w:r>
          </w:p>
        </w:tc>
        <w:tc>
          <w:tcPr>
            <w:tcW w:w="980" w:type="dxa"/>
            <w:vAlign w:val="bottom"/>
            <w:tcBorders>
              <w:bottom w:val="single" w:sz="8" w:color="auto"/>
            </w:tcBorders>
            <w:shd w:val="clear" w:color="auto" w:fill="DBDBDB"/>
          </w:tcPr>
          <w:p>
            <w:pPr>
              <w:jc w:val="right"/>
              <w:ind w:right="76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258.7</w:t>
            </w:r>
          </w:p>
        </w:tc>
      </w:tr>
    </w:tbl>
    <w:p>
      <w:pPr>
        <w:spacing w:after="0" w:line="238" w:lineRule="exact"/>
        <w:rPr>
          <w:sz w:val="20"/>
          <w:szCs w:val="20"/>
          <w:color w:val="auto"/>
        </w:rPr>
      </w:pPr>
    </w:p>
    <w:p>
      <w:pPr>
        <w:ind w:firstLine="509"/>
        <w:spacing w:after="0" w:line="268" w:lineRule="auto"/>
        <w:rPr>
          <w:sz w:val="20"/>
          <w:szCs w:val="20"/>
          <w:color w:val="auto"/>
        </w:rPr>
      </w:pPr>
      <w:r>
        <w:rPr>
          <w:rFonts w:ascii="Arial" w:cs="Arial" w:eastAsia="Arial" w:hAnsi="Arial"/>
          <w:sz w:val="11"/>
          <w:szCs w:val="11"/>
          <w:color w:val="auto"/>
        </w:rPr>
        <w:t>Net sales increased $75.5 million or 29% in the three months ended January 31, 2025 compared to the same period last year, primarily driven by our Marketing &amp; Distribution segment, where average per-unit avocado sales prices increased 25% and avocado volume sold increased 5%. Consumer demand outpaced supply, driven by constraints on Mexican fruit availability. Blueberry revenue increased by $3.9 million or 12% during the period. The revenue growth was driven by an approximate 70% increase in blueberry volume sold, substantially offset by a 33% decrease in average per-unit sales price. Higher volumes were driven by both increased total acreage and yields from our farms, while decreased prices were driven by higher total industry production from Peru after unfavorable regional weather conditions negatively impacted supply during the prior year.</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Gross profit</w:t>
      </w:r>
    </w:p>
    <w:p>
      <w:pPr>
        <w:spacing w:after="0" w:line="184" w:lineRule="exact"/>
        <w:rPr>
          <w:sz w:val="20"/>
          <w:szCs w:val="20"/>
          <w:color w:val="auto"/>
        </w:rPr>
      </w:pPr>
    </w:p>
    <w:p>
      <w:pPr>
        <w:ind w:right="260" w:firstLine="509"/>
        <w:spacing w:after="0" w:line="272" w:lineRule="auto"/>
        <w:rPr>
          <w:sz w:val="20"/>
          <w:szCs w:val="20"/>
          <w:color w:val="auto"/>
        </w:rPr>
      </w:pPr>
      <w:r>
        <w:rPr>
          <w:rFonts w:ascii="Arial" w:cs="Arial" w:eastAsia="Arial" w:hAnsi="Arial"/>
          <w:sz w:val="11"/>
          <w:szCs w:val="11"/>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43"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28" w:right="339" w:bottom="1440" w:gutter="0" w:footer="0" w:header="0"/>
        </w:sectPr>
      </w:pPr>
    </w:p>
    <w:bookmarkStart w:id="20" w:name="page21"/>
    <w:bookmarkEnd w:id="20"/>
    <w:p>
      <w:pPr>
        <w:spacing w:after="0"/>
        <w:rPr>
          <w:sz w:val="20"/>
          <w:szCs w:val="20"/>
          <w:color w:val="auto"/>
        </w:rPr>
      </w:pPr>
      <w:r>
        <w:rPr>
          <w:rFonts w:ascii="Arial" w:cs="Arial" w:eastAsia="Arial" w:hAnsi="Arial"/>
          <w:sz w:val="11"/>
          <w:szCs w:val="11"/>
          <w:color w:val="auto"/>
        </w:rPr>
        <w:t>of boxes and other packaging materials, impact our product cost and our profit margins. Variations in production yields and other input costs also affect our cost of sales.</w:t>
      </w:r>
    </w:p>
    <w:p>
      <w:pPr>
        <w:spacing w:after="0" w:line="181" w:lineRule="exact"/>
        <w:rPr>
          <w:sz w:val="20"/>
          <w:szCs w:val="20"/>
          <w:color w:val="auto"/>
        </w:rPr>
      </w:pPr>
    </w:p>
    <w:p>
      <w:pPr>
        <w:jc w:val="both"/>
        <w:ind w:right="80" w:firstLine="509"/>
        <w:spacing w:after="0" w:line="268" w:lineRule="auto"/>
        <w:rPr>
          <w:sz w:val="20"/>
          <w:szCs w:val="20"/>
          <w:color w:val="auto"/>
        </w:rPr>
      </w:pPr>
      <w:r>
        <w:rPr>
          <w:rFonts w:ascii="Arial" w:cs="Arial" w:eastAsia="Arial" w:hAnsi="Arial"/>
          <w:sz w:val="11"/>
          <w:szCs w:val="11"/>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146"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On February 1, 2025, President Trump signed executive orders to impose 25% tariffs against certain foreign goods, including a 25% tariff on all imports from Mexico. The tariffs became effective on March 4, 2025. On March 6, 2025, President Trump made an announcement pausing the tariffs until April 2, 2025. If tariff levies resume, they will likely increase the cost of fruit we import from Mexico, which we may not be able to pass on to our customers.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60" w:type="dxa"/>
            <w:vAlign w:val="bottom"/>
            <w:gridSpan w:val="2"/>
          </w:tcPr>
          <w:p>
            <w:pPr>
              <w:jc w:val="center"/>
              <w:ind w:left="63"/>
              <w:spacing w:after="0"/>
              <w:rPr>
                <w:sz w:val="20"/>
                <w:szCs w:val="20"/>
                <w:color w:val="auto"/>
              </w:rPr>
            </w:pPr>
            <w:r>
              <w:rPr>
                <w:rFonts w:ascii="Arial" w:cs="Arial" w:eastAsia="Arial" w:hAnsi="Arial"/>
                <w:sz w:val="11"/>
                <w:szCs w:val="11"/>
                <w:b w:val="1"/>
                <w:bCs w:val="1"/>
                <w:color w:val="auto"/>
              </w:rPr>
              <w:t>Three Months Ended</w:t>
            </w:r>
          </w:p>
        </w:tc>
        <w:tc>
          <w:tcPr>
            <w:tcW w:w="820" w:type="dxa"/>
            <w:vAlign w:val="bottom"/>
          </w:tcPr>
          <w:p>
            <w:pPr>
              <w:spacing w:after="0"/>
              <w:rPr>
                <w:sz w:val="11"/>
                <w:szCs w:val="11"/>
                <w:color w:val="auto"/>
              </w:rPr>
            </w:pPr>
          </w:p>
        </w:tc>
      </w:tr>
      <w:tr>
        <w:trPr>
          <w:trHeight w:val="160"/>
        </w:trPr>
        <w:tc>
          <w:tcPr>
            <w:tcW w:w="75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1"/>
                <w:szCs w:val="11"/>
                <w:b w:val="1"/>
                <w:bCs w:val="1"/>
                <w:color w:val="auto"/>
              </w:rPr>
              <w:t>January 31,</w:t>
            </w:r>
          </w:p>
        </w:tc>
        <w:tc>
          <w:tcPr>
            <w:tcW w:w="820" w:type="dxa"/>
            <w:vAlign w:val="bottom"/>
            <w:tcBorders>
              <w:bottom w:val="single" w:sz="8" w:color="auto"/>
            </w:tcBorders>
          </w:tcPr>
          <w:p>
            <w:pPr>
              <w:spacing w:after="0"/>
              <w:rPr>
                <w:sz w:val="13"/>
                <w:szCs w:val="13"/>
                <w:color w:val="auto"/>
              </w:rPr>
            </w:pPr>
          </w:p>
        </w:tc>
      </w:tr>
      <w:tr>
        <w:trPr>
          <w:trHeight w:val="171"/>
        </w:trPr>
        <w:tc>
          <w:tcPr>
            <w:tcW w:w="7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10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2024</w:t>
            </w:r>
          </w:p>
        </w:tc>
      </w:tr>
      <w:tr>
        <w:trPr>
          <w:trHeight w:val="177"/>
        </w:trPr>
        <w:tc>
          <w:tcPr>
            <w:tcW w:w="758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 (in millions)</w:t>
            </w:r>
          </w:p>
        </w:tc>
        <w:tc>
          <w:tcPr>
            <w:tcW w:w="660" w:type="dxa"/>
            <w:vAlign w:val="bottom"/>
            <w:shd w:val="clear" w:color="auto" w:fill="DBDBDB"/>
          </w:tcPr>
          <w:p>
            <w:pPr>
              <w:jc w:val="right"/>
              <w:ind w:right="54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31.5</w:t>
            </w:r>
          </w:p>
        </w:tc>
        <w:tc>
          <w:tcPr>
            <w:tcW w:w="1020" w:type="dxa"/>
            <w:vAlign w:val="bottom"/>
            <w:shd w:val="clear" w:color="auto" w:fill="DBDBDB"/>
          </w:tcPr>
          <w:p>
            <w:pPr>
              <w:jc w:val="right"/>
              <w:ind w:right="80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28.7</w:t>
            </w:r>
          </w:p>
        </w:tc>
      </w:tr>
      <w:tr>
        <w:trPr>
          <w:trHeight w:val="172"/>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Gross profit as a percentage of sales</w:t>
            </w: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9.4 %</w:t>
            </w:r>
          </w:p>
        </w:tc>
        <w:tc>
          <w:tcPr>
            <w:tcW w:w="10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11.1 %</w:t>
            </w:r>
          </w:p>
        </w:tc>
      </w:tr>
    </w:tbl>
    <w:p>
      <w:pPr>
        <w:spacing w:after="0" w:line="238" w:lineRule="exact"/>
        <w:rPr>
          <w:sz w:val="20"/>
          <w:szCs w:val="20"/>
          <w:color w:val="auto"/>
        </w:rPr>
      </w:pPr>
    </w:p>
    <w:p>
      <w:pPr>
        <w:ind w:right="20" w:firstLine="509"/>
        <w:spacing w:after="0" w:line="267" w:lineRule="auto"/>
        <w:rPr>
          <w:sz w:val="20"/>
          <w:szCs w:val="20"/>
          <w:color w:val="auto"/>
        </w:rPr>
      </w:pPr>
      <w:r>
        <w:rPr>
          <w:rFonts w:ascii="Arial" w:cs="Arial" w:eastAsia="Arial" w:hAnsi="Arial"/>
          <w:sz w:val="11"/>
          <w:szCs w:val="11"/>
          <w:color w:val="auto"/>
        </w:rPr>
        <w:t>Gross profit increased $2.8 million or 10% in the three months ended January 31, 2025 compared to the same period last year to $31.5 million, driven by our International Farming segment, which benefited from increased packing and cooling service activity that correlated with higher blueberry production volumes, partially offset by lower gross profit in our Marketing &amp; Distribution segment, which was negatively impacted by lower per-unit margins on avocados sold due to challenges in obtaining Mexican supply required to meet customer commitments. Gross profit percentage decreased 170 basis points to 9.4% of revenue, compared to the same period last year. 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SG&amp;A</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Selling, general and administrative (“SG&amp;A”) expenses primarily include the costs associated with selling, professional fees, general corporate overhead and other related administrative functions.</w:t>
      </w:r>
    </w:p>
    <w:p>
      <w:pPr>
        <w:spacing w:after="0" w:line="224" w:lineRule="exact"/>
        <w:rPr>
          <w:sz w:val="20"/>
          <w:szCs w:val="20"/>
          <w:color w:val="auto"/>
        </w:rPr>
      </w:pPr>
    </w:p>
    <w:p>
      <w:pPr>
        <w:jc w:val="center"/>
        <w:ind w:left="754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54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18415</wp:posOffset>
            </wp:positionV>
            <wp:extent cx="221678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4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millions)</w:t>
            </w:r>
          </w:p>
        </w:tc>
        <w:tc>
          <w:tcPr>
            <w:tcW w:w="3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66"/>
        </w:trPr>
        <w:tc>
          <w:tcPr>
            <w:tcW w:w="49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Selling, general and administrative expenses</w:t>
            </w:r>
          </w:p>
        </w:tc>
        <w:tc>
          <w:tcPr>
            <w:tcW w:w="3340" w:type="dxa"/>
            <w:vAlign w:val="bottom"/>
            <w:tcBorders>
              <w:bottom w:val="single" w:sz="8" w:color="auto"/>
            </w:tcBorders>
            <w:shd w:val="clear" w:color="auto" w:fill="DBDBDB"/>
          </w:tcPr>
          <w:p>
            <w:pPr>
              <w:jc w:val="right"/>
              <w:ind w:right="5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22.2</w:t>
            </w:r>
          </w:p>
        </w:tc>
        <w:tc>
          <w:tcPr>
            <w:tcW w:w="780" w:type="dxa"/>
            <w:vAlign w:val="bottom"/>
            <w:tcBorders>
              <w:bottom w:val="single" w:sz="8" w:color="auto"/>
            </w:tcBorders>
            <w:shd w:val="clear" w:color="auto" w:fill="DBDBDB"/>
          </w:tcPr>
          <w:p>
            <w:pPr>
              <w:jc w:val="right"/>
              <w:ind w:right="56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20.7</w:t>
            </w:r>
          </w:p>
        </w:tc>
      </w:tr>
    </w:tbl>
    <w:p>
      <w:pPr>
        <w:spacing w:after="0" w:line="227" w:lineRule="exact"/>
        <w:rPr>
          <w:sz w:val="20"/>
          <w:szCs w:val="20"/>
          <w:color w:val="auto"/>
        </w:rPr>
      </w:pPr>
    </w:p>
    <w:p>
      <w:pPr>
        <w:ind w:right="240" w:firstLine="509"/>
        <w:spacing w:after="0" w:line="303" w:lineRule="auto"/>
        <w:rPr>
          <w:sz w:val="20"/>
          <w:szCs w:val="20"/>
          <w:color w:val="auto"/>
        </w:rPr>
      </w:pPr>
      <w:r>
        <w:rPr>
          <w:rFonts w:ascii="Arial" w:cs="Arial" w:eastAsia="Arial" w:hAnsi="Arial"/>
          <w:sz w:val="11"/>
          <w:szCs w:val="11"/>
          <w:color w:val="auto"/>
        </w:rPr>
        <w:t>SG&amp;A expenses increased $1.5 million or 7% in the three months ended January 31, 2025 compared to the same period last year, primarily due to higher employee related costs, including statutory profit-sharing expense and stock-based compensation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expense</w:t>
      </w:r>
    </w:p>
    <w:p>
      <w:pPr>
        <w:spacing w:after="0" w:line="184" w:lineRule="exact"/>
        <w:rPr>
          <w:sz w:val="20"/>
          <w:szCs w:val="20"/>
          <w:color w:val="auto"/>
        </w:rPr>
      </w:pPr>
    </w:p>
    <w:p>
      <w:pPr>
        <w:ind w:right="140" w:firstLine="509"/>
        <w:spacing w:after="0" w:line="303" w:lineRule="auto"/>
        <w:rPr>
          <w:sz w:val="20"/>
          <w:szCs w:val="20"/>
          <w:color w:val="auto"/>
        </w:rPr>
      </w:pPr>
      <w:r>
        <w:rPr>
          <w:rFonts w:ascii="Arial" w:cs="Arial" w:eastAsia="Arial" w:hAnsi="Arial"/>
          <w:sz w:val="11"/>
          <w:szCs w:val="11"/>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222" w:lineRule="exact"/>
        <w:rPr>
          <w:sz w:val="20"/>
          <w:szCs w:val="20"/>
          <w:color w:val="auto"/>
        </w:rPr>
      </w:pPr>
    </w:p>
    <w:p>
      <w:pPr>
        <w:jc w:val="center"/>
        <w:ind w:left="764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64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18415</wp:posOffset>
            </wp:positionV>
            <wp:extent cx="221678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66"/>
        </w:trPr>
        <w:tc>
          <w:tcPr>
            <w:tcW w:w="4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Interest expense</w:t>
            </w:r>
          </w:p>
        </w:tc>
        <w:tc>
          <w:tcPr>
            <w:tcW w:w="4100" w:type="dxa"/>
            <w:vAlign w:val="bottom"/>
            <w:tcBorders>
              <w:bottom w:val="single" w:sz="8" w:color="auto"/>
            </w:tcBorders>
            <w:shd w:val="clear" w:color="auto" w:fill="DBDBDB"/>
          </w:tcPr>
          <w:p>
            <w:pPr>
              <w:jc w:val="right"/>
              <w:ind w:right="5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2.2</w:t>
            </w:r>
          </w:p>
        </w:tc>
        <w:tc>
          <w:tcPr>
            <w:tcW w:w="780" w:type="dxa"/>
            <w:vAlign w:val="bottom"/>
            <w:tcBorders>
              <w:bottom w:val="single" w:sz="8" w:color="auto"/>
            </w:tcBorders>
            <w:shd w:val="clear" w:color="auto" w:fill="DBDBDB"/>
          </w:tcPr>
          <w:p>
            <w:pPr>
              <w:jc w:val="right"/>
              <w:ind w:right="56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3.3</w:t>
            </w:r>
          </w:p>
        </w:tc>
      </w:tr>
    </w:tbl>
    <w:p>
      <w:pPr>
        <w:spacing w:after="0" w:line="238" w:lineRule="exact"/>
        <w:rPr>
          <w:sz w:val="20"/>
          <w:szCs w:val="20"/>
          <w:color w:val="auto"/>
        </w:rPr>
      </w:pPr>
    </w:p>
    <w:p>
      <w:pPr>
        <w:ind w:right="160" w:firstLine="509"/>
        <w:spacing w:after="0" w:line="303" w:lineRule="auto"/>
        <w:rPr>
          <w:sz w:val="20"/>
          <w:szCs w:val="20"/>
          <w:color w:val="auto"/>
        </w:rPr>
      </w:pPr>
      <w:r>
        <w:rPr>
          <w:rFonts w:ascii="Arial" w:cs="Arial" w:eastAsia="Arial" w:hAnsi="Arial"/>
          <w:sz w:val="11"/>
          <w:szCs w:val="11"/>
          <w:color w:val="auto"/>
        </w:rPr>
        <w:t>Interest expense decreased $1.1 million or 33% in the three months ended January 31, 2025 compared to the same period last year, due to lower average balances on our revolving line of credit and lower interest rates on our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Equity method income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material equity method investees include Henry Avocado (“HAC”), Mr. Avocado and Copaltas.</w:t>
      </w:r>
    </w:p>
    <w:p>
      <w:pPr>
        <w:spacing w:after="0" w:line="224" w:lineRule="exact"/>
        <w:rPr>
          <w:sz w:val="20"/>
          <w:szCs w:val="20"/>
          <w:color w:val="auto"/>
        </w:rPr>
      </w:pPr>
    </w:p>
    <w:p>
      <w:pPr>
        <w:jc w:val="center"/>
        <w:ind w:left="754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54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18415</wp:posOffset>
            </wp:positionV>
            <wp:extent cx="221678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4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millions)</w:t>
            </w:r>
          </w:p>
        </w:tc>
        <w:tc>
          <w:tcPr>
            <w:tcW w:w="39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66"/>
        </w:trPr>
        <w:tc>
          <w:tcPr>
            <w:tcW w:w="43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Equity method income</w:t>
            </w:r>
          </w:p>
        </w:tc>
        <w:tc>
          <w:tcPr>
            <w:tcW w:w="3900" w:type="dxa"/>
            <w:vAlign w:val="bottom"/>
            <w:tcBorders>
              <w:bottom w:val="single" w:sz="8" w:color="auto"/>
            </w:tcBorders>
            <w:shd w:val="clear" w:color="auto" w:fill="DBDBDB"/>
          </w:tcPr>
          <w:p>
            <w:pPr>
              <w:jc w:val="right"/>
              <w:ind w:right="5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0.8</w:t>
            </w:r>
          </w:p>
        </w:tc>
        <w:tc>
          <w:tcPr>
            <w:tcW w:w="780" w:type="dxa"/>
            <w:vAlign w:val="bottom"/>
            <w:tcBorders>
              <w:bottom w:val="single" w:sz="8" w:color="auto"/>
            </w:tcBorders>
            <w:shd w:val="clear" w:color="auto" w:fill="DBDBDB"/>
          </w:tcPr>
          <w:p>
            <w:pPr>
              <w:jc w:val="right"/>
              <w:ind w:right="56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0.4</w:t>
            </w:r>
          </w:p>
        </w:tc>
      </w:tr>
    </w:tbl>
    <w:p>
      <w:pPr>
        <w:spacing w:after="0" w:line="23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Equity method income increased $0.4 million or 100% in the three months ended January 31, 2025 compared to the same period last year, primarily due to improved margins on fruit sold at Mr. Avocado.</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(expense), net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Other income (expense), net consists of interest income, currency exchange gains or losses, interest rate derivative gains or losses and other miscellaneous income and expense items.</w:t>
      </w:r>
    </w:p>
    <w:p>
      <w:pPr>
        <w:spacing w:after="0" w:line="287" w:lineRule="exact"/>
        <w:rPr>
          <w:sz w:val="20"/>
          <w:szCs w:val="20"/>
          <w:color w:val="auto"/>
        </w:rPr>
      </w:pPr>
    </w:p>
    <w:p>
      <w:pPr>
        <w:jc w:val="center"/>
        <w:ind w:left="764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64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18415</wp:posOffset>
            </wp:positionV>
            <wp:extent cx="221678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66"/>
        </w:trPr>
        <w:tc>
          <w:tcPr>
            <w:tcW w:w="4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 income (expense), net</w:t>
            </w:r>
          </w:p>
        </w:tc>
        <w:tc>
          <w:tcPr>
            <w:tcW w:w="3820" w:type="dxa"/>
            <w:vAlign w:val="bottom"/>
            <w:tcBorders>
              <w:bottom w:val="single" w:sz="8" w:color="auto"/>
            </w:tcBorders>
            <w:shd w:val="clear" w:color="auto" w:fill="DBDBDB"/>
          </w:tcPr>
          <w:p>
            <w:pPr>
              <w:jc w:val="right"/>
              <w:ind w:right="58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1"/>
                <w:szCs w:val="11"/>
                <w:color w:val="auto"/>
              </w:rPr>
              <w:t>1.5</w:t>
            </w:r>
          </w:p>
        </w:tc>
        <w:tc>
          <w:tcPr>
            <w:tcW w:w="780" w:type="dxa"/>
            <w:vAlign w:val="bottom"/>
            <w:tcBorders>
              <w:bottom w:val="single" w:sz="8" w:color="auto"/>
            </w:tcBorders>
            <w:shd w:val="clear" w:color="auto" w:fill="DBDBDB"/>
          </w:tcPr>
          <w:p>
            <w:pPr>
              <w:jc w:val="right"/>
              <w:ind w:right="56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w:t>
            </w:r>
          </w:p>
        </w:tc>
      </w:tr>
    </w:tbl>
    <w:p>
      <w:pPr>
        <w:spacing w:after="0" w:line="227" w:lineRule="exact"/>
        <w:rPr>
          <w:sz w:val="20"/>
          <w:szCs w:val="20"/>
          <w:color w:val="auto"/>
        </w:rPr>
      </w:pPr>
    </w:p>
    <w:p>
      <w:pPr>
        <w:ind w:right="380" w:firstLine="509"/>
        <w:spacing w:after="0" w:line="303" w:lineRule="auto"/>
        <w:rPr>
          <w:sz w:val="20"/>
          <w:szCs w:val="20"/>
          <w:color w:val="auto"/>
        </w:rPr>
      </w:pPr>
      <w:r>
        <w:rPr>
          <w:rFonts w:ascii="Arial" w:cs="Arial" w:eastAsia="Arial" w:hAnsi="Arial"/>
          <w:sz w:val="11"/>
          <w:szCs w:val="11"/>
          <w:color w:val="auto"/>
        </w:rPr>
        <w:t>Other income was $1.5 million in the three months ended January 31, 2025 compared to expense of $1.0 million for the same period last year. Other income in the current year was driven by foreign currency transaction gains resulting from a strengthening U.S. dollar relative to the Mexican peso during the period, as compared to weakening in the prior year period.</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Provision for income taxes</w:t>
      </w:r>
    </w:p>
    <w:p>
      <w:pPr>
        <w:spacing w:after="0" w:line="173" w:lineRule="exact"/>
        <w:rPr>
          <w:sz w:val="20"/>
          <w:szCs w:val="20"/>
          <w:color w:val="auto"/>
        </w:rPr>
      </w:pPr>
    </w:p>
    <w:p>
      <w:pPr>
        <w:jc w:val="both"/>
        <w:ind w:right="260" w:firstLine="509"/>
        <w:spacing w:after="0" w:line="282" w:lineRule="auto"/>
        <w:rPr>
          <w:sz w:val="20"/>
          <w:szCs w:val="20"/>
          <w:color w:val="auto"/>
        </w:rPr>
      </w:pPr>
      <w:r>
        <w:rPr>
          <w:rFonts w:ascii="Arial" w:cs="Arial" w:eastAsia="Arial" w:hAnsi="Arial"/>
          <w:sz w:val="11"/>
          <w:szCs w:val="11"/>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38" w:lineRule="exact"/>
        <w:rPr>
          <w:sz w:val="20"/>
          <w:szCs w:val="20"/>
          <w:color w:val="auto"/>
        </w:rPr>
      </w:pPr>
    </w:p>
    <w:p>
      <w:pPr>
        <w:jc w:val="both"/>
        <w:ind w:right="40" w:firstLine="509"/>
        <w:spacing w:after="0" w:line="272" w:lineRule="auto"/>
        <w:rPr>
          <w:sz w:val="20"/>
          <w:szCs w:val="20"/>
          <w:color w:val="auto"/>
        </w:rPr>
      </w:pPr>
      <w:r>
        <w:rPr>
          <w:rFonts w:ascii="Arial" w:cs="Arial" w:eastAsia="Arial" w:hAnsi="Arial"/>
          <w:sz w:val="11"/>
          <w:szCs w:val="11"/>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43" w:lineRule="exact"/>
        <w:rPr>
          <w:sz w:val="20"/>
          <w:szCs w:val="20"/>
          <w:color w:val="auto"/>
        </w:rPr>
      </w:pPr>
    </w:p>
    <w:p>
      <w:pPr>
        <w:ind w:right="180" w:firstLine="509"/>
        <w:spacing w:after="0" w:line="303" w:lineRule="auto"/>
        <w:rPr>
          <w:sz w:val="20"/>
          <w:szCs w:val="20"/>
          <w:color w:val="auto"/>
        </w:rPr>
      </w:pPr>
      <w:r>
        <w:rPr>
          <w:rFonts w:ascii="Arial" w:cs="Arial" w:eastAsia="Arial" w:hAnsi="Arial"/>
          <w:sz w:val="11"/>
          <w:szCs w:val="11"/>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7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60" w:type="dxa"/>
            <w:vAlign w:val="bottom"/>
            <w:gridSpan w:val="2"/>
          </w:tcPr>
          <w:p>
            <w:pPr>
              <w:jc w:val="center"/>
              <w:ind w:left="103"/>
              <w:spacing w:after="0"/>
              <w:rPr>
                <w:sz w:val="20"/>
                <w:szCs w:val="20"/>
                <w:color w:val="auto"/>
              </w:rPr>
            </w:pPr>
            <w:r>
              <w:rPr>
                <w:rFonts w:ascii="Arial" w:cs="Arial" w:eastAsia="Arial" w:hAnsi="Arial"/>
                <w:sz w:val="11"/>
                <w:szCs w:val="11"/>
                <w:b w:val="1"/>
                <w:bCs w:val="1"/>
                <w:color w:val="auto"/>
              </w:rPr>
              <w:t>Three Months Ended</w:t>
            </w:r>
          </w:p>
        </w:tc>
        <w:tc>
          <w:tcPr>
            <w:tcW w:w="820" w:type="dxa"/>
            <w:vAlign w:val="bottom"/>
          </w:tcPr>
          <w:p>
            <w:pPr>
              <w:spacing w:after="0"/>
              <w:rPr>
                <w:sz w:val="11"/>
                <w:szCs w:val="11"/>
                <w:color w:val="auto"/>
              </w:rPr>
            </w:pPr>
          </w:p>
        </w:tc>
      </w:tr>
      <w:tr>
        <w:trPr>
          <w:trHeight w:val="160"/>
        </w:trPr>
        <w:tc>
          <w:tcPr>
            <w:tcW w:w="75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center"/>
              <w:ind w:left="103"/>
              <w:spacing w:after="0"/>
              <w:rPr>
                <w:sz w:val="20"/>
                <w:szCs w:val="20"/>
                <w:color w:val="auto"/>
              </w:rPr>
            </w:pPr>
            <w:r>
              <w:rPr>
                <w:rFonts w:ascii="Arial" w:cs="Arial" w:eastAsia="Arial" w:hAnsi="Arial"/>
                <w:sz w:val="11"/>
                <w:szCs w:val="11"/>
                <w:b w:val="1"/>
                <w:bCs w:val="1"/>
                <w:color w:val="auto"/>
              </w:rPr>
              <w:t>January 31,</w:t>
            </w:r>
          </w:p>
        </w:tc>
        <w:tc>
          <w:tcPr>
            <w:tcW w:w="820" w:type="dxa"/>
            <w:vAlign w:val="bottom"/>
            <w:tcBorders>
              <w:bottom w:val="single" w:sz="8" w:color="auto"/>
            </w:tcBorders>
          </w:tcPr>
          <w:p>
            <w:pPr>
              <w:spacing w:after="0"/>
              <w:rPr>
                <w:sz w:val="13"/>
                <w:szCs w:val="13"/>
                <w:color w:val="auto"/>
              </w:rPr>
            </w:pPr>
          </w:p>
        </w:tc>
      </w:tr>
      <w:tr>
        <w:trPr>
          <w:trHeight w:val="171"/>
        </w:trPr>
        <w:tc>
          <w:tcPr>
            <w:tcW w:w="7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Provision for income taxes (in millions)</w:t>
            </w:r>
          </w:p>
        </w:tc>
        <w:tc>
          <w:tcPr>
            <w:tcW w:w="66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3.2</w:t>
            </w:r>
          </w:p>
        </w:tc>
        <w:tc>
          <w:tcPr>
            <w:tcW w:w="1000" w:type="dxa"/>
            <w:vAlign w:val="bottom"/>
            <w:shd w:val="clear" w:color="auto" w:fill="DBDBDB"/>
          </w:tcPr>
          <w:p>
            <w:pPr>
              <w:jc w:val="right"/>
              <w:ind w:right="80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2.1</w:t>
            </w:r>
          </w:p>
        </w:tc>
      </w:tr>
      <w:tr>
        <w:trPr>
          <w:trHeight w:val="172"/>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Effective tax rate</w:t>
            </w: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34.0 %</w:t>
            </w:r>
          </w:p>
        </w:tc>
        <w:tc>
          <w:tcPr>
            <w:tcW w:w="1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51.2 %</w:t>
            </w:r>
          </w:p>
        </w:tc>
      </w:tr>
    </w:tbl>
    <w:p>
      <w:pPr>
        <w:spacing w:after="0" w:line="238" w:lineRule="exact"/>
        <w:rPr>
          <w:sz w:val="20"/>
          <w:szCs w:val="20"/>
          <w:color w:val="auto"/>
        </w:rPr>
      </w:pPr>
    </w:p>
    <w:p>
      <w:pPr>
        <w:jc w:val="both"/>
        <w:ind w:right="20" w:firstLine="509"/>
        <w:spacing w:after="0" w:line="283" w:lineRule="auto"/>
        <w:rPr>
          <w:sz w:val="20"/>
          <w:szCs w:val="20"/>
          <w:color w:val="auto"/>
        </w:rPr>
      </w:pPr>
      <w:r>
        <w:rPr>
          <w:rFonts w:ascii="Arial" w:cs="Arial" w:eastAsia="Arial" w:hAnsi="Arial"/>
          <w:sz w:val="11"/>
          <w:szCs w:val="11"/>
          <w:color w:val="auto"/>
        </w:rPr>
        <w:t>The provision for income tax increased $1.1 million or 52% in the three months ended January 31, 2025 compared to the same period last year, primarily due to the effect of higher income before taxes in the current year. Our effective tax rate in both years was impacted by book losses in jurisdictions where either a full valuation allowance has been recorded or where loss carryforward is disallowed.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Results of Operations</w:t>
      </w:r>
    </w:p>
    <w:p>
      <w:pPr>
        <w:spacing w:after="0" w:line="187" w:lineRule="exact"/>
        <w:rPr>
          <w:sz w:val="20"/>
          <w:szCs w:val="20"/>
          <w:color w:val="auto"/>
        </w:rPr>
      </w:pPr>
    </w:p>
    <w:p>
      <w:pPr>
        <w:ind w:right="460" w:firstLine="509"/>
        <w:spacing w:after="0" w:line="303" w:lineRule="auto"/>
        <w:rPr>
          <w:sz w:val="20"/>
          <w:szCs w:val="20"/>
          <w:color w:val="auto"/>
        </w:rPr>
      </w:pPr>
      <w:r>
        <w:rPr>
          <w:rFonts w:ascii="Arial" w:cs="Arial" w:eastAsia="Arial" w:hAnsi="Arial"/>
          <w:sz w:val="11"/>
          <w:szCs w:val="11"/>
          <w:color w:val="auto"/>
        </w:rPr>
        <w:t>Our CEO evaluates and monitors segment performance primarily through segment sales and segment adjusted earnings before interest expense, income taxes and depreciation and amortization (“adjusted EBITDA”). We believe that adjusted EBITDA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7" w:right="379" w:bottom="1440" w:gutter="0" w:footer="0" w:header="0"/>
        </w:sectPr>
      </w:pPr>
    </w:p>
    <w:bookmarkStart w:id="22" w:name="page23"/>
    <w:bookmarkEnd w:id="22"/>
    <w:p>
      <w:pPr>
        <w:ind w:right="200"/>
        <w:spacing w:after="0" w:line="267" w:lineRule="auto"/>
        <w:rPr>
          <w:sz w:val="20"/>
          <w:szCs w:val="20"/>
          <w:color w:val="auto"/>
        </w:rPr>
      </w:pPr>
      <w:r>
        <w:rPr>
          <w:rFonts w:ascii="Arial" w:cs="Arial" w:eastAsia="Arial" w:hAnsi="Arial"/>
          <w:sz w:val="11"/>
          <w:szCs w:val="11"/>
          <w:color w:val="auto"/>
        </w:rPr>
        <w:t>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 Effective for the fourth quarter of 2024, the Company made a change in presentation of its reconciliation of adjusted EBITDA to its comparable GAAP financial measure to include a subtotal of the non-GAAP adjustments before the effect of the noncontrolling interest adjustment called “adjusted EBITDA before adjustment for noncontrolling interest.” The presentation change has no impact to total adjusted EBITDA. We believe the addition of the subtotal within the reconciliation is useful because it better aligns with management’s sequence of review of the information in the reconciliation.</w:t>
      </w:r>
    </w:p>
    <w:p>
      <w:pPr>
        <w:spacing w:after="0" w:line="145" w:lineRule="exact"/>
        <w:rPr>
          <w:sz w:val="20"/>
          <w:szCs w:val="20"/>
          <w:color w:val="auto"/>
        </w:rPr>
      </w:pPr>
    </w:p>
    <w:p>
      <w:pPr>
        <w:ind w:right="180" w:firstLine="509"/>
        <w:spacing w:after="0" w:line="268" w:lineRule="auto"/>
        <w:rPr>
          <w:sz w:val="20"/>
          <w:szCs w:val="20"/>
          <w:color w:val="auto"/>
        </w:rPr>
      </w:pPr>
      <w:r>
        <w:rPr>
          <w:rFonts w:ascii="Arial" w:cs="Arial" w:eastAsia="Arial" w:hAnsi="Arial"/>
          <w:sz w:val="11"/>
          <w:szCs w:val="11"/>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costs, and any special, non-recurring, or one-time items such as remeasurements or impairments, and any portion of these items attributable to the noncontrolling interest, all of which are excluded from the results the CEO uses to assess segment performance and results.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1940" w:type="dxa"/>
            <w:vAlign w:val="bottom"/>
          </w:tcPr>
          <w:p>
            <w:pPr>
              <w:spacing w:after="0"/>
              <w:rPr>
                <w:sz w:val="9"/>
                <w:szCs w:val="9"/>
                <w:color w:val="auto"/>
              </w:rPr>
            </w:pPr>
          </w:p>
        </w:tc>
        <w:tc>
          <w:tcPr>
            <w:tcW w:w="1080" w:type="dxa"/>
            <w:vAlign w:val="bottom"/>
            <w:gridSpan w:val="2"/>
          </w:tcPr>
          <w:p>
            <w:pPr>
              <w:ind w:left="20"/>
              <w:spacing w:after="0"/>
              <w:rPr>
                <w:sz w:val="20"/>
                <w:szCs w:val="20"/>
                <w:color w:val="auto"/>
              </w:rPr>
            </w:pPr>
            <w:r>
              <w:rPr>
                <w:rFonts w:ascii="Arial" w:cs="Arial" w:eastAsia="Arial" w:hAnsi="Arial"/>
                <w:sz w:val="8"/>
                <w:szCs w:val="8"/>
                <w:b w:val="1"/>
                <w:bCs w:val="1"/>
                <w:color w:val="auto"/>
              </w:rPr>
              <w:t>Marketing &amp; Distribution</w:t>
            </w:r>
          </w:p>
        </w:tc>
        <w:tc>
          <w:tcPr>
            <w:tcW w:w="18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b w:val="1"/>
                <w:bCs w:val="1"/>
                <w:color w:val="auto"/>
              </w:rPr>
              <w:t>International Farming</w:t>
            </w:r>
          </w:p>
        </w:tc>
        <w:tc>
          <w:tcPr>
            <w:tcW w:w="380" w:type="dxa"/>
            <w:vAlign w:val="bottom"/>
          </w:tcPr>
          <w:p>
            <w:pPr>
              <w:spacing w:after="0"/>
              <w:rPr>
                <w:sz w:val="9"/>
                <w:szCs w:val="9"/>
                <w:color w:val="auto"/>
              </w:rPr>
            </w:pPr>
          </w:p>
        </w:tc>
        <w:tc>
          <w:tcPr>
            <w:tcW w:w="780" w:type="dxa"/>
            <w:vAlign w:val="bottom"/>
          </w:tcPr>
          <w:p>
            <w:pPr>
              <w:jc w:val="right"/>
              <w:ind w:right="38"/>
              <w:spacing w:after="0"/>
              <w:rPr>
                <w:sz w:val="20"/>
                <w:szCs w:val="20"/>
                <w:color w:val="auto"/>
              </w:rPr>
            </w:pPr>
            <w:r>
              <w:rPr>
                <w:rFonts w:ascii="Arial" w:cs="Arial" w:eastAsia="Arial" w:hAnsi="Arial"/>
                <w:sz w:val="8"/>
                <w:szCs w:val="8"/>
                <w:b w:val="1"/>
                <w:bCs w:val="1"/>
                <w:color w:val="auto"/>
              </w:rPr>
              <w:t>Blueberries</w:t>
            </w:r>
          </w:p>
        </w:tc>
        <w:tc>
          <w:tcPr>
            <w:tcW w:w="480" w:type="dxa"/>
            <w:vAlign w:val="bottom"/>
          </w:tcPr>
          <w:p>
            <w:pPr>
              <w:spacing w:after="0"/>
              <w:rPr>
                <w:sz w:val="9"/>
                <w:szCs w:val="9"/>
                <w:color w:val="auto"/>
              </w:rPr>
            </w:pPr>
          </w:p>
        </w:tc>
        <w:tc>
          <w:tcPr>
            <w:tcW w:w="740" w:type="dxa"/>
            <w:vAlign w:val="bottom"/>
          </w:tcPr>
          <w:p>
            <w:pPr>
              <w:jc w:val="right"/>
              <w:ind w:right="98"/>
              <w:spacing w:after="0"/>
              <w:rPr>
                <w:sz w:val="20"/>
                <w:szCs w:val="20"/>
                <w:color w:val="auto"/>
              </w:rPr>
            </w:pPr>
            <w:r>
              <w:rPr>
                <w:rFonts w:ascii="Arial" w:cs="Arial" w:eastAsia="Arial" w:hAnsi="Arial"/>
                <w:sz w:val="8"/>
                <w:szCs w:val="8"/>
                <w:b w:val="1"/>
                <w:bCs w:val="1"/>
                <w:color w:val="auto"/>
              </w:rPr>
              <w:t>Total</w:t>
            </w:r>
          </w:p>
        </w:tc>
        <w:tc>
          <w:tcPr>
            <w:tcW w:w="1220" w:type="dxa"/>
            <w:vAlign w:val="bottom"/>
            <w:gridSpan w:val="2"/>
          </w:tcPr>
          <w:p>
            <w:pPr>
              <w:jc w:val="right"/>
              <w:ind w:right="38"/>
              <w:spacing w:after="0"/>
              <w:rPr>
                <w:sz w:val="20"/>
                <w:szCs w:val="20"/>
                <w:color w:val="auto"/>
              </w:rPr>
            </w:pPr>
            <w:r>
              <w:rPr>
                <w:rFonts w:ascii="Arial" w:cs="Arial" w:eastAsia="Arial" w:hAnsi="Arial"/>
                <w:sz w:val="8"/>
                <w:szCs w:val="8"/>
                <w:b w:val="1"/>
                <w:bCs w:val="1"/>
                <w:color w:val="auto"/>
              </w:rPr>
              <w:t>Marketing &amp; Distribution</w:t>
            </w:r>
          </w:p>
        </w:tc>
        <w:tc>
          <w:tcPr>
            <w:tcW w:w="18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b w:val="1"/>
                <w:bCs w:val="1"/>
                <w:color w:val="auto"/>
              </w:rPr>
              <w:t>International Farming</w:t>
            </w:r>
          </w:p>
        </w:tc>
        <w:tc>
          <w:tcPr>
            <w:tcW w:w="380" w:type="dxa"/>
            <w:vAlign w:val="bottom"/>
          </w:tcPr>
          <w:p>
            <w:pPr>
              <w:spacing w:after="0"/>
              <w:rPr>
                <w:sz w:val="9"/>
                <w:szCs w:val="9"/>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b w:val="1"/>
                <w:bCs w:val="1"/>
                <w:color w:val="auto"/>
              </w:rPr>
              <w:t>Blueberries</w:t>
            </w:r>
          </w:p>
        </w:tc>
        <w:tc>
          <w:tcPr>
            <w:tcW w:w="4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1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gridSpan w:val="2"/>
          </w:tcPr>
          <w:p>
            <w:pPr>
              <w:jc w:val="right"/>
              <w:ind w:right="178"/>
              <w:spacing w:after="0"/>
              <w:rPr>
                <w:sz w:val="20"/>
                <w:szCs w:val="20"/>
                <w:color w:val="auto"/>
              </w:rPr>
            </w:pPr>
            <w:r>
              <w:rPr>
                <w:rFonts w:ascii="Arial" w:cs="Arial" w:eastAsia="Arial" w:hAnsi="Arial"/>
                <w:sz w:val="8"/>
                <w:szCs w:val="8"/>
                <w:b w:val="1"/>
                <w:bCs w:val="1"/>
                <w:color w:val="auto"/>
              </w:rPr>
              <w:t>Three Months Ended</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gridSpan w:val="2"/>
          </w:tcPr>
          <w:p>
            <w:pPr>
              <w:jc w:val="right"/>
              <w:ind w:right="378"/>
              <w:spacing w:after="0"/>
              <w:rPr>
                <w:sz w:val="20"/>
                <w:szCs w:val="20"/>
                <w:color w:val="auto"/>
              </w:rPr>
            </w:pPr>
            <w:r>
              <w:rPr>
                <w:rFonts w:ascii="Arial" w:cs="Arial" w:eastAsia="Arial" w:hAnsi="Arial"/>
                <w:sz w:val="8"/>
                <w:szCs w:val="8"/>
                <w:b w:val="1"/>
                <w:bCs w:val="1"/>
                <w:color w:val="auto"/>
              </w:rPr>
              <w:t>January 31,</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rPr>
                <w:sz w:val="20"/>
                <w:szCs w:val="20"/>
                <w:color w:val="auto"/>
              </w:rPr>
            </w:pPr>
            <w:r>
              <w:rPr>
                <w:rFonts w:ascii="Arial" w:cs="Arial" w:eastAsia="Arial" w:hAnsi="Arial"/>
                <w:sz w:val="8"/>
                <w:szCs w:val="8"/>
                <w:color w:val="auto"/>
              </w:rPr>
              <w:t>(In millions)</w:t>
            </w: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19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right"/>
              <w:ind w:right="238"/>
              <w:spacing w:after="0"/>
              <w:rPr>
                <w:sz w:val="20"/>
                <w:szCs w:val="20"/>
                <w:color w:val="auto"/>
              </w:rPr>
            </w:pPr>
            <w:r>
              <w:rPr>
                <w:rFonts w:ascii="Arial" w:cs="Arial" w:eastAsia="Arial" w:hAnsi="Arial"/>
                <w:sz w:val="8"/>
                <w:szCs w:val="8"/>
                <w:b w:val="1"/>
                <w:bCs w:val="1"/>
                <w:color w:val="auto"/>
              </w:rPr>
              <w:t>2025</w:t>
            </w: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right"/>
              <w:ind w:right="238"/>
              <w:spacing w:after="0"/>
              <w:rPr>
                <w:sz w:val="20"/>
                <w:szCs w:val="20"/>
                <w:color w:val="auto"/>
              </w:rPr>
            </w:pPr>
            <w:r>
              <w:rPr>
                <w:rFonts w:ascii="Arial" w:cs="Arial" w:eastAsia="Arial" w:hAnsi="Arial"/>
                <w:sz w:val="8"/>
                <w:szCs w:val="8"/>
                <w:b w:val="1"/>
                <w:bCs w:val="1"/>
                <w:color w:val="auto"/>
              </w:rPr>
              <w:t>2024</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Third party sales</w:t>
            </w:r>
          </w:p>
        </w:tc>
        <w:tc>
          <w:tcPr>
            <w:tcW w:w="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295.8</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2.0</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36.4</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7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8"/>
                <w:szCs w:val="8"/>
                <w:color w:val="auto"/>
              </w:rPr>
              <w:t>334.2</w:t>
            </w:r>
          </w:p>
        </w:tc>
        <w:tc>
          <w:tcPr>
            <w:tcW w:w="660" w:type="dxa"/>
            <w:vAlign w:val="bottom"/>
            <w:tcBorders>
              <w:bottom w:val="single" w:sz="8" w:color="DBDBDB"/>
            </w:tcBorders>
            <w:shd w:val="clear" w:color="auto" w:fill="DBDBDB"/>
          </w:tcPr>
          <w:p>
            <w:pPr>
              <w:jc w:val="right"/>
              <w:ind w:right="43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224.6</w:t>
            </w:r>
          </w:p>
        </w:tc>
        <w:tc>
          <w:tcPr>
            <w:tcW w:w="1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1.6</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32.5</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258.7</w:t>
            </w:r>
          </w:p>
        </w:tc>
        <w:tc>
          <w:tcPr>
            <w:tcW w:w="0" w:type="dxa"/>
            <w:vAlign w:val="bottom"/>
          </w:tcPr>
          <w:p>
            <w:pPr>
              <w:spacing w:after="0"/>
              <w:rPr>
                <w:sz w:val="1"/>
                <w:szCs w:val="1"/>
                <w:color w:val="auto"/>
              </w:rPr>
            </w:pPr>
          </w:p>
        </w:tc>
      </w:tr>
      <w:tr>
        <w:trPr>
          <w:trHeight w:val="121"/>
        </w:trPr>
        <w:tc>
          <w:tcPr>
            <w:tcW w:w="1940" w:type="dxa"/>
            <w:vAlign w:val="bottom"/>
          </w:tcPr>
          <w:p>
            <w:pPr>
              <w:ind w:left="20"/>
              <w:spacing w:after="0"/>
              <w:rPr>
                <w:sz w:val="20"/>
                <w:szCs w:val="20"/>
                <w:color w:val="auto"/>
              </w:rPr>
            </w:pPr>
            <w:r>
              <w:rPr>
                <w:rFonts w:ascii="Arial" w:cs="Arial" w:eastAsia="Arial" w:hAnsi="Arial"/>
                <w:sz w:val="8"/>
                <w:szCs w:val="8"/>
                <w:color w:val="auto"/>
              </w:rPr>
              <w:t>Affiliated sales</w:t>
            </w:r>
          </w:p>
        </w:tc>
        <w:tc>
          <w:tcPr>
            <w:tcW w:w="400" w:type="dxa"/>
            <w:vAlign w:val="bottom"/>
          </w:tcPr>
          <w:p>
            <w:pPr>
              <w:spacing w:after="0"/>
              <w:rPr>
                <w:sz w:val="10"/>
                <w:szCs w:val="10"/>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78"/>
              <w:spacing w:after="0"/>
              <w:rPr>
                <w:sz w:val="20"/>
                <w:szCs w:val="20"/>
                <w:color w:val="auto"/>
              </w:rPr>
            </w:pPr>
            <w:r>
              <w:rPr>
                <w:rFonts w:ascii="Arial" w:cs="Arial" w:eastAsia="Arial" w:hAnsi="Arial"/>
                <w:sz w:val="8"/>
                <w:szCs w:val="8"/>
                <w:color w:val="auto"/>
              </w:rPr>
              <w:t>7.2</w:t>
            </w:r>
          </w:p>
        </w:tc>
        <w:tc>
          <w:tcPr>
            <w:tcW w:w="380" w:type="dxa"/>
            <w:vAlign w:val="bottom"/>
          </w:tcPr>
          <w:p>
            <w:pPr>
              <w:spacing w:after="0"/>
              <w:rPr>
                <w:sz w:val="10"/>
                <w:szCs w:val="10"/>
                <w:color w:val="auto"/>
              </w:rPr>
            </w:pPr>
          </w:p>
        </w:tc>
        <w:tc>
          <w:tcPr>
            <w:tcW w:w="7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740" w:type="dxa"/>
            <w:vAlign w:val="bottom"/>
          </w:tcPr>
          <w:p>
            <w:pPr>
              <w:jc w:val="right"/>
              <w:ind w:right="138"/>
              <w:spacing w:after="0"/>
              <w:rPr>
                <w:sz w:val="20"/>
                <w:szCs w:val="20"/>
                <w:color w:val="auto"/>
              </w:rPr>
            </w:pPr>
            <w:r>
              <w:rPr>
                <w:rFonts w:ascii="Arial" w:cs="Arial" w:eastAsia="Arial" w:hAnsi="Arial"/>
                <w:sz w:val="8"/>
                <w:szCs w:val="8"/>
                <w:color w:val="auto"/>
              </w:rPr>
              <w:t>7.2</w:t>
            </w:r>
          </w:p>
        </w:tc>
        <w:tc>
          <w:tcPr>
            <w:tcW w:w="66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58"/>
              <w:spacing w:after="0"/>
              <w:rPr>
                <w:sz w:val="20"/>
                <w:szCs w:val="20"/>
                <w:color w:val="auto"/>
              </w:rPr>
            </w:pPr>
            <w:r>
              <w:rPr>
                <w:rFonts w:ascii="Arial" w:cs="Arial" w:eastAsia="Arial" w:hAnsi="Arial"/>
                <w:sz w:val="8"/>
                <w:szCs w:val="8"/>
                <w:color w:val="auto"/>
              </w:rPr>
              <w:t>4.2</w:t>
            </w:r>
          </w:p>
        </w:tc>
        <w:tc>
          <w:tcPr>
            <w:tcW w:w="380" w:type="dxa"/>
            <w:vAlign w:val="bottom"/>
          </w:tcPr>
          <w:p>
            <w:pPr>
              <w:spacing w:after="0"/>
              <w:rPr>
                <w:sz w:val="10"/>
                <w:szCs w:val="1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Total segment sales</w:t>
            </w:r>
          </w:p>
        </w:tc>
        <w:tc>
          <w:tcPr>
            <w:tcW w:w="400" w:type="dxa"/>
            <w:vAlign w:val="bottom"/>
            <w:tcBorders>
              <w:bottom w:val="single" w:sz="8" w:color="DBDBDB"/>
            </w:tcBorders>
            <w:shd w:val="clear" w:color="auto" w:fill="DBDBDB"/>
          </w:tcPr>
          <w:p>
            <w:pPr>
              <w:spacing w:after="0"/>
              <w:rPr>
                <w:sz w:val="10"/>
                <w:szCs w:val="10"/>
                <w:color w:val="auto"/>
              </w:rPr>
            </w:pPr>
          </w:p>
        </w:tc>
        <w:tc>
          <w:tcPr>
            <w:tcW w:w="6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295.8</w:t>
            </w:r>
          </w:p>
        </w:tc>
        <w:tc>
          <w:tcPr>
            <w:tcW w:w="180" w:type="dxa"/>
            <w:vAlign w:val="bottom"/>
            <w:tcBorders>
              <w:bottom w:val="single" w:sz="8" w:color="DBDBDB"/>
            </w:tcBorders>
            <w:shd w:val="clear" w:color="auto" w:fill="DBDBDB"/>
          </w:tcPr>
          <w:p>
            <w:pPr>
              <w:spacing w:after="0"/>
              <w:rPr>
                <w:sz w:val="10"/>
                <w:szCs w:val="10"/>
                <w:color w:val="auto"/>
              </w:rPr>
            </w:pPr>
          </w:p>
        </w:tc>
        <w:tc>
          <w:tcPr>
            <w:tcW w:w="9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9.2</w:t>
            </w:r>
          </w:p>
        </w:tc>
        <w:tc>
          <w:tcPr>
            <w:tcW w:w="38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36.4</w:t>
            </w:r>
          </w:p>
        </w:tc>
        <w:tc>
          <w:tcPr>
            <w:tcW w:w="48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8"/>
                <w:szCs w:val="8"/>
                <w:color w:val="auto"/>
              </w:rPr>
              <w:t>341.4</w:t>
            </w:r>
          </w:p>
        </w:tc>
        <w:tc>
          <w:tcPr>
            <w:tcW w:w="660" w:type="dxa"/>
            <w:vAlign w:val="bottom"/>
            <w:tcBorders>
              <w:bottom w:val="single" w:sz="8" w:color="DBDBDB"/>
            </w:tcBorders>
            <w:shd w:val="clear" w:color="auto" w:fill="DBDBDB"/>
          </w:tcPr>
          <w:p>
            <w:pPr>
              <w:spacing w:after="0"/>
              <w:rPr>
                <w:sz w:val="10"/>
                <w:szCs w:val="10"/>
                <w:color w:val="auto"/>
              </w:rPr>
            </w:pPr>
          </w:p>
        </w:tc>
        <w:tc>
          <w:tcPr>
            <w:tcW w:w="5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224.6</w:t>
            </w:r>
          </w:p>
        </w:tc>
        <w:tc>
          <w:tcPr>
            <w:tcW w:w="180" w:type="dxa"/>
            <w:vAlign w:val="bottom"/>
            <w:tcBorders>
              <w:bottom w:val="single" w:sz="8" w:color="DBDBDB"/>
            </w:tcBorders>
            <w:shd w:val="clear" w:color="auto" w:fill="DBDBDB"/>
          </w:tcPr>
          <w:p>
            <w:pPr>
              <w:spacing w:after="0"/>
              <w:rPr>
                <w:sz w:val="10"/>
                <w:szCs w:val="10"/>
                <w:color w:val="auto"/>
              </w:rPr>
            </w:pPr>
          </w:p>
        </w:tc>
        <w:tc>
          <w:tcPr>
            <w:tcW w:w="9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5.8</w:t>
            </w:r>
          </w:p>
        </w:tc>
        <w:tc>
          <w:tcPr>
            <w:tcW w:w="380" w:type="dxa"/>
            <w:vAlign w:val="bottom"/>
            <w:tcBorders>
              <w:bottom w:val="single" w:sz="8" w:color="DBDBDB"/>
            </w:tcBorders>
            <w:shd w:val="clear" w:color="auto" w:fill="DBDBDB"/>
          </w:tcPr>
          <w:p>
            <w:pPr>
              <w:spacing w:after="0"/>
              <w:rPr>
                <w:sz w:val="10"/>
                <w:szCs w:val="10"/>
                <w:color w:val="auto"/>
              </w:rPr>
            </w:pPr>
          </w:p>
        </w:tc>
        <w:tc>
          <w:tcPr>
            <w:tcW w:w="80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32.5</w:t>
            </w:r>
          </w:p>
        </w:tc>
        <w:tc>
          <w:tcPr>
            <w:tcW w:w="480" w:type="dxa"/>
            <w:vAlign w:val="bottom"/>
            <w:tcBorders>
              <w:bottom w:val="single" w:sz="8" w:color="DBDBDB"/>
            </w:tcBorders>
            <w:shd w:val="clear" w:color="auto" w:fill="DBDBDB"/>
          </w:tcPr>
          <w:p>
            <w:pPr>
              <w:spacing w:after="0"/>
              <w:rPr>
                <w:sz w:val="10"/>
                <w:szCs w:val="10"/>
                <w:color w:val="auto"/>
              </w:rPr>
            </w:pPr>
          </w:p>
        </w:tc>
        <w:tc>
          <w:tcPr>
            <w:tcW w:w="6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262.9</w:t>
            </w:r>
          </w:p>
        </w:tc>
        <w:tc>
          <w:tcPr>
            <w:tcW w:w="0" w:type="dxa"/>
            <w:vAlign w:val="bottom"/>
          </w:tcPr>
          <w:p>
            <w:pPr>
              <w:spacing w:after="0"/>
              <w:rPr>
                <w:sz w:val="1"/>
                <w:szCs w:val="1"/>
                <w:color w:val="auto"/>
              </w:rPr>
            </w:pPr>
          </w:p>
        </w:tc>
      </w:tr>
      <w:tr>
        <w:trPr>
          <w:trHeight w:val="121"/>
        </w:trPr>
        <w:tc>
          <w:tcPr>
            <w:tcW w:w="1940" w:type="dxa"/>
            <w:vAlign w:val="bottom"/>
          </w:tcPr>
          <w:p>
            <w:pPr>
              <w:ind w:left="20"/>
              <w:spacing w:after="0"/>
              <w:rPr>
                <w:sz w:val="20"/>
                <w:szCs w:val="20"/>
                <w:color w:val="auto"/>
              </w:rPr>
            </w:pPr>
            <w:r>
              <w:rPr>
                <w:rFonts w:ascii="Arial" w:cs="Arial" w:eastAsia="Arial" w:hAnsi="Arial"/>
                <w:sz w:val="8"/>
                <w:szCs w:val="8"/>
                <w:color w:val="auto"/>
              </w:rPr>
              <w:t>Intercompany eliminations</w:t>
            </w:r>
          </w:p>
        </w:tc>
        <w:tc>
          <w:tcPr>
            <w:tcW w:w="400" w:type="dxa"/>
            <w:vAlign w:val="bottom"/>
          </w:tcPr>
          <w:p>
            <w:pPr>
              <w:spacing w:after="0"/>
              <w:rPr>
                <w:sz w:val="10"/>
                <w:szCs w:val="10"/>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color w:val="auto"/>
              </w:rPr>
              <w:t>(7.2)</w:t>
            </w:r>
          </w:p>
        </w:tc>
        <w:tc>
          <w:tcPr>
            <w:tcW w:w="380" w:type="dxa"/>
            <w:vAlign w:val="bottom"/>
          </w:tcPr>
          <w:p>
            <w:pPr>
              <w:spacing w:after="0"/>
              <w:rPr>
                <w:sz w:val="10"/>
                <w:szCs w:val="10"/>
                <w:color w:val="auto"/>
              </w:rPr>
            </w:pPr>
          </w:p>
        </w:tc>
        <w:tc>
          <w:tcPr>
            <w:tcW w:w="7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(7.2)</w:t>
            </w:r>
          </w:p>
        </w:tc>
        <w:tc>
          <w:tcPr>
            <w:tcW w:w="66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980" w:type="dxa"/>
            <w:vAlign w:val="bottom"/>
          </w:tcPr>
          <w:p>
            <w:pPr>
              <w:jc w:val="right"/>
              <w:ind w:right="38"/>
              <w:spacing w:after="0"/>
              <w:rPr>
                <w:sz w:val="20"/>
                <w:szCs w:val="20"/>
                <w:color w:val="auto"/>
              </w:rPr>
            </w:pPr>
            <w:r>
              <w:rPr>
                <w:rFonts w:ascii="Arial" w:cs="Arial" w:eastAsia="Arial" w:hAnsi="Arial"/>
                <w:sz w:val="8"/>
                <w:szCs w:val="8"/>
                <w:color w:val="auto"/>
              </w:rPr>
              <w:t>(4.2)</w:t>
            </w:r>
          </w:p>
        </w:tc>
        <w:tc>
          <w:tcPr>
            <w:tcW w:w="380" w:type="dxa"/>
            <w:vAlign w:val="bottom"/>
          </w:tcPr>
          <w:p>
            <w:pPr>
              <w:spacing w:after="0"/>
              <w:rPr>
                <w:sz w:val="10"/>
                <w:szCs w:val="1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Total net sales</w:t>
            </w:r>
          </w:p>
        </w:tc>
        <w:tc>
          <w:tcPr>
            <w:tcW w:w="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295.8</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2.0</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36.4</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7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8"/>
                <w:szCs w:val="8"/>
                <w:color w:val="auto"/>
              </w:rPr>
              <w:t>334.2</w:t>
            </w:r>
          </w:p>
        </w:tc>
        <w:tc>
          <w:tcPr>
            <w:tcW w:w="660" w:type="dxa"/>
            <w:vAlign w:val="bottom"/>
            <w:tcBorders>
              <w:bottom w:val="single" w:sz="8" w:color="DBDBDB"/>
            </w:tcBorders>
            <w:shd w:val="clear" w:color="auto" w:fill="DBDBDB"/>
          </w:tcPr>
          <w:p>
            <w:pPr>
              <w:jc w:val="right"/>
              <w:ind w:right="43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224.6</w:t>
            </w:r>
          </w:p>
        </w:tc>
        <w:tc>
          <w:tcPr>
            <w:tcW w:w="1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w:t>
            </w:r>
          </w:p>
        </w:tc>
        <w:tc>
          <w:tcPr>
            <w:tcW w:w="98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8"/>
                <w:szCs w:val="8"/>
                <w:color w:val="auto"/>
              </w:rPr>
              <w:t>1.6</w:t>
            </w:r>
          </w:p>
        </w:tc>
        <w:tc>
          <w:tcPr>
            <w:tcW w:w="380" w:type="dxa"/>
            <w:vAlign w:val="bottom"/>
            <w:tcBorders>
              <w:bottom w:val="single" w:sz="8" w:color="DBDBDB"/>
            </w:tcBorders>
            <w:shd w:val="clear" w:color="auto" w:fill="DBDBDB"/>
          </w:tcPr>
          <w:p>
            <w:pPr>
              <w:jc w:val="right"/>
              <w:ind w:right="198"/>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8"/>
                <w:szCs w:val="8"/>
                <w:color w:val="auto"/>
              </w:rPr>
              <w:t>32.5</w:t>
            </w:r>
          </w:p>
        </w:tc>
        <w:tc>
          <w:tcPr>
            <w:tcW w:w="48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8"/>
                <w:szCs w:val="8"/>
                <w:color w:val="auto"/>
              </w:rPr>
              <w:t>258.7</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00" w:type="dxa"/>
            <w:vAlign w:val="bottom"/>
            <w:gridSpan w:val="2"/>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1"/>
                <w:szCs w:val="11"/>
                <w:color w:val="auto"/>
              </w:rPr>
            </w:pPr>
          </w:p>
        </w:tc>
      </w:tr>
      <w:tr>
        <w:trPr>
          <w:trHeight w:val="156"/>
        </w:trPr>
        <w:tc>
          <w:tcPr>
            <w:tcW w:w="75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b w:val="1"/>
                <w:bCs w:val="1"/>
                <w:color w:val="auto"/>
              </w:rPr>
              <w:t>January 31,</w:t>
            </w:r>
          </w:p>
        </w:tc>
        <w:tc>
          <w:tcPr>
            <w:tcW w:w="760" w:type="dxa"/>
            <w:vAlign w:val="bottom"/>
            <w:tcBorders>
              <w:bottom w:val="single" w:sz="8" w:color="auto"/>
            </w:tcBorders>
          </w:tcPr>
          <w:p>
            <w:pPr>
              <w:spacing w:after="0"/>
              <w:rPr>
                <w:sz w:val="13"/>
                <w:szCs w:val="13"/>
                <w:color w:val="auto"/>
              </w:rPr>
            </w:pPr>
          </w:p>
        </w:tc>
      </w:tr>
      <w:tr>
        <w:trPr>
          <w:trHeight w:val="17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Marketing &amp; Distribution adjusted EBITDA</w:t>
            </w:r>
          </w:p>
        </w:tc>
        <w:tc>
          <w:tcPr>
            <w:tcW w:w="640" w:type="dxa"/>
            <w:vAlign w:val="bottom"/>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9.7</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11.0</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International Farming adjusted EBITDA</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1.8</w:t>
            </w:r>
          </w:p>
        </w:tc>
        <w:tc>
          <w:tcPr>
            <w:tcW w:w="9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80"/>
        </w:trPr>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Blueberries adjusted EBITDA</w:t>
            </w:r>
          </w:p>
        </w:tc>
        <w:tc>
          <w:tcPr>
            <w:tcW w:w="6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6.2</w:t>
            </w:r>
          </w:p>
        </w:tc>
        <w:tc>
          <w:tcPr>
            <w:tcW w:w="98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8.7</w:t>
            </w:r>
          </w:p>
        </w:tc>
      </w:tr>
      <w:tr>
        <w:trPr>
          <w:trHeight w:val="171"/>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reportable segment adjusted EBITDA</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17.7</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19.2</w:t>
            </w:r>
          </w:p>
        </w:tc>
      </w:tr>
      <w:tr>
        <w:trPr>
          <w:trHeight w:val="180"/>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6.2</w:t>
            </w:r>
          </w:p>
        </w:tc>
        <w:tc>
          <w:tcPr>
            <w:tcW w:w="9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2.0</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Interest expense</w:t>
            </w:r>
            <w:r>
              <w:rPr>
                <w:rFonts w:ascii="Arial" w:cs="Arial" w:eastAsia="Arial" w:hAnsi="Arial"/>
                <w:sz w:val="7"/>
                <w:szCs w:val="7"/>
                <w:color w:val="auto"/>
              </w:rPr>
              <w:t>(1)</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2.2</w:t>
            </w:r>
          </w:p>
        </w:tc>
        <w:tc>
          <w:tcPr>
            <w:tcW w:w="9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3.3</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Provision for income taxes</w:t>
            </w: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3.2</w:t>
            </w:r>
          </w:p>
        </w:tc>
        <w:tc>
          <w:tcPr>
            <w:tcW w:w="9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2.1</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7"/>
                <w:szCs w:val="7"/>
                <w:color w:val="auto"/>
              </w:rPr>
              <w:t>(2)</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8.7</w:t>
            </w:r>
          </w:p>
        </w:tc>
        <w:tc>
          <w:tcPr>
            <w:tcW w:w="9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12.9</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(0.8)</w:t>
            </w:r>
          </w:p>
        </w:tc>
        <w:tc>
          <w:tcPr>
            <w:tcW w:w="98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(0.4)</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2.0</w:t>
            </w:r>
          </w:p>
        </w:tc>
        <w:tc>
          <w:tcPr>
            <w:tcW w:w="9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Losses on asset impairment and disposals</w:t>
            </w: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0.1</w:t>
            </w:r>
          </w:p>
        </w:tc>
        <w:tc>
          <w:tcPr>
            <w:tcW w:w="9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0.2</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Farming costs for nonproductive orchards</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0.5</w:t>
            </w:r>
          </w:p>
        </w:tc>
        <w:tc>
          <w:tcPr>
            <w:tcW w:w="9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Recognition of deferred ERP costs</w:t>
            </w: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0.6</w:t>
            </w:r>
          </w:p>
        </w:tc>
        <w:tc>
          <w:tcPr>
            <w:tcW w:w="9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0.5</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Severance</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Legal settlement</w:t>
            </w: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0.2</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Transaction costs</w:t>
            </w:r>
          </w:p>
        </w:tc>
        <w:tc>
          <w:tcPr>
            <w:tcW w:w="64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0.1</w:t>
            </w:r>
          </w:p>
        </w:tc>
        <w:tc>
          <w:tcPr>
            <w:tcW w:w="9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Canada site closures</w:t>
            </w:r>
            <w:r>
              <w:rPr>
                <w:rFonts w:ascii="Arial" w:cs="Arial" w:eastAsia="Arial" w:hAnsi="Arial"/>
                <w:sz w:val="7"/>
                <w:szCs w:val="7"/>
                <w:color w:val="auto"/>
              </w:rPr>
              <w:t>(3)</w:t>
            </w:r>
          </w:p>
        </w:tc>
        <w:tc>
          <w:tcPr>
            <w:tcW w:w="640" w:type="dxa"/>
            <w:vAlign w:val="bottom"/>
            <w:shd w:val="clear" w:color="auto" w:fill="DBDBDB"/>
          </w:tcPr>
          <w:p>
            <w:pPr>
              <w:spacing w:after="0"/>
              <w:rPr>
                <w:sz w:val="16"/>
                <w:szCs w:val="16"/>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0.5</w:t>
            </w:r>
          </w:p>
        </w:tc>
        <w:tc>
          <w:tcPr>
            <w:tcW w:w="9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(1.5)</w:t>
            </w:r>
          </w:p>
        </w:tc>
        <w:tc>
          <w:tcPr>
            <w:tcW w:w="9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w:t>
            </w:r>
          </w:p>
        </w:tc>
      </w:tr>
      <w:tr>
        <w:trPr>
          <w:trHeight w:val="180"/>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Adjusted EBITDA before adjustment for noncontrolling interest</w:t>
            </w:r>
          </w:p>
        </w:tc>
        <w:tc>
          <w:tcPr>
            <w:tcW w:w="64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63"/>
              <w:spacing w:after="0"/>
              <w:rPr>
                <w:sz w:val="20"/>
                <w:szCs w:val="20"/>
                <w:color w:val="auto"/>
              </w:rPr>
            </w:pPr>
            <w:r>
              <w:rPr>
                <w:rFonts w:ascii="Arial" w:cs="Arial" w:eastAsia="Arial" w:hAnsi="Arial"/>
                <w:sz w:val="11"/>
                <w:szCs w:val="11"/>
                <w:color w:val="auto"/>
              </w:rPr>
              <w:t>21.8</w:t>
            </w:r>
          </w:p>
        </w:tc>
        <w:tc>
          <w:tcPr>
            <w:tcW w:w="9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25.0</w:t>
            </w:r>
          </w:p>
        </w:tc>
      </w:tr>
      <w:tr>
        <w:trPr>
          <w:trHeight w:val="172"/>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Noncontrolling interest</w:t>
            </w:r>
            <w:r>
              <w:rPr>
                <w:rFonts w:ascii="Arial" w:cs="Arial" w:eastAsia="Arial" w:hAnsi="Arial"/>
                <w:sz w:val="7"/>
                <w:szCs w:val="7"/>
                <w:color w:val="auto"/>
              </w:rPr>
              <w:t>(4)</w:t>
            </w: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(4.1)</w:t>
            </w:r>
          </w:p>
        </w:tc>
        <w:tc>
          <w:tcPr>
            <w:tcW w:w="9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r>
      <w:tr>
        <w:trPr>
          <w:trHeight w:val="171"/>
        </w:trPr>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adjusted EBITDA</w:t>
            </w:r>
          </w:p>
        </w:tc>
        <w:tc>
          <w:tcPr>
            <w:tcW w:w="64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17.7</w:t>
            </w:r>
          </w:p>
        </w:tc>
        <w:tc>
          <w:tcPr>
            <w:tcW w:w="980" w:type="dxa"/>
            <w:vAlign w:val="bottom"/>
            <w:tcBorders>
              <w:bottom w:val="single" w:sz="8" w:color="auto"/>
            </w:tcBorders>
            <w:shd w:val="clear" w:color="auto" w:fill="DBDBDB"/>
          </w:tcPr>
          <w:p>
            <w:pPr>
              <w:jc w:val="right"/>
              <w:ind w:right="7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19.2</w:t>
            </w:r>
          </w:p>
        </w:tc>
      </w:tr>
    </w:tbl>
    <w:p>
      <w:pPr>
        <w:spacing w:after="0" w:line="104" w:lineRule="exact"/>
        <w:rPr>
          <w:sz w:val="20"/>
          <w:szCs w:val="20"/>
          <w:color w:val="auto"/>
        </w:rPr>
      </w:pPr>
    </w:p>
    <w:p>
      <w:pPr>
        <w:ind w:left="180" w:hanging="175"/>
        <w:spacing w:after="0"/>
        <w:tabs>
          <w:tab w:leader="none" w:pos="1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interest expense from finance leases, the most significant of which is for land at our Blueberries segment of $0.5 million for both the three months ended January 31, 2025 and 2024.</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31" w:lineRule="exact"/>
        <w:rPr>
          <w:rFonts w:ascii="Arial" w:cs="Arial" w:eastAsia="Arial" w:hAnsi="Arial"/>
          <w:sz w:val="10"/>
          <w:szCs w:val="10"/>
          <w:color w:val="auto"/>
        </w:rPr>
      </w:pPr>
    </w:p>
    <w:p>
      <w:pPr>
        <w:ind w:left="5580"/>
        <w:spacing w:after="0"/>
        <w:rPr>
          <w:rFonts w:ascii="Arial" w:cs="Arial" w:eastAsia="Arial" w:hAnsi="Arial"/>
          <w:sz w:val="10"/>
          <w:szCs w:val="1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1" w:right="339" w:bottom="1440" w:gutter="0" w:footer="0" w:header="0"/>
        </w:sectPr>
      </w:pPr>
    </w:p>
    <w:bookmarkStart w:id="23" w:name="page24"/>
    <w:bookmarkEnd w:id="23"/>
    <w:p>
      <w:pPr>
        <w:ind w:left="200" w:right="40" w:hanging="195"/>
        <w:spacing w:after="0" w:line="261" w:lineRule="auto"/>
        <w:tabs>
          <w:tab w:leader="none" w:pos="194"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depreciation and amortization of purchase accounting assets of $0.3 million and $2.9 million for the three months ended January 31, 2025 and 2024, respectively, and $0.2 million of amortization of the Blueberries finance lease for both the three months ended January 31, 2025 and 2024. The three months ended January 31, 2025 also include $0.9 million of accelerated depreciation expense from fixed assets related to the closure of our Canada facilities during the respective quarter. The three months ended January 31, 2024 also include $4.1 million of accelerated depreciation expense, $2.0 million of which was from purchase accounting assets, for certain blueberry plants determined to have no remaining useful life during the respective quarter.</w:t>
      </w:r>
    </w:p>
    <w:p>
      <w:pPr>
        <w:spacing w:after="0" w:line="19" w:lineRule="exact"/>
        <w:rPr>
          <w:rFonts w:ascii="Arial" w:cs="Arial" w:eastAsia="Arial" w:hAnsi="Arial"/>
          <w:sz w:val="10"/>
          <w:szCs w:val="10"/>
          <w:color w:val="auto"/>
        </w:rPr>
      </w:pPr>
    </w:p>
    <w:p>
      <w:pPr>
        <w:ind w:left="180" w:hanging="175"/>
        <w:spacing w:after="0"/>
        <w:tabs>
          <w:tab w:leader="none" w:pos="1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accelerated amortization of operating lease right-of-use assets and severance costs incurred due to the closure of our Canada facilities during the first quarter of 2025, both recognized in cost of sales.</w:t>
      </w:r>
    </w:p>
    <w:p>
      <w:pPr>
        <w:spacing w:after="0" w:line="44" w:lineRule="exact"/>
        <w:rPr>
          <w:rFonts w:ascii="Arial" w:cs="Arial" w:eastAsia="Arial" w:hAnsi="Arial"/>
          <w:sz w:val="10"/>
          <w:szCs w:val="10"/>
          <w:color w:val="auto"/>
        </w:rPr>
      </w:pPr>
    </w:p>
    <w:p>
      <w:pPr>
        <w:ind w:left="180" w:hanging="175"/>
        <w:spacing w:after="0"/>
        <w:tabs>
          <w:tab w:leader="none" w:pos="1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Represents net income (loss) attributable to noncontrolling interest plus the impact of non-GAAP adjustments, allocable to the noncontrolling owner based on their percentage of ownership interest.</w:t>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Marketing &amp; Distribution</w:t>
      </w:r>
    </w:p>
    <w:p>
      <w:pPr>
        <w:spacing w:after="0" w:line="181" w:lineRule="exact"/>
        <w:rPr>
          <w:sz w:val="20"/>
          <w:szCs w:val="20"/>
          <w:color w:val="auto"/>
        </w:rPr>
      </w:pPr>
    </w:p>
    <w:p>
      <w:pPr>
        <w:ind w:right="20" w:firstLine="509"/>
        <w:spacing w:after="0" w:line="303" w:lineRule="auto"/>
        <w:rPr>
          <w:sz w:val="20"/>
          <w:szCs w:val="20"/>
          <w:color w:val="auto"/>
        </w:rPr>
      </w:pPr>
      <w:r>
        <w:rPr>
          <w:rFonts w:ascii="Arial" w:cs="Arial" w:eastAsia="Arial" w:hAnsi="Arial"/>
          <w:sz w:val="11"/>
          <w:szCs w:val="11"/>
          <w:color w:val="auto"/>
        </w:rPr>
        <w:t>Net sales in our Marketing &amp; Distribution segment increased $71.2 million or 32% in the three months ended January 31, 2025 compared to the same period last year, driven by avocado pricing and volume increases as described above.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Segment adjusted EBITDA decreased $1.3 million or 12% in the three months ended January 31, 2025 compared to the same period last year primarily due to the decrease in per-unit gross margin on avocados sold.</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International Farming</w:t>
      </w:r>
    </w:p>
    <w:p>
      <w:pPr>
        <w:spacing w:after="0" w:line="181" w:lineRule="exact"/>
        <w:rPr>
          <w:sz w:val="20"/>
          <w:szCs w:val="20"/>
          <w:color w:val="auto"/>
        </w:rPr>
      </w:pPr>
    </w:p>
    <w:p>
      <w:pPr>
        <w:ind w:right="80" w:firstLine="509"/>
        <w:spacing w:after="0" w:line="275" w:lineRule="auto"/>
        <w:rPr>
          <w:sz w:val="20"/>
          <w:szCs w:val="20"/>
          <w:color w:val="auto"/>
        </w:rPr>
      </w:pPr>
      <w:r>
        <w:rPr>
          <w:rFonts w:ascii="Arial" w:cs="Arial" w:eastAsia="Arial" w:hAnsi="Arial"/>
          <w:sz w:val="11"/>
          <w:szCs w:val="11"/>
          <w:color w:val="auto"/>
        </w:rPr>
        <w:t>The vast majority of fruit sales from our International Farming segment are made to the Marketing &amp;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 The timing of the mango harvest is generally concentrated in the fiscal second quarter.</w:t>
      </w:r>
    </w:p>
    <w:p>
      <w:pPr>
        <w:spacing w:after="0" w:line="131" w:lineRule="exact"/>
        <w:rPr>
          <w:sz w:val="20"/>
          <w:szCs w:val="20"/>
          <w:color w:val="auto"/>
        </w:rPr>
      </w:pPr>
    </w:p>
    <w:p>
      <w:pPr>
        <w:ind w:right="20" w:firstLine="509"/>
        <w:spacing w:after="0" w:line="303" w:lineRule="auto"/>
        <w:rPr>
          <w:sz w:val="20"/>
          <w:szCs w:val="20"/>
          <w:color w:val="auto"/>
        </w:rPr>
      </w:pPr>
      <w:r>
        <w:rPr>
          <w:rFonts w:ascii="Arial" w:cs="Arial" w:eastAsia="Arial" w:hAnsi="Arial"/>
          <w:sz w:val="11"/>
          <w:szCs w:val="11"/>
          <w:color w:val="auto"/>
        </w:rPr>
        <w:t>Total segment sales in our International Farming segment increased $3.4 million or 59% in the three months ended January 31, 2025, compared to the same period last year and segment adjusted EBITDA increased $2.3 million or 460% in the three months ended January 31, 2025, compared to the same period last year. The increases were primarily due to higher volume of blueberry packing service revenue.</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Blueberries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Sales in our Blueberries segment have been traditionally concentrated in the first and fourth quarters of our fiscal year in alignment with the Peruvian blueberry harvest season, which typically runs from July through</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February.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sales in our Blueberries segment increased $3.9 million or 12% in the three months ended January 31, 2025 compared to the same period last year, driven by blueberry volume and pricing dynamics as described</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above.</w:t>
      </w:r>
    </w:p>
    <w:p>
      <w:pPr>
        <w:spacing w:after="0" w:line="171" w:lineRule="exact"/>
        <w:rPr>
          <w:sz w:val="20"/>
          <w:szCs w:val="20"/>
          <w:color w:val="auto"/>
        </w:rPr>
      </w:pPr>
    </w:p>
    <w:p>
      <w:pPr>
        <w:ind w:right="80" w:firstLine="509"/>
        <w:spacing w:after="0" w:line="303" w:lineRule="auto"/>
        <w:rPr>
          <w:sz w:val="20"/>
          <w:szCs w:val="20"/>
          <w:color w:val="auto"/>
        </w:rPr>
      </w:pPr>
      <w:r>
        <w:rPr>
          <w:rFonts w:ascii="Arial" w:cs="Arial" w:eastAsia="Arial" w:hAnsi="Arial"/>
          <w:sz w:val="11"/>
          <w:szCs w:val="11"/>
          <w:color w:val="auto"/>
        </w:rPr>
        <w:t>Segment adjusted EBITDA decreased $2.5 million or 29% for the three months ended January 31, 2025 compared to the same period last year, driven by lower per-unit sales prices resulting from increased industry production in the current year.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184" w:lineRule="exact"/>
        <w:rPr>
          <w:sz w:val="20"/>
          <w:szCs w:val="20"/>
          <w:color w:val="auto"/>
        </w:rPr>
      </w:pPr>
    </w:p>
    <w:p>
      <w:pPr>
        <w:ind w:right="100" w:firstLine="509"/>
        <w:spacing w:after="0" w:line="268" w:lineRule="auto"/>
        <w:rPr>
          <w:sz w:val="20"/>
          <w:szCs w:val="20"/>
          <w:color w:val="auto"/>
        </w:rPr>
      </w:pPr>
      <w:r>
        <w:rPr>
          <w:rFonts w:ascii="Arial" w:cs="Arial" w:eastAsia="Arial" w:hAnsi="Arial"/>
          <w:sz w:val="11"/>
          <w:szCs w:val="11"/>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8"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38"/>
        </w:trPr>
        <w:tc>
          <w:tcPr>
            <w:tcW w:w="7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40" w:type="dxa"/>
            <w:vAlign w:val="bottom"/>
            <w:gridSpan w:val="2"/>
          </w:tcPr>
          <w:p>
            <w:pPr>
              <w:jc w:val="right"/>
              <w:ind w:right="383"/>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1"/>
                <w:szCs w:val="11"/>
                <w:color w:val="auto"/>
              </w:rPr>
            </w:pPr>
          </w:p>
        </w:tc>
      </w:tr>
      <w:tr>
        <w:trPr>
          <w:trHeight w:val="160"/>
        </w:trPr>
        <w:tc>
          <w:tcPr>
            <w:tcW w:w="76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1"/>
                <w:szCs w:val="11"/>
                <w:b w:val="1"/>
                <w:bCs w:val="1"/>
                <w:color w:val="auto"/>
              </w:rPr>
              <w:t>January 31,</w:t>
            </w:r>
          </w:p>
        </w:tc>
        <w:tc>
          <w:tcPr>
            <w:tcW w:w="800" w:type="dxa"/>
            <w:vAlign w:val="bottom"/>
            <w:tcBorders>
              <w:bottom w:val="single" w:sz="8" w:color="auto"/>
            </w:tcBorders>
          </w:tcPr>
          <w:p>
            <w:pPr>
              <w:spacing w:after="0"/>
              <w:rPr>
                <w:sz w:val="13"/>
                <w:szCs w:val="13"/>
                <w:color w:val="auto"/>
              </w:rPr>
            </w:pPr>
          </w:p>
        </w:tc>
      </w:tr>
      <w:tr>
        <w:trPr>
          <w:trHeight w:val="17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4"/>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6.2</w:t>
            </w:r>
          </w:p>
        </w:tc>
        <w:tc>
          <w:tcPr>
            <w:tcW w:w="1000" w:type="dxa"/>
            <w:vAlign w:val="bottom"/>
            <w:shd w:val="clear" w:color="auto" w:fill="DBDBDB"/>
          </w:tcPr>
          <w:p>
            <w:pPr>
              <w:jc w:val="right"/>
              <w:ind w:right="743"/>
              <w:spacing w:after="0"/>
              <w:rPr>
                <w:sz w:val="20"/>
                <w:szCs w:val="20"/>
                <w:color w:val="auto"/>
              </w:rPr>
            </w:pPr>
            <w:r>
              <w:rPr>
                <w:rFonts w:ascii="Arial" w:cs="Arial" w:eastAsia="Arial" w:hAnsi="Arial"/>
                <w:sz w:val="11"/>
                <w:szCs w:val="1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w:t>
            </w:r>
          </w:p>
        </w:tc>
      </w:tr>
      <w:tr>
        <w:trPr>
          <w:trHeight w:val="172"/>
        </w:trPr>
        <w:tc>
          <w:tcPr>
            <w:tcW w:w="7680" w:type="dxa"/>
            <w:vAlign w:val="bottom"/>
          </w:tcPr>
          <w:p>
            <w:pPr>
              <w:ind w:left="280"/>
              <w:spacing w:after="0"/>
              <w:rPr>
                <w:sz w:val="20"/>
                <w:szCs w:val="20"/>
                <w:color w:val="auto"/>
              </w:rPr>
            </w:pPr>
            <w:r>
              <w:rPr>
                <w:rFonts w:ascii="Arial" w:cs="Arial" w:eastAsia="Arial" w:hAnsi="Arial"/>
                <w:sz w:val="11"/>
                <w:szCs w:val="11"/>
                <w:color w:val="auto"/>
              </w:rPr>
              <w:t>Depreciation and amortization</w:t>
            </w:r>
          </w:p>
        </w:tc>
        <w:tc>
          <w:tcPr>
            <w:tcW w:w="660" w:type="dxa"/>
            <w:vAlign w:val="bottom"/>
          </w:tcPr>
          <w:p>
            <w:pPr>
              <w:spacing w:after="0"/>
              <w:rPr>
                <w:sz w:val="14"/>
                <w:szCs w:val="14"/>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8.7</w:t>
            </w: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12.9</w:t>
            </w:r>
          </w:p>
        </w:tc>
      </w:tr>
      <w:tr>
        <w:trPr>
          <w:trHeight w:val="189"/>
        </w:trPr>
        <w:tc>
          <w:tcPr>
            <w:tcW w:w="7680" w:type="dxa"/>
            <w:vAlign w:val="bottom"/>
            <w:shd w:val="clear" w:color="auto" w:fill="DBDBDB"/>
          </w:tcPr>
          <w:p>
            <w:pPr>
              <w:ind w:left="280"/>
              <w:spacing w:after="0"/>
              <w:rPr>
                <w:sz w:val="20"/>
                <w:szCs w:val="20"/>
                <w:color w:val="auto"/>
              </w:rPr>
            </w:pPr>
            <w:r>
              <w:rPr>
                <w:rFonts w:ascii="Arial" w:cs="Arial" w:eastAsia="Arial" w:hAnsi="Arial"/>
                <w:sz w:val="11"/>
                <w:szCs w:val="11"/>
                <w:color w:val="auto"/>
              </w:rPr>
              <w:t>Equity method income</w:t>
            </w:r>
          </w:p>
        </w:tc>
        <w:tc>
          <w:tcPr>
            <w:tcW w:w="66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(0.8)</w:t>
            </w:r>
          </w:p>
        </w:tc>
        <w:tc>
          <w:tcPr>
            <w:tcW w:w="10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(0.4)</w:t>
            </w:r>
          </w:p>
        </w:tc>
      </w:tr>
      <w:tr>
        <w:trPr>
          <w:trHeight w:val="172"/>
        </w:trPr>
        <w:tc>
          <w:tcPr>
            <w:tcW w:w="7680" w:type="dxa"/>
            <w:vAlign w:val="bottom"/>
          </w:tcPr>
          <w:p>
            <w:pPr>
              <w:ind w:left="280"/>
              <w:spacing w:after="0"/>
              <w:rPr>
                <w:sz w:val="20"/>
                <w:szCs w:val="20"/>
                <w:color w:val="auto"/>
              </w:rPr>
            </w:pPr>
            <w:r>
              <w:rPr>
                <w:rFonts w:ascii="Arial" w:cs="Arial" w:eastAsia="Arial" w:hAnsi="Arial"/>
                <w:sz w:val="11"/>
                <w:szCs w:val="11"/>
                <w:color w:val="auto"/>
              </w:rPr>
              <w:t>Noncash lease expense</w:t>
            </w:r>
          </w:p>
        </w:tc>
        <w:tc>
          <w:tcPr>
            <w:tcW w:w="660" w:type="dxa"/>
            <w:vAlign w:val="bottom"/>
          </w:tcPr>
          <w:p>
            <w:pPr>
              <w:spacing w:after="0"/>
              <w:rPr>
                <w:sz w:val="14"/>
                <w:szCs w:val="14"/>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1.8</w:t>
            </w: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89"/>
        </w:trPr>
        <w:tc>
          <w:tcPr>
            <w:tcW w:w="7680" w:type="dxa"/>
            <w:vAlign w:val="bottom"/>
            <w:shd w:val="clear" w:color="auto" w:fill="DBDBDB"/>
          </w:tcPr>
          <w:p>
            <w:pPr>
              <w:ind w:left="280"/>
              <w:spacing w:after="0"/>
              <w:rPr>
                <w:sz w:val="20"/>
                <w:szCs w:val="20"/>
                <w:color w:val="auto"/>
              </w:rPr>
            </w:pPr>
            <w:r>
              <w:rPr>
                <w:rFonts w:ascii="Arial" w:cs="Arial" w:eastAsia="Arial" w:hAnsi="Arial"/>
                <w:sz w:val="11"/>
                <w:szCs w:val="11"/>
                <w:color w:val="auto"/>
              </w:rPr>
              <w:t>Stock-based compensation</w:t>
            </w:r>
          </w:p>
        </w:tc>
        <w:tc>
          <w:tcPr>
            <w:tcW w:w="66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2.0</w:t>
            </w:r>
          </w:p>
        </w:tc>
        <w:tc>
          <w:tcPr>
            <w:tcW w:w="10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w:t>
            </w:r>
          </w:p>
        </w:tc>
      </w:tr>
      <w:tr>
        <w:trPr>
          <w:trHeight w:val="172"/>
        </w:trPr>
        <w:tc>
          <w:tcPr>
            <w:tcW w:w="7680" w:type="dxa"/>
            <w:vAlign w:val="bottom"/>
          </w:tcPr>
          <w:p>
            <w:pPr>
              <w:ind w:left="280"/>
              <w:spacing w:after="0"/>
              <w:rPr>
                <w:sz w:val="20"/>
                <w:szCs w:val="20"/>
                <w:color w:val="auto"/>
              </w:rPr>
            </w:pPr>
            <w:r>
              <w:rPr>
                <w:rFonts w:ascii="Arial" w:cs="Arial" w:eastAsia="Arial" w:hAnsi="Arial"/>
                <w:sz w:val="11"/>
                <w:szCs w:val="11"/>
                <w:color w:val="auto"/>
              </w:rPr>
              <w:t>Dividends received from equity method investees</w:t>
            </w:r>
          </w:p>
        </w:tc>
        <w:tc>
          <w:tcPr>
            <w:tcW w:w="660" w:type="dxa"/>
            <w:vAlign w:val="bottom"/>
          </w:tcPr>
          <w:p>
            <w:pPr>
              <w:spacing w:after="0"/>
              <w:rPr>
                <w:sz w:val="14"/>
                <w:szCs w:val="14"/>
                <w:color w:val="auto"/>
              </w:rPr>
            </w:pP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89"/>
        </w:trPr>
        <w:tc>
          <w:tcPr>
            <w:tcW w:w="7680" w:type="dxa"/>
            <w:vAlign w:val="bottom"/>
            <w:shd w:val="clear" w:color="auto" w:fill="DBDBDB"/>
          </w:tcPr>
          <w:p>
            <w:pPr>
              <w:ind w:left="280"/>
              <w:spacing w:after="0"/>
              <w:rPr>
                <w:sz w:val="20"/>
                <w:szCs w:val="20"/>
                <w:color w:val="auto"/>
              </w:rPr>
            </w:pPr>
            <w:r>
              <w:rPr>
                <w:rFonts w:ascii="Arial" w:cs="Arial" w:eastAsia="Arial" w:hAnsi="Arial"/>
                <w:sz w:val="11"/>
                <w:szCs w:val="11"/>
                <w:color w:val="auto"/>
              </w:rPr>
              <w:t>Deferred income taxes</w:t>
            </w:r>
          </w:p>
        </w:tc>
        <w:tc>
          <w:tcPr>
            <w:tcW w:w="66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10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(0.8)</w:t>
            </w:r>
          </w:p>
        </w:tc>
      </w:tr>
      <w:tr>
        <w:trPr>
          <w:trHeight w:val="172"/>
        </w:trPr>
        <w:tc>
          <w:tcPr>
            <w:tcW w:w="7680" w:type="dxa"/>
            <w:vAlign w:val="bottom"/>
          </w:tcPr>
          <w:p>
            <w:pPr>
              <w:ind w:left="280"/>
              <w:spacing w:after="0"/>
              <w:rPr>
                <w:sz w:val="20"/>
                <w:szCs w:val="20"/>
                <w:color w:val="auto"/>
              </w:rPr>
            </w:pPr>
            <w:r>
              <w:rPr>
                <w:rFonts w:ascii="Arial" w:cs="Arial" w:eastAsia="Arial" w:hAnsi="Arial"/>
                <w:sz w:val="11"/>
                <w:szCs w:val="11"/>
                <w:color w:val="auto"/>
              </w:rPr>
              <w:t>Other</w:t>
            </w:r>
          </w:p>
        </w:tc>
        <w:tc>
          <w:tcPr>
            <w:tcW w:w="660" w:type="dxa"/>
            <w:vAlign w:val="bottom"/>
          </w:tcPr>
          <w:p>
            <w:pPr>
              <w:spacing w:after="0"/>
              <w:rPr>
                <w:sz w:val="14"/>
                <w:szCs w:val="14"/>
                <w:color w:val="auto"/>
              </w:rPr>
            </w:pPr>
          </w:p>
        </w:tc>
        <w:tc>
          <w:tcPr>
            <w:tcW w:w="1140" w:type="dxa"/>
            <w:vAlign w:val="bottom"/>
          </w:tcPr>
          <w:p>
            <w:pPr>
              <w:jc w:val="right"/>
              <w:ind w:right="83"/>
              <w:spacing w:after="0"/>
              <w:rPr>
                <w:sz w:val="20"/>
                <w:szCs w:val="20"/>
                <w:color w:val="auto"/>
              </w:rPr>
            </w:pPr>
            <w:r>
              <w:rPr>
                <w:rFonts w:ascii="Arial" w:cs="Arial" w:eastAsia="Arial" w:hAnsi="Arial"/>
                <w:sz w:val="11"/>
                <w:szCs w:val="11"/>
                <w:color w:val="auto"/>
              </w:rPr>
              <w:t>(0.5)</w:t>
            </w: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80"/>
        </w:trPr>
        <w:tc>
          <w:tcPr>
            <w:tcW w:w="7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Changes in working capital</w:t>
            </w:r>
          </w:p>
        </w:tc>
        <w:tc>
          <w:tcPr>
            <w:tcW w:w="66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(18.6)</w:t>
            </w:r>
          </w:p>
        </w:tc>
        <w:tc>
          <w:tcPr>
            <w:tcW w:w="100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(11.5)</w:t>
            </w:r>
          </w:p>
        </w:tc>
      </w:tr>
      <w:tr>
        <w:trPr>
          <w:trHeight w:val="17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cash (used in) provided by operating activities</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w:t>
            </w:r>
          </w:p>
        </w:tc>
        <w:tc>
          <w:tcPr>
            <w:tcW w:w="1000" w:type="dxa"/>
            <w:vAlign w:val="bottom"/>
            <w:tcBorders>
              <w:bottom w:val="single" w:sz="8" w:color="auto"/>
            </w:tcBorders>
          </w:tcPr>
          <w:p>
            <w:pPr>
              <w:jc w:val="right"/>
              <w:ind w:right="74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w:t>
            </w:r>
          </w:p>
        </w:tc>
      </w:tr>
    </w:tbl>
    <w:p>
      <w:pPr>
        <w:spacing w:after="0" w:line="238" w:lineRule="exact"/>
        <w:rPr>
          <w:sz w:val="20"/>
          <w:szCs w:val="20"/>
          <w:color w:val="auto"/>
        </w:rPr>
      </w:pPr>
    </w:p>
    <w:p>
      <w:pPr>
        <w:ind w:right="60" w:firstLine="509"/>
        <w:spacing w:after="0" w:line="272" w:lineRule="auto"/>
        <w:rPr>
          <w:sz w:val="20"/>
          <w:szCs w:val="20"/>
          <w:color w:val="auto"/>
        </w:rPr>
      </w:pPr>
      <w:r>
        <w:rPr>
          <w:rFonts w:ascii="Arial" w:cs="Arial" w:eastAsia="Arial" w:hAnsi="Arial"/>
          <w:sz w:val="11"/>
          <w:szCs w:val="11"/>
          <w:color w:val="auto"/>
        </w:rPr>
        <w:t>Net cash used in operating activities was $1.2 million for the three months ended January 31, 2025, compared to cash provided of $9.5 million in the same period last year, driven largely by growth in working capital. In the current year, working capital was driven by higher inventory and receivable balances in our Marketing &amp; Distribution segment that correlated with high avocado unit prices, while increased productive acreage has increased growing crop inventory in our International Farming and Blueberries segments.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4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1"/>
                <w:szCs w:val="11"/>
                <w:color w:val="auto"/>
              </w:rPr>
            </w:pPr>
          </w:p>
        </w:tc>
      </w:tr>
      <w:tr>
        <w:trPr>
          <w:trHeight w:val="160"/>
        </w:trPr>
        <w:tc>
          <w:tcPr>
            <w:tcW w:w="76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1"/>
                <w:szCs w:val="11"/>
                <w:b w:val="1"/>
                <w:bCs w:val="1"/>
                <w:color w:val="auto"/>
              </w:rPr>
              <w:t>January 31,</w:t>
            </w:r>
          </w:p>
        </w:tc>
        <w:tc>
          <w:tcPr>
            <w:tcW w:w="800" w:type="dxa"/>
            <w:vAlign w:val="bottom"/>
            <w:tcBorders>
              <w:bottom w:val="single" w:sz="8" w:color="auto"/>
            </w:tcBorders>
          </w:tcPr>
          <w:p>
            <w:pPr>
              <w:spacing w:after="0"/>
              <w:rPr>
                <w:sz w:val="13"/>
                <w:szCs w:val="13"/>
                <w:color w:val="auto"/>
              </w:rPr>
            </w:pPr>
          </w:p>
        </w:tc>
      </w:tr>
      <w:tr>
        <w:trPr>
          <w:trHeight w:val="17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4"/>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Purchases of property, plant and equipment</w:t>
            </w:r>
          </w:p>
        </w:tc>
        <w:tc>
          <w:tcPr>
            <w:tcW w:w="66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(14.8)</w:t>
            </w:r>
          </w:p>
        </w:tc>
        <w:tc>
          <w:tcPr>
            <w:tcW w:w="1000" w:type="dxa"/>
            <w:vAlign w:val="bottom"/>
            <w:shd w:val="clear" w:color="auto" w:fill="DBDBDB"/>
          </w:tcPr>
          <w:p>
            <w:pPr>
              <w:jc w:val="right"/>
              <w:ind w:right="743"/>
              <w:spacing w:after="0"/>
              <w:rPr>
                <w:sz w:val="20"/>
                <w:szCs w:val="20"/>
                <w:color w:val="auto"/>
              </w:rPr>
            </w:pPr>
            <w:r>
              <w:rPr>
                <w:rFonts w:ascii="Arial" w:cs="Arial" w:eastAsia="Arial" w:hAnsi="Arial"/>
                <w:sz w:val="11"/>
                <w:szCs w:val="1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w:t>
            </w:r>
          </w:p>
        </w:tc>
      </w:tr>
      <w:tr>
        <w:trPr>
          <w:trHeight w:val="17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(0.1)</w:t>
            </w:r>
          </w:p>
        </w:tc>
        <w:tc>
          <w:tcPr>
            <w:tcW w:w="10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7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Net cash used in investing activities</w:t>
            </w:r>
          </w:p>
        </w:tc>
        <w:tc>
          <w:tcPr>
            <w:tcW w:w="660" w:type="dxa"/>
            <w:vAlign w:val="bottom"/>
            <w:tcBorders>
              <w:bottom w:val="single" w:sz="8" w:color="auto"/>
            </w:tcBorders>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(14.9)</w:t>
            </w:r>
          </w:p>
        </w:tc>
        <w:tc>
          <w:tcPr>
            <w:tcW w:w="1000" w:type="dxa"/>
            <w:vAlign w:val="bottom"/>
            <w:tcBorders>
              <w:bottom w:val="single" w:sz="8" w:color="auto"/>
            </w:tcBorders>
            <w:shd w:val="clear" w:color="auto" w:fill="DBDBDB"/>
          </w:tcPr>
          <w:p>
            <w:pPr>
              <w:jc w:val="right"/>
              <w:ind w:right="74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(9.9)</w:t>
            </w:r>
          </w:p>
        </w:tc>
      </w:tr>
      <w:tr>
        <w:trPr>
          <w:trHeight w:val="385"/>
        </w:trPr>
        <w:tc>
          <w:tcPr>
            <w:tcW w:w="7680" w:type="dxa"/>
            <w:vAlign w:val="bottom"/>
          </w:tcPr>
          <w:p>
            <w:pPr>
              <w:spacing w:after="0"/>
              <w:rPr>
                <w:sz w:val="20"/>
                <w:szCs w:val="20"/>
                <w:color w:val="auto"/>
              </w:rPr>
            </w:pPr>
            <w:r>
              <w:rPr>
                <w:rFonts w:ascii="Arial" w:cs="Arial" w:eastAsia="Arial" w:hAnsi="Arial"/>
                <w:sz w:val="11"/>
                <w:szCs w:val="11"/>
                <w:i w:val="1"/>
                <w:iCs w:val="1"/>
                <w:color w:val="auto"/>
              </w:rPr>
              <w:t>Property, plant and equipment</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1"/>
        </w:trPr>
        <w:tc>
          <w:tcPr>
            <w:tcW w:w="7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24"/>
                <w:szCs w:val="24"/>
                <w:color w:val="auto"/>
              </w:rPr>
            </w:pPr>
          </w:p>
        </w:tc>
      </w:tr>
      <w:tr>
        <w:trPr>
          <w:trHeight w:val="160"/>
        </w:trPr>
        <w:tc>
          <w:tcPr>
            <w:tcW w:w="76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1"/>
                <w:szCs w:val="11"/>
                <w:b w:val="1"/>
                <w:bCs w:val="1"/>
                <w:color w:val="auto"/>
              </w:rPr>
              <w:t>January 31,</w:t>
            </w:r>
          </w:p>
        </w:tc>
        <w:tc>
          <w:tcPr>
            <w:tcW w:w="800" w:type="dxa"/>
            <w:vAlign w:val="bottom"/>
            <w:tcBorders>
              <w:bottom w:val="single" w:sz="8" w:color="auto"/>
            </w:tcBorders>
          </w:tcPr>
          <w:p>
            <w:pPr>
              <w:spacing w:after="0"/>
              <w:rPr>
                <w:sz w:val="13"/>
                <w:szCs w:val="13"/>
                <w:color w:val="auto"/>
              </w:rPr>
            </w:pPr>
          </w:p>
        </w:tc>
      </w:tr>
      <w:tr>
        <w:trPr>
          <w:trHeight w:val="17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10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4"/>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Purchases of property, plant and equipment by segment:</w:t>
            </w:r>
          </w:p>
        </w:tc>
        <w:tc>
          <w:tcPr>
            <w:tcW w:w="6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172"/>
        </w:trPr>
        <w:tc>
          <w:tcPr>
            <w:tcW w:w="7680" w:type="dxa"/>
            <w:vAlign w:val="bottom"/>
          </w:tcPr>
          <w:p>
            <w:pPr>
              <w:ind w:left="180"/>
              <w:spacing w:after="0"/>
              <w:rPr>
                <w:sz w:val="20"/>
                <w:szCs w:val="20"/>
                <w:color w:val="auto"/>
              </w:rPr>
            </w:pPr>
            <w:r>
              <w:rPr>
                <w:rFonts w:ascii="Arial" w:cs="Arial" w:eastAsia="Arial" w:hAnsi="Arial"/>
                <w:sz w:val="11"/>
                <w:szCs w:val="11"/>
                <w:color w:val="auto"/>
              </w:rPr>
              <w:t>Marketing &amp; Distribution</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123"/>
              <w:spacing w:after="0"/>
              <w:rPr>
                <w:sz w:val="20"/>
                <w:szCs w:val="20"/>
                <w:color w:val="auto"/>
              </w:rPr>
            </w:pPr>
            <w:r>
              <w:rPr>
                <w:rFonts w:ascii="Arial" w:cs="Arial" w:eastAsia="Arial" w:hAnsi="Arial"/>
                <w:sz w:val="11"/>
                <w:szCs w:val="11"/>
                <w:color w:val="auto"/>
              </w:rPr>
              <w:t>0.9</w:t>
            </w:r>
          </w:p>
        </w:tc>
        <w:tc>
          <w:tcPr>
            <w:tcW w:w="1000" w:type="dxa"/>
            <w:vAlign w:val="bottom"/>
          </w:tcPr>
          <w:p>
            <w:pPr>
              <w:jc w:val="right"/>
              <w:ind w:right="743"/>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89"/>
        </w:trPr>
        <w:tc>
          <w:tcPr>
            <w:tcW w:w="7680" w:type="dxa"/>
            <w:vAlign w:val="bottom"/>
            <w:shd w:val="clear" w:color="auto" w:fill="DBDBDB"/>
          </w:tcPr>
          <w:p>
            <w:pPr>
              <w:ind w:left="180"/>
              <w:spacing w:after="0"/>
              <w:rPr>
                <w:sz w:val="20"/>
                <w:szCs w:val="20"/>
                <w:color w:val="auto"/>
              </w:rPr>
            </w:pPr>
            <w:r>
              <w:rPr>
                <w:rFonts w:ascii="Arial" w:cs="Arial" w:eastAsia="Arial" w:hAnsi="Arial"/>
                <w:sz w:val="11"/>
                <w:szCs w:val="11"/>
                <w:color w:val="auto"/>
              </w:rPr>
              <w:t>International Farming</w:t>
            </w:r>
          </w:p>
        </w:tc>
        <w:tc>
          <w:tcPr>
            <w:tcW w:w="66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7.9</w:t>
            </w:r>
          </w:p>
        </w:tc>
        <w:tc>
          <w:tcPr>
            <w:tcW w:w="10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w:t>
            </w:r>
          </w:p>
        </w:tc>
      </w:tr>
      <w:tr>
        <w:trPr>
          <w:trHeight w:val="172"/>
        </w:trPr>
        <w:tc>
          <w:tcPr>
            <w:tcW w:w="768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Blueberries</w:t>
            </w: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6.0</w:t>
            </w:r>
          </w:p>
        </w:tc>
        <w:tc>
          <w:tcPr>
            <w:tcW w:w="10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r>
      <w:tr>
        <w:trPr>
          <w:trHeight w:val="171"/>
        </w:trPr>
        <w:tc>
          <w:tcPr>
            <w:tcW w:w="7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purchases of property, plant and equipment</w:t>
            </w:r>
          </w:p>
        </w:tc>
        <w:tc>
          <w:tcPr>
            <w:tcW w:w="660" w:type="dxa"/>
            <w:vAlign w:val="bottom"/>
            <w:tcBorders>
              <w:bottom w:val="single" w:sz="8" w:color="auto"/>
            </w:tcBorders>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14.8</w:t>
            </w:r>
          </w:p>
        </w:tc>
        <w:tc>
          <w:tcPr>
            <w:tcW w:w="1000" w:type="dxa"/>
            <w:vAlign w:val="bottom"/>
            <w:tcBorders>
              <w:bottom w:val="single" w:sz="8" w:color="auto"/>
            </w:tcBorders>
            <w:shd w:val="clear" w:color="auto" w:fill="DBDBDB"/>
          </w:tcPr>
          <w:p>
            <w:pPr>
              <w:jc w:val="right"/>
              <w:ind w:right="74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9.9</w:t>
            </w:r>
          </w:p>
        </w:tc>
      </w:tr>
    </w:tbl>
    <w:p>
      <w:pPr>
        <w:spacing w:after="0" w:line="238" w:lineRule="exact"/>
        <w:rPr>
          <w:sz w:val="20"/>
          <w:szCs w:val="20"/>
          <w:color w:val="auto"/>
        </w:rPr>
      </w:pPr>
    </w:p>
    <w:p>
      <w:pPr>
        <w:ind w:right="40" w:firstLine="509"/>
        <w:spacing w:after="0" w:line="272" w:lineRule="auto"/>
        <w:rPr>
          <w:sz w:val="20"/>
          <w:szCs w:val="20"/>
          <w:color w:val="auto"/>
        </w:rPr>
      </w:pPr>
      <w:r>
        <w:rPr>
          <w:rFonts w:ascii="Arial" w:cs="Arial" w:eastAsia="Arial" w:hAnsi="Arial"/>
          <w:sz w:val="11"/>
          <w:szCs w:val="11"/>
          <w:color w:val="auto"/>
        </w:rPr>
        <w:t>In the three months ended January 31, 2025 and 2024, capital expenditures were comprised primarily of avocado orchard development, pre-production orchard maintenance and land improvements, packhouse construction in Guatemala and pre-production land development and blueberry plant cultivation in Peru. The three months ended January 31, 2024 also included distribution facility construction costs in the UK in our Marketing &amp; Distribution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auto"/>
        </w:rPr>
        <w:t>Financing activities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2"/>
          </w:tcPr>
          <w:p>
            <w:pPr>
              <w:jc w:val="right"/>
              <w:ind w:right="403"/>
              <w:spacing w:after="0"/>
              <w:rPr>
                <w:sz w:val="20"/>
                <w:szCs w:val="20"/>
                <w:color w:val="auto"/>
              </w:rPr>
            </w:pPr>
            <w:r>
              <w:rPr>
                <w:rFonts w:ascii="Arial" w:cs="Arial" w:eastAsia="Arial" w:hAnsi="Arial"/>
                <w:sz w:val="11"/>
                <w:szCs w:val="11"/>
                <w:b w:val="1"/>
                <w:bCs w:val="1"/>
                <w:color w:val="auto"/>
              </w:rPr>
              <w:t>Three Months Ended</w:t>
            </w:r>
          </w:p>
        </w:tc>
        <w:tc>
          <w:tcPr>
            <w:tcW w:w="820" w:type="dxa"/>
            <w:vAlign w:val="bottom"/>
          </w:tcPr>
          <w:p>
            <w:pPr>
              <w:spacing w:after="0"/>
              <w:rPr>
                <w:sz w:val="11"/>
                <w:szCs w:val="11"/>
                <w:color w:val="auto"/>
              </w:rPr>
            </w:pPr>
          </w:p>
        </w:tc>
      </w:tr>
      <w:tr>
        <w:trPr>
          <w:trHeight w:val="160"/>
        </w:trPr>
        <w:tc>
          <w:tcPr>
            <w:tcW w:w="75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jc w:val="right"/>
              <w:ind w:right="663"/>
              <w:spacing w:after="0"/>
              <w:rPr>
                <w:sz w:val="20"/>
                <w:szCs w:val="20"/>
                <w:color w:val="auto"/>
              </w:rPr>
            </w:pPr>
            <w:r>
              <w:rPr>
                <w:rFonts w:ascii="Arial" w:cs="Arial" w:eastAsia="Arial" w:hAnsi="Arial"/>
                <w:sz w:val="11"/>
                <w:szCs w:val="11"/>
                <w:b w:val="1"/>
                <w:bCs w:val="1"/>
                <w:color w:val="auto"/>
              </w:rPr>
              <w:t>January 31,</w:t>
            </w:r>
          </w:p>
        </w:tc>
        <w:tc>
          <w:tcPr>
            <w:tcW w:w="820" w:type="dxa"/>
            <w:vAlign w:val="bottom"/>
            <w:tcBorders>
              <w:bottom w:val="single" w:sz="8" w:color="auto"/>
            </w:tcBorders>
          </w:tcPr>
          <w:p>
            <w:pPr>
              <w:spacing w:after="0"/>
              <w:rPr>
                <w:sz w:val="13"/>
                <w:szCs w:val="13"/>
                <w:color w:val="auto"/>
              </w:rPr>
            </w:pPr>
          </w:p>
        </w:tc>
      </w:tr>
      <w:tr>
        <w:trPr>
          <w:trHeight w:val="17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10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4"/>
        </w:trPr>
        <w:tc>
          <w:tcPr>
            <w:tcW w:w="7580" w:type="dxa"/>
            <w:vAlign w:val="bottom"/>
            <w:shd w:val="clear" w:color="auto" w:fill="DBDBDB"/>
          </w:tcPr>
          <w:p>
            <w:pPr>
              <w:ind w:left="20"/>
              <w:spacing w:after="0"/>
              <w:rPr>
                <w:sz w:val="20"/>
                <w:szCs w:val="20"/>
                <w:color w:val="auto"/>
              </w:rPr>
            </w:pPr>
            <w:r>
              <w:rPr>
                <w:rFonts w:ascii="Arial" w:cs="Arial" w:eastAsia="Arial" w:hAnsi="Arial"/>
                <w:sz w:val="11"/>
                <w:szCs w:val="11"/>
                <w:color w:val="auto"/>
              </w:rPr>
              <w:t>Borrowings on revolving credit facility</w:t>
            </w:r>
          </w:p>
        </w:tc>
        <w:tc>
          <w:tcPr>
            <w:tcW w:w="680" w:type="dxa"/>
            <w:vAlign w:val="bottom"/>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15.0</w:t>
            </w:r>
          </w:p>
        </w:tc>
        <w:tc>
          <w:tcPr>
            <w:tcW w:w="1040" w:type="dxa"/>
            <w:vAlign w:val="bottom"/>
            <w:shd w:val="clear" w:color="auto" w:fill="DBDBDB"/>
          </w:tcPr>
          <w:p>
            <w:pPr>
              <w:jc w:val="right"/>
              <w:ind w:right="72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15.0</w:t>
            </w:r>
          </w:p>
        </w:tc>
      </w:tr>
      <w:tr>
        <w:trPr>
          <w:trHeight w:val="172"/>
        </w:trPr>
        <w:tc>
          <w:tcPr>
            <w:tcW w:w="7580" w:type="dxa"/>
            <w:vAlign w:val="bottom"/>
          </w:tcPr>
          <w:p>
            <w:pPr>
              <w:ind w:left="20"/>
              <w:spacing w:after="0"/>
              <w:rPr>
                <w:sz w:val="20"/>
                <w:szCs w:val="20"/>
                <w:color w:val="auto"/>
              </w:rPr>
            </w:pPr>
            <w:r>
              <w:rPr>
                <w:rFonts w:ascii="Arial" w:cs="Arial" w:eastAsia="Arial" w:hAnsi="Arial"/>
                <w:sz w:val="11"/>
                <w:szCs w:val="11"/>
                <w:color w:val="auto"/>
              </w:rPr>
              <w:t>Payments on revolving credit facility</w:t>
            </w:r>
          </w:p>
        </w:tc>
        <w:tc>
          <w:tcPr>
            <w:tcW w:w="680" w:type="dxa"/>
            <w:vAlign w:val="bottom"/>
          </w:tcPr>
          <w:p>
            <w:pPr>
              <w:spacing w:after="0"/>
              <w:rPr>
                <w:sz w:val="14"/>
                <w:szCs w:val="14"/>
                <w:color w:val="auto"/>
              </w:rPr>
            </w:pPr>
          </w:p>
        </w:tc>
        <w:tc>
          <w:tcPr>
            <w:tcW w:w="1160" w:type="dxa"/>
            <w:vAlign w:val="bottom"/>
          </w:tcPr>
          <w:p>
            <w:pPr>
              <w:jc w:val="right"/>
              <w:ind w:right="123"/>
              <w:spacing w:after="0"/>
              <w:rPr>
                <w:sz w:val="20"/>
                <w:szCs w:val="20"/>
                <w:color w:val="auto"/>
              </w:rPr>
            </w:pPr>
            <w:r>
              <w:rPr>
                <w:rFonts w:ascii="Arial" w:cs="Arial" w:eastAsia="Arial" w:hAnsi="Arial"/>
                <w:sz w:val="11"/>
                <w:szCs w:val="11"/>
                <w:color w:val="auto"/>
              </w:rPr>
              <w:t>(10.0)</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(10.0)</w:t>
            </w:r>
          </w:p>
        </w:tc>
      </w:tr>
      <w:tr>
        <w:trPr>
          <w:trHeight w:val="189"/>
        </w:trPr>
        <w:tc>
          <w:tcPr>
            <w:tcW w:w="758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Repayment of short-term borrowings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(3.5)</w:t>
            </w:r>
          </w:p>
        </w:tc>
        <w:tc>
          <w:tcPr>
            <w:tcW w:w="104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w:t>
            </w:r>
          </w:p>
        </w:tc>
      </w:tr>
      <w:tr>
        <w:trPr>
          <w:trHeight w:val="172"/>
        </w:trPr>
        <w:tc>
          <w:tcPr>
            <w:tcW w:w="7580" w:type="dxa"/>
            <w:vAlign w:val="bottom"/>
          </w:tcPr>
          <w:p>
            <w:pPr>
              <w:ind w:left="20"/>
              <w:spacing w:after="0"/>
              <w:rPr>
                <w:sz w:val="20"/>
                <w:szCs w:val="20"/>
                <w:color w:val="auto"/>
              </w:rPr>
            </w:pPr>
            <w:r>
              <w:rPr>
                <w:rFonts w:ascii="Arial" w:cs="Arial" w:eastAsia="Arial" w:hAnsi="Arial"/>
                <w:sz w:val="11"/>
                <w:szCs w:val="11"/>
                <w:color w:val="auto"/>
              </w:rPr>
              <w:t>Principal payments on long-term debt obligations</w:t>
            </w:r>
          </w:p>
        </w:tc>
        <w:tc>
          <w:tcPr>
            <w:tcW w:w="680" w:type="dxa"/>
            <w:vAlign w:val="bottom"/>
          </w:tcPr>
          <w:p>
            <w:pPr>
              <w:spacing w:after="0"/>
              <w:rPr>
                <w:sz w:val="14"/>
                <w:szCs w:val="14"/>
                <w:color w:val="auto"/>
              </w:rPr>
            </w:pPr>
          </w:p>
        </w:tc>
        <w:tc>
          <w:tcPr>
            <w:tcW w:w="1160" w:type="dxa"/>
            <w:vAlign w:val="bottom"/>
          </w:tcPr>
          <w:p>
            <w:pPr>
              <w:jc w:val="right"/>
              <w:ind w:right="123"/>
              <w:spacing w:after="0"/>
              <w:rPr>
                <w:sz w:val="20"/>
                <w:szCs w:val="20"/>
                <w:color w:val="auto"/>
              </w:rPr>
            </w:pPr>
            <w:r>
              <w:rPr>
                <w:rFonts w:ascii="Arial" w:cs="Arial" w:eastAsia="Arial" w:hAnsi="Arial"/>
                <w:sz w:val="11"/>
                <w:szCs w:val="11"/>
                <w:color w:val="auto"/>
              </w:rPr>
              <w:t>(0.8)</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89"/>
        </w:trPr>
        <w:tc>
          <w:tcPr>
            <w:tcW w:w="758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Principal payments on finance lease obligations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(0.1)</w:t>
            </w:r>
          </w:p>
        </w:tc>
        <w:tc>
          <w:tcPr>
            <w:tcW w:w="104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w:t>
            </w:r>
          </w:p>
        </w:tc>
      </w:tr>
      <w:tr>
        <w:trPr>
          <w:trHeight w:val="172"/>
        </w:trPr>
        <w:tc>
          <w:tcPr>
            <w:tcW w:w="7580" w:type="dxa"/>
            <w:vAlign w:val="bottom"/>
          </w:tcPr>
          <w:p>
            <w:pPr>
              <w:ind w:left="20"/>
              <w:spacing w:after="0"/>
              <w:rPr>
                <w:sz w:val="20"/>
                <w:szCs w:val="20"/>
                <w:color w:val="auto"/>
              </w:rPr>
            </w:pPr>
            <w:r>
              <w:rPr>
                <w:rFonts w:ascii="Arial" w:cs="Arial" w:eastAsia="Arial" w:hAnsi="Arial"/>
                <w:sz w:val="11"/>
                <w:szCs w:val="11"/>
                <w:color w:val="auto"/>
              </w:rPr>
              <w:t>Payments for long-term supplier financing</w:t>
            </w:r>
          </w:p>
        </w:tc>
        <w:tc>
          <w:tcPr>
            <w:tcW w:w="680" w:type="dxa"/>
            <w:vAlign w:val="bottom"/>
          </w:tcPr>
          <w:p>
            <w:pPr>
              <w:spacing w:after="0"/>
              <w:rPr>
                <w:sz w:val="14"/>
                <w:szCs w:val="14"/>
                <w:color w:val="auto"/>
              </w:rPr>
            </w:pPr>
          </w:p>
        </w:tc>
        <w:tc>
          <w:tcPr>
            <w:tcW w:w="1160" w:type="dxa"/>
            <w:vAlign w:val="bottom"/>
          </w:tcPr>
          <w:p>
            <w:pPr>
              <w:jc w:val="right"/>
              <w:ind w:right="123"/>
              <w:spacing w:after="0"/>
              <w:rPr>
                <w:sz w:val="20"/>
                <w:szCs w:val="20"/>
                <w:color w:val="auto"/>
              </w:rPr>
            </w:pPr>
            <w:r>
              <w:rPr>
                <w:rFonts w:ascii="Arial" w:cs="Arial" w:eastAsia="Arial" w:hAnsi="Arial"/>
                <w:sz w:val="11"/>
                <w:szCs w:val="11"/>
                <w:color w:val="auto"/>
              </w:rPr>
              <w:t>(0.3)</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89"/>
        </w:trPr>
        <w:tc>
          <w:tcPr>
            <w:tcW w:w="758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Principal payments on loans due to noncontrolling interest holder</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104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(0.5)</w:t>
            </w:r>
          </w:p>
        </w:tc>
      </w:tr>
      <w:tr>
        <w:trPr>
          <w:trHeight w:val="172"/>
        </w:trPr>
        <w:tc>
          <w:tcPr>
            <w:tcW w:w="7580" w:type="dxa"/>
            <w:vAlign w:val="bottom"/>
          </w:tcPr>
          <w:p>
            <w:pPr>
              <w:ind w:left="20"/>
              <w:spacing w:after="0"/>
              <w:rPr>
                <w:sz w:val="20"/>
                <w:szCs w:val="20"/>
                <w:color w:val="auto"/>
              </w:rPr>
            </w:pPr>
            <w:r>
              <w:rPr>
                <w:rFonts w:ascii="Arial" w:cs="Arial" w:eastAsia="Arial" w:hAnsi="Arial"/>
                <w:sz w:val="11"/>
                <w:szCs w:val="11"/>
                <w:color w:val="auto"/>
              </w:rPr>
              <w:t>Payments of minimum withholding taxes on net share settlement of equity awards</w:t>
            </w:r>
          </w:p>
        </w:tc>
        <w:tc>
          <w:tcPr>
            <w:tcW w:w="680" w:type="dxa"/>
            <w:vAlign w:val="bottom"/>
          </w:tcPr>
          <w:p>
            <w:pPr>
              <w:spacing w:after="0"/>
              <w:rPr>
                <w:sz w:val="14"/>
                <w:szCs w:val="14"/>
                <w:color w:val="auto"/>
              </w:rPr>
            </w:pPr>
          </w:p>
        </w:tc>
        <w:tc>
          <w:tcPr>
            <w:tcW w:w="1160" w:type="dxa"/>
            <w:vAlign w:val="bottom"/>
          </w:tcPr>
          <w:p>
            <w:pPr>
              <w:jc w:val="right"/>
              <w:ind w:right="123"/>
              <w:spacing w:after="0"/>
              <w:rPr>
                <w:sz w:val="20"/>
                <w:szCs w:val="20"/>
                <w:color w:val="auto"/>
              </w:rPr>
            </w:pPr>
            <w:r>
              <w:rPr>
                <w:rFonts w:ascii="Arial" w:cs="Arial" w:eastAsia="Arial" w:hAnsi="Arial"/>
                <w:sz w:val="11"/>
                <w:szCs w:val="11"/>
                <w:color w:val="auto"/>
              </w:rPr>
              <w:t>(1.3)</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(0.7)</w:t>
            </w:r>
          </w:p>
        </w:tc>
      </w:tr>
      <w:tr>
        <w:trPr>
          <w:trHeight w:val="189"/>
        </w:trPr>
        <w:tc>
          <w:tcPr>
            <w:tcW w:w="75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Exercise of stock options</w:t>
            </w:r>
          </w:p>
        </w:tc>
        <w:tc>
          <w:tcPr>
            <w:tcW w:w="68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0.3</w:t>
            </w:r>
          </w:p>
        </w:tc>
        <w:tc>
          <w:tcPr>
            <w:tcW w:w="1040" w:type="dxa"/>
            <w:vAlign w:val="bottom"/>
            <w:shd w:val="clear" w:color="auto" w:fill="DBDBDB"/>
          </w:tcPr>
          <w:p>
            <w:pPr>
              <w:spacing w:after="0"/>
              <w:rPr>
                <w:sz w:val="16"/>
                <w:szCs w:val="16"/>
                <w:color w:val="auto"/>
              </w:rPr>
            </w:pPr>
          </w:p>
        </w:tc>
        <w:tc>
          <w:tcPr>
            <w:tcW w:w="8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Purchase and retirement of common stock</w:t>
            </w: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(0.3)</w:t>
            </w:r>
          </w:p>
        </w:tc>
        <w:tc>
          <w:tcPr>
            <w:tcW w:w="10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71"/>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cash used in financing activities</w:t>
            </w:r>
          </w:p>
        </w:tc>
        <w:tc>
          <w:tcPr>
            <w:tcW w:w="6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(1.0)</w:t>
            </w:r>
          </w:p>
        </w:tc>
        <w:tc>
          <w:tcPr>
            <w:tcW w:w="104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Borrowings and repayments of debt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utilize a revolving line of credit for short-term working capital purposes. Principal payments on our credit facility are made in accordance with debt maturity schedules.</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Blueberries</w:t>
      </w:r>
    </w:p>
    <w:p>
      <w:pPr>
        <w:spacing w:after="0" w:line="171" w:lineRule="exact"/>
        <w:rPr>
          <w:sz w:val="20"/>
          <w:szCs w:val="20"/>
          <w:color w:val="auto"/>
        </w:rPr>
      </w:pPr>
    </w:p>
    <w:p>
      <w:pPr>
        <w:ind w:right="120" w:firstLine="509"/>
        <w:spacing w:after="0" w:line="282" w:lineRule="auto"/>
        <w:rPr>
          <w:sz w:val="20"/>
          <w:szCs w:val="20"/>
          <w:color w:val="auto"/>
        </w:rPr>
      </w:pPr>
      <w:r>
        <w:rPr>
          <w:rFonts w:ascii="Arial" w:cs="Arial" w:eastAsia="Arial" w:hAnsi="Arial"/>
          <w:sz w:val="11"/>
          <w:szCs w:val="11"/>
          <w:color w:val="auto"/>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a significant portion of which are with the noncontrolling interest holder of the entity.</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Purchase and retirement of common stock</w:t>
      </w:r>
    </w:p>
    <w:p>
      <w:pPr>
        <w:spacing w:after="0" w:line="181" w:lineRule="exact"/>
        <w:rPr>
          <w:sz w:val="20"/>
          <w:szCs w:val="20"/>
          <w:color w:val="auto"/>
        </w:rPr>
      </w:pPr>
    </w:p>
    <w:p>
      <w:pPr>
        <w:ind w:right="440" w:firstLine="509"/>
        <w:spacing w:after="0" w:line="283" w:lineRule="auto"/>
        <w:rPr>
          <w:sz w:val="20"/>
          <w:szCs w:val="20"/>
          <w:color w:val="auto"/>
        </w:rPr>
      </w:pPr>
      <w:r>
        <w:rPr>
          <w:rFonts w:ascii="Arial" w:cs="Arial" w:eastAsia="Arial" w:hAnsi="Arial"/>
          <w:sz w:val="11"/>
          <w:szCs w:val="11"/>
          <w:color w:val="auto"/>
        </w:rPr>
        <w:t>Shares of the company’s common stock may be repurchased from time to time in the open market or privately negotiated transactions under our share repurchase program. For more information on our stock repurchase program, see “Item 2. Unregistered Sales of Equity Securities and Use of Proceeds” in this quarterly report.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resources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January 31, 2025</w:t>
            </w: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2024</w:t>
            </w:r>
          </w:p>
        </w:tc>
      </w:tr>
      <w:tr>
        <w:trPr>
          <w:trHeight w:val="174"/>
        </w:trPr>
        <w:tc>
          <w:tcPr>
            <w:tcW w:w="4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and cash equivalents</w:t>
            </w:r>
          </w:p>
        </w:tc>
        <w:tc>
          <w:tcPr>
            <w:tcW w:w="356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3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40.1</w:t>
            </w:r>
          </w:p>
        </w:tc>
        <w:tc>
          <w:tcPr>
            <w:tcW w:w="54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58.0</w:t>
            </w:r>
          </w:p>
        </w:tc>
      </w:tr>
      <w:tr>
        <w:trPr>
          <w:trHeight w:val="18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Working capital</w:t>
            </w:r>
            <w:r>
              <w:rPr>
                <w:rFonts w:ascii="Arial" w:cs="Arial" w:eastAsia="Arial" w:hAnsi="Arial"/>
                <w:sz w:val="14"/>
                <w:szCs w:val="14"/>
                <w:color w:val="auto"/>
                <w:vertAlign w:val="superscript"/>
              </w:rPr>
              <w:t>(1)</w:t>
            </w:r>
          </w:p>
        </w:tc>
        <w:tc>
          <w:tcPr>
            <w:tcW w:w="3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127.5</w:t>
            </w: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129.9</w:t>
            </w:r>
          </w:p>
        </w:tc>
      </w:tr>
    </w:tbl>
    <w:p>
      <w:pPr>
        <w:spacing w:after="0" w:line="89" w:lineRule="exact"/>
        <w:rPr>
          <w:sz w:val="20"/>
          <w:szCs w:val="20"/>
          <w:color w:val="auto"/>
        </w:rPr>
      </w:pPr>
    </w:p>
    <w:p>
      <w:pPr>
        <w:ind w:left="180" w:hanging="175"/>
        <w:spacing w:after="0"/>
        <w:tabs>
          <w:tab w:leader="none" w:pos="1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C</w:t>
      </w:r>
      <w:r>
        <w:rPr>
          <w:rFonts w:ascii="Arial" w:cs="Arial" w:eastAsia="Arial" w:hAnsi="Arial"/>
          <w:sz w:val="11"/>
          <w:szCs w:val="11"/>
          <w:color w:val="auto"/>
        </w:rPr>
        <w:t>urrent assets minus current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Capital resources include cash flows from operations, cash and cash equivalents, and debt financing. Our Blueberries segment may from time to time also receive capital contributions or loans from shareholders.</w:t>
      </w:r>
    </w:p>
    <w:p>
      <w:pPr>
        <w:spacing w:after="0" w:line="181" w:lineRule="exact"/>
        <w:rPr>
          <w:sz w:val="20"/>
          <w:szCs w:val="20"/>
          <w:color w:val="auto"/>
        </w:rPr>
      </w:pPr>
    </w:p>
    <w:p>
      <w:pPr>
        <w:ind w:right="40" w:firstLine="509"/>
        <w:spacing w:after="0" w:line="282" w:lineRule="auto"/>
        <w:rPr>
          <w:sz w:val="20"/>
          <w:szCs w:val="20"/>
          <w:color w:val="auto"/>
        </w:rPr>
      </w:pPr>
      <w:r>
        <w:rPr>
          <w:rFonts w:ascii="Arial" w:cs="Arial" w:eastAsia="Arial" w:hAnsi="Arial"/>
          <w:sz w:val="11"/>
          <w:szCs w:val="11"/>
          <w:color w:val="auto"/>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27" w:lineRule="exact"/>
        <w:rPr>
          <w:sz w:val="20"/>
          <w:szCs w:val="20"/>
          <w:color w:val="auto"/>
        </w:rPr>
      </w:pPr>
    </w:p>
    <w:p>
      <w:pPr>
        <w:ind w:right="440" w:firstLine="509"/>
        <w:spacing w:after="0" w:line="303" w:lineRule="auto"/>
        <w:rPr>
          <w:sz w:val="20"/>
          <w:szCs w:val="20"/>
          <w:color w:val="auto"/>
        </w:rPr>
      </w:pPr>
      <w:r>
        <w:rPr>
          <w:rFonts w:ascii="Arial" w:cs="Arial" w:eastAsia="Arial" w:hAnsi="Arial"/>
          <w:sz w:val="11"/>
          <w:szCs w:val="11"/>
          <w:color w:val="auto"/>
        </w:rPr>
        <w:t>As of January 31, 2025, we were required to comply with the following financial covenants: (a) a quarterly consolidated leverage ratio of not more than 3.5 to 1.00 and (b) a quarterly consolidated fixed charge coverage ratio of not less than 1.25 to 1.00. As of January 31, 2025, we were in compliance with all such covenants of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Material cash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Capital expenditures</w:t>
      </w:r>
    </w:p>
    <w:p>
      <w:pPr>
        <w:spacing w:after="0" w:line="18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1"/>
          <w:szCs w:val="11"/>
          <w:color w:val="auto"/>
        </w:rPr>
        <w:t>We have various capital projects in progress for farming expansion and facility improvements which we intend to fund through our operating cash flow as well as cash and cash equivalents on hand. For fiscal 2025, we expect total capital expenditures inclusive of approximately $10 million carryover from fiscal 2024, to be between $50 to $55 million. The spend will be allocated primarily to our International Farming and Blueberries segments. Within our International Farming segment, spend will be concentrated in Guatemala for pre-production avocado orchard maintenance and packhouse construction. Within our Blueberries segment, spend will be concentrated on land development and plant cultivation in Peru.</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Leases</w:t>
      </w:r>
    </w:p>
    <w:p>
      <w:pPr>
        <w:spacing w:after="0" w:line="181" w:lineRule="exact"/>
        <w:rPr>
          <w:sz w:val="20"/>
          <w:szCs w:val="20"/>
          <w:color w:val="auto"/>
        </w:rPr>
      </w:pPr>
    </w:p>
    <w:p>
      <w:pPr>
        <w:ind w:firstLine="509"/>
        <w:spacing w:after="0" w:line="303" w:lineRule="auto"/>
        <w:rPr>
          <w:sz w:val="20"/>
          <w:szCs w:val="20"/>
          <w:color w:val="auto"/>
        </w:rPr>
      </w:pPr>
      <w:r>
        <w:rPr>
          <w:rFonts w:ascii="Arial" w:cs="Arial" w:eastAsia="Arial" w:hAnsi="Arial"/>
          <w:sz w:val="11"/>
          <w:szCs w:val="11"/>
          <w:color w:val="auto"/>
        </w:rPr>
        <w:t>We are party to various leases, the most material of which are for facilities and land. Our undiscounted cash liabilities were approximately $174.3 million as of January 31, 2025, of which, approximately $107.4 million was for long-term land leases in our International Farming and Blueberries segments.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Long-term debt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of January 31, 2025, remaining maturities on our term loans were $118.2 million. See Note 6 to the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estimates</w:t>
      </w:r>
    </w:p>
    <w:p>
      <w:pPr>
        <w:spacing w:after="0" w:line="184" w:lineRule="exact"/>
        <w:rPr>
          <w:sz w:val="20"/>
          <w:szCs w:val="20"/>
          <w:color w:val="auto"/>
        </w:rPr>
      </w:pPr>
    </w:p>
    <w:p>
      <w:pPr>
        <w:ind w:right="420" w:firstLine="509"/>
        <w:spacing w:after="0" w:line="303" w:lineRule="auto"/>
        <w:rPr>
          <w:sz w:val="20"/>
          <w:szCs w:val="20"/>
          <w:color w:val="auto"/>
        </w:rPr>
      </w:pPr>
      <w:r>
        <w:rPr>
          <w:rFonts w:ascii="Arial" w:cs="Arial" w:eastAsia="Arial" w:hAnsi="Arial"/>
          <w:sz w:val="11"/>
          <w:szCs w:val="11"/>
          <w:color w:val="auto"/>
        </w:rPr>
        <w:t>For a discussion of our critical accounting estimates, see “Part II, Item 7. Management’s Discussion and Analysis of Financial Condition and Operations” in our Annual Report on Form 10-K for the year ended October 31, 2024, filed with the SEC on December 19, 2024. There have been no material changes to the critical accounting estimates disclosed in such Annual Report on Form 10-K.</w:t>
      </w:r>
    </w:p>
    <w:p>
      <w:pPr>
        <w:spacing w:after="0" w:line="20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There have been no material changes to “Part II, Item 7A. Quantitative and Qualitative Disclosures About Market Risk” in our Annual Report on Form 10-K for the year ended October 31, 2024.</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84" w:lineRule="exact"/>
        <w:rPr>
          <w:sz w:val="20"/>
          <w:szCs w:val="20"/>
          <w:color w:val="auto"/>
        </w:rPr>
      </w:pPr>
    </w:p>
    <w:p>
      <w:pPr>
        <w:ind w:right="60" w:firstLine="509"/>
        <w:spacing w:after="0" w:line="267" w:lineRule="auto"/>
        <w:rPr>
          <w:sz w:val="20"/>
          <w:szCs w:val="20"/>
          <w:color w:val="auto"/>
        </w:rPr>
      </w:pPr>
      <w:r>
        <w:rPr>
          <w:rFonts w:ascii="Arial" w:cs="Arial" w:eastAsia="Arial" w:hAnsi="Arial"/>
          <w:sz w:val="11"/>
          <w:szCs w:val="11"/>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73" w:lineRule="exact"/>
        <w:rPr>
          <w:sz w:val="20"/>
          <w:szCs w:val="20"/>
          <w:color w:val="auto"/>
        </w:rPr>
      </w:pPr>
    </w:p>
    <w:p>
      <w:pPr>
        <w:ind w:right="260" w:firstLine="509"/>
        <w:spacing w:after="0" w:line="303" w:lineRule="auto"/>
        <w:rPr>
          <w:sz w:val="20"/>
          <w:szCs w:val="20"/>
          <w:color w:val="auto"/>
        </w:rPr>
      </w:pPr>
      <w:r>
        <w:rPr>
          <w:rFonts w:ascii="Arial" w:cs="Arial" w:eastAsia="Arial" w:hAnsi="Arial"/>
          <w:sz w:val="11"/>
          <w:szCs w:val="11"/>
          <w:color w:val="auto"/>
        </w:rPr>
        <w:t>There were no changes in our internal control over financial reporting during the quarter ended January 31, 2025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Limitations on Effectiveness of Controls and Procedures</w:t>
      </w:r>
    </w:p>
    <w:p>
      <w:pPr>
        <w:spacing w:after="0" w:line="173" w:lineRule="exact"/>
        <w:rPr>
          <w:sz w:val="20"/>
          <w:szCs w:val="20"/>
          <w:color w:val="auto"/>
        </w:rPr>
      </w:pPr>
    </w:p>
    <w:p>
      <w:pPr>
        <w:ind w:right="20" w:firstLine="509"/>
        <w:spacing w:after="0" w:line="268" w:lineRule="auto"/>
        <w:rPr>
          <w:sz w:val="20"/>
          <w:szCs w:val="20"/>
          <w:color w:val="auto"/>
        </w:rPr>
      </w:pPr>
      <w:r>
        <w:rPr>
          <w:rFonts w:ascii="Arial" w:cs="Arial" w:eastAsia="Arial" w:hAnsi="Arial"/>
          <w:sz w:val="11"/>
          <w:szCs w:val="11"/>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89" w:lineRule="exact"/>
        <w:rPr>
          <w:sz w:val="20"/>
          <w:szCs w:val="20"/>
          <w:color w:val="auto"/>
        </w:rPr>
      </w:pPr>
    </w:p>
    <w:p>
      <w:pPr>
        <w:ind w:right="500" w:firstLine="509"/>
        <w:spacing w:after="0" w:line="303" w:lineRule="auto"/>
        <w:rPr>
          <w:sz w:val="20"/>
          <w:szCs w:val="20"/>
          <w:color w:val="auto"/>
        </w:rPr>
      </w:pPr>
      <w:r>
        <w:rPr>
          <w:rFonts w:ascii="Arial" w:cs="Arial" w:eastAsia="Arial" w:hAnsi="Arial"/>
          <w:sz w:val="11"/>
          <w:szCs w:val="11"/>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updates the matters discussed in “Part I, Item 3. Legal Proceedings” in our Annual Report on Form 10-K for the year ended October 31, 2024:</w:t>
      </w:r>
    </w:p>
    <w:p>
      <w:pPr>
        <w:spacing w:after="0" w:line="181"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Payment was sent to the Settlement Administrator on June 26, 2024, to be distributed directly to the class members. Once all settlement checks have been distributed and cashed or returned pursuant to the terms of the Settlement Agreement, the action will be dismissed with prejudice. The Court has set a deadline of June 2025 for Plaintiff to file a declaration from the settlement administrator regarding disbursal of funds.</w:t>
      </w:r>
    </w:p>
    <w:p>
      <w:pPr>
        <w:spacing w:after="0" w:line="285" w:lineRule="exact"/>
        <w:rPr>
          <w:sz w:val="20"/>
          <w:szCs w:val="20"/>
          <w:color w:val="auto"/>
        </w:rPr>
      </w:pPr>
    </w:p>
    <w:p>
      <w:pPr>
        <w:ind w:right="180" w:firstLine="509"/>
        <w:spacing w:after="0" w:line="268" w:lineRule="auto"/>
        <w:rPr>
          <w:sz w:val="20"/>
          <w:szCs w:val="20"/>
          <w:color w:val="auto"/>
        </w:rPr>
      </w:pPr>
      <w:r>
        <w:rPr>
          <w:rFonts w:ascii="Arial" w:cs="Arial" w:eastAsia="Arial" w:hAnsi="Arial"/>
          <w:sz w:val="11"/>
          <w:szCs w:val="11"/>
          <w:color w:val="auto"/>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The plaintiff seeks damages primarily consisting of class certification, payment of wages earned and owed, liquidated damages, penalties and fees, and injunctive relief. The Company is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46" w:lineRule="exact"/>
        <w:rPr>
          <w:sz w:val="20"/>
          <w:szCs w:val="20"/>
          <w:color w:val="auto"/>
        </w:rPr>
      </w:pPr>
    </w:p>
    <w:p>
      <w:pPr>
        <w:ind w:right="60" w:firstLine="509"/>
        <w:spacing w:after="0" w:line="265" w:lineRule="auto"/>
        <w:rPr>
          <w:sz w:val="20"/>
          <w:szCs w:val="20"/>
          <w:color w:val="auto"/>
        </w:rPr>
      </w:pPr>
      <w:r>
        <w:rPr>
          <w:rFonts w:ascii="Arial" w:cs="Arial" w:eastAsia="Arial" w:hAnsi="Arial"/>
          <w:sz w:val="11"/>
          <w:szCs w:val="11"/>
          <w:color w:val="auto"/>
        </w:rPr>
        <w:t>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w:t>
      </w:r>
    </w:p>
    <w:p>
      <w:pPr>
        <w:spacing w:after="0" w:line="136" w:lineRule="exact"/>
        <w:rPr>
          <w:sz w:val="20"/>
          <w:szCs w:val="20"/>
          <w:color w:val="auto"/>
        </w:rPr>
      </w:pPr>
    </w:p>
    <w:p>
      <w:pPr>
        <w:ind w:right="220" w:firstLine="509"/>
        <w:spacing w:after="0" w:line="303" w:lineRule="auto"/>
        <w:rPr>
          <w:sz w:val="20"/>
          <w:szCs w:val="20"/>
          <w:color w:val="auto"/>
        </w:rPr>
      </w:pPr>
      <w:r>
        <w:rPr>
          <w:rFonts w:ascii="Arial" w:cs="Arial" w:eastAsia="Arial" w:hAnsi="Arial"/>
          <w:sz w:val="11"/>
          <w:szCs w:val="11"/>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1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89" w:lineRule="exact"/>
        <w:rPr>
          <w:sz w:val="20"/>
          <w:szCs w:val="20"/>
          <w:color w:val="auto"/>
        </w:rPr>
      </w:pPr>
    </w:p>
    <w:p>
      <w:pPr>
        <w:ind w:right="100" w:firstLine="509"/>
        <w:spacing w:after="0" w:line="267" w:lineRule="auto"/>
        <w:rPr>
          <w:sz w:val="20"/>
          <w:szCs w:val="20"/>
          <w:color w:val="auto"/>
        </w:rPr>
      </w:pPr>
      <w:r>
        <w:rPr>
          <w:rFonts w:ascii="Arial" w:cs="Arial" w:eastAsia="Arial" w:hAnsi="Arial"/>
          <w:sz w:val="11"/>
          <w:szCs w:val="11"/>
          <w:color w:val="auto"/>
        </w:rPr>
        <w:t>For a discussion of our risk factors, see “Part I, Item 1A. Risk Factors” in our Annual Report on Form 10-K for the year ended October 31, 2024, filed with the SEC on December 19, 2024. With the exception of the risk factors set forth below, which update the risk factors disclosed in such Annual Report on Form 10-K, there have been no material changes from the risk factors previously disclosed therein. The risks and uncertainties that we face are not limited to those set forth in the 2024 Form 10-K and in this quarterly report. You should carefully consider the risk factors in the 2024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41"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b w:val="1"/>
          <w:bCs w:val="1"/>
          <w:i w:val="1"/>
          <w:iCs w:val="1"/>
          <w:color w:val="auto"/>
        </w:rPr>
        <w:t>Changes to U.S. trade policy, tariff and import/export regulations may adversely affect our operating results.</w:t>
      </w:r>
    </w:p>
    <w:p>
      <w:pPr>
        <w:spacing w:after="0" w:line="181" w:lineRule="exact"/>
        <w:rPr>
          <w:sz w:val="20"/>
          <w:szCs w:val="20"/>
          <w:color w:val="auto"/>
        </w:rPr>
      </w:pPr>
    </w:p>
    <w:p>
      <w:pPr>
        <w:ind w:right="140" w:firstLine="509"/>
        <w:spacing w:after="0" w:line="268" w:lineRule="auto"/>
        <w:rPr>
          <w:sz w:val="20"/>
          <w:szCs w:val="20"/>
          <w:color w:val="auto"/>
        </w:rPr>
      </w:pPr>
      <w:r>
        <w:rPr>
          <w:rFonts w:ascii="Arial" w:cs="Arial" w:eastAsia="Arial" w:hAnsi="Arial"/>
          <w:sz w:val="11"/>
          <w:szCs w:val="11"/>
          <w:color w:val="auto"/>
        </w:rPr>
        <w:t>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w:t>
      </w:r>
    </w:p>
    <w:p>
      <w:pPr>
        <w:spacing w:after="0" w:line="146" w:lineRule="exact"/>
        <w:rPr>
          <w:sz w:val="20"/>
          <w:szCs w:val="20"/>
          <w:color w:val="auto"/>
        </w:rPr>
      </w:pPr>
    </w:p>
    <w:p>
      <w:pPr>
        <w:ind w:right="200" w:firstLine="509"/>
        <w:spacing w:after="0" w:line="275" w:lineRule="auto"/>
        <w:rPr>
          <w:sz w:val="20"/>
          <w:szCs w:val="20"/>
          <w:color w:val="auto"/>
        </w:rPr>
      </w:pPr>
      <w:r>
        <w:rPr>
          <w:rFonts w:ascii="Arial" w:cs="Arial" w:eastAsia="Arial" w:hAnsi="Arial"/>
          <w:sz w:val="11"/>
          <w:szCs w:val="11"/>
          <w:color w:val="auto"/>
        </w:rPr>
        <w:t>On February 1, 2025, President Trump signed executive orders to impose 25% tariffs against certain foreign goods, including a 25% tariff on all imports from Mexico. Some foreign governments, including Mexico, have threatened retaliatory tariffs on certain U.S. products. The tariffs became effective on March 4, 2025. On March 6, 2025, President Trump made an announcement pausing the tariffs until April 2, 2025. If tariff levies resume, they will likely increase the cost of fruit we import from Mexico, which we may not be able to pass on to our customers. Global trade disruption, significant introductions of trade barriers and bilateral trade frictions, together with any future downturns in the global economy resulting therefrom, could adversely affect our financial performance.</w:t>
      </w:r>
    </w:p>
    <w:p>
      <w:pPr>
        <w:spacing w:after="0" w:line="142" w:lineRule="exact"/>
        <w:rPr>
          <w:sz w:val="20"/>
          <w:szCs w:val="20"/>
          <w:color w:val="auto"/>
        </w:rPr>
      </w:pPr>
    </w:p>
    <w:p>
      <w:pPr>
        <w:ind w:right="340" w:firstLine="509"/>
        <w:spacing w:after="0" w:line="251" w:lineRule="auto"/>
        <w:rPr>
          <w:sz w:val="20"/>
          <w:szCs w:val="20"/>
          <w:color w:val="auto"/>
        </w:rPr>
      </w:pPr>
      <w:r>
        <w:rPr>
          <w:rFonts w:ascii="Arial" w:cs="Arial" w:eastAsia="Arial" w:hAnsi="Arial"/>
          <w:sz w:val="11"/>
          <w:szCs w:val="11"/>
          <w:color w:val="auto"/>
        </w:rPr>
        <w:t>As a result of policy changes and government proposals,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w:t>
      </w:r>
    </w:p>
    <w:p>
      <w:pPr>
        <w:ind w:right="60"/>
        <w:spacing w:after="0" w:line="264" w:lineRule="auto"/>
        <w:rPr>
          <w:sz w:val="20"/>
          <w:szCs w:val="20"/>
          <w:color w:val="auto"/>
        </w:rPr>
      </w:pPr>
      <w:r>
        <w:rPr>
          <w:rFonts w:ascii="Arial" w:cs="Arial" w:eastAsia="Arial" w:hAnsi="Arial"/>
          <w:sz w:val="11"/>
          <w:szCs w:val="11"/>
          <w:color w:val="auto"/>
        </w:rPr>
        <w:t>adversely impact the U.S. economy or sectors thereof, our industry and the global demand for our products, and as a result, could have a negative impact on our business, financial condition and results of operations. Further, actions we take to adapt to new tariffs or trade restrictions may cause us to modify our operations or forgo business opportunities.</w:t>
      </w:r>
    </w:p>
    <w:p>
      <w:pPr>
        <w:spacing w:after="0" w:line="157" w:lineRule="exact"/>
        <w:rPr>
          <w:sz w:val="20"/>
          <w:szCs w:val="20"/>
          <w:color w:val="auto"/>
        </w:rPr>
      </w:pPr>
    </w:p>
    <w:p>
      <w:pPr>
        <w:spacing w:after="0" w:line="294" w:lineRule="auto"/>
        <w:rPr>
          <w:sz w:val="20"/>
          <w:szCs w:val="20"/>
          <w:color w:val="auto"/>
        </w:rPr>
      </w:pPr>
      <w:r>
        <w:rPr>
          <w:rFonts w:ascii="Arial" w:cs="Arial" w:eastAsia="Arial" w:hAnsi="Arial"/>
          <w:sz w:val="11"/>
          <w:szCs w:val="11"/>
          <w:b w:val="1"/>
          <w:bCs w:val="1"/>
          <w:i w:val="1"/>
          <w:iCs w:val="1"/>
          <w:color w:val="auto"/>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136" w:lineRule="exact"/>
        <w:rPr>
          <w:sz w:val="20"/>
          <w:szCs w:val="20"/>
          <w:color w:val="auto"/>
        </w:rPr>
      </w:pPr>
    </w:p>
    <w:p>
      <w:pPr>
        <w:ind w:firstLine="509"/>
        <w:spacing w:after="0" w:line="244" w:lineRule="auto"/>
        <w:rPr>
          <w:sz w:val="20"/>
          <w:szCs w:val="20"/>
          <w:color w:val="auto"/>
        </w:rPr>
      </w:pPr>
      <w:r>
        <w:rPr>
          <w:rFonts w:ascii="Arial" w:cs="Arial" w:eastAsia="Arial" w:hAnsi="Arial"/>
          <w:sz w:val="11"/>
          <w:szCs w:val="11"/>
          <w:color w:val="auto"/>
        </w:rPr>
        <w:t>We are subject to a variety of federal, state, local and foreign laws and regulations relating to environmental matters. In particular, our business depends on the use of herbicides, fertilizers, pesticides and other agricultural products and the use and disposal of these products in some jurisdictions are subject to regulation by various agencies. These laws and regulations may require that only certified or professional users apply the product or that certain products only be used in certain types of locations. These laws and regulations may also require users to post notices on properties at which products have been or will be applied, notification to individuals in the vicinity that products will be applied in the future, or labeling of certain products or may restrict or ban the use of certain products. We can give no assurance that we can prevent violations of these or other laws and regulations from occurring. If we fail to comply with these laws and regulations, we could be subject to, among other things, substantial penalties or fines, partial or complete cessation of our operations or a ban on the sale of part or all of our products in a jurisdiction. Even if we are able to comply with all such laws and regulations and obtain all necessary registrations and licenses, we cannot guarantee that the herbicides, fertilizers, pesticides or other products we apply, or the manner in which we apply them, will not be alleged to cause injury to the environment, people or animals, or that such products will not be restricted or banned in certain</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1"/>
          <w:szCs w:val="11"/>
          <w:color w:val="auto"/>
        </w:rPr>
        <w:t>circumstances. A decision by a regulatory agency to significantly restrict the use of or ban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U.S. Environmental Protection Agency, or EPA, undertakes a series of</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1"/>
          <w:szCs w:val="11"/>
          <w:color w:val="auto"/>
        </w:rPr>
        <w:t>regulatory actions relating to the evaluation and use of pesticides in the food industry. Similar regulations in the EU and Asia govern the pesticide approval and use process. Actions regarding the availability and use of herbicides, fertilizers, pesticides and other agricultural products, the costs of compliance, consequences of non-compliance, remediation costs and liabilities, unfavorable public perceptions of such products or products liability lawsuits could have a material adverse effect on our business, results of operations, financial position, cash flows and reputation.</w:t>
      </w:r>
    </w:p>
    <w:p>
      <w:pPr>
        <w:spacing w:after="0" w:line="165" w:lineRule="exact"/>
        <w:rPr>
          <w:sz w:val="20"/>
          <w:szCs w:val="20"/>
          <w:color w:val="auto"/>
        </w:rPr>
      </w:pPr>
    </w:p>
    <w:p>
      <w:pPr>
        <w:ind w:firstLine="509"/>
        <w:spacing w:after="0" w:line="249" w:lineRule="auto"/>
        <w:rPr>
          <w:sz w:val="20"/>
          <w:szCs w:val="20"/>
          <w:color w:val="auto"/>
        </w:rPr>
      </w:pPr>
      <w:r>
        <w:rPr>
          <w:rFonts w:ascii="Arial" w:cs="Arial" w:eastAsia="Arial" w:hAnsi="Arial"/>
          <w:sz w:val="11"/>
          <w:szCs w:val="11"/>
          <w:color w:val="auto"/>
        </w:rPr>
        <w:t>There has been a broad range of proposed and promulgated state, national, local and international regulation aimed at reducing the effects of climate change. Such regulations apply or could apply in countries where we conduct operations or have interests or could conduct operations or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such regulation could have a material effect on our business, results of operations, financial position or capital expenditures. To the extent that climate change affects our farms, including their water supply, our ability to grow crops could be harmed.</w:t>
      </w:r>
    </w:p>
    <w:p>
      <w:pPr>
        <w:spacing w:after="0" w:line="168" w:lineRule="exact"/>
        <w:rPr>
          <w:sz w:val="20"/>
          <w:szCs w:val="20"/>
          <w:color w:val="auto"/>
        </w:rPr>
      </w:pPr>
    </w:p>
    <w:p>
      <w:pPr>
        <w:ind w:right="20" w:firstLine="509"/>
        <w:spacing w:after="0" w:line="255" w:lineRule="auto"/>
        <w:rPr>
          <w:sz w:val="20"/>
          <w:szCs w:val="20"/>
          <w:color w:val="auto"/>
        </w:rPr>
      </w:pPr>
      <w:r>
        <w:rPr>
          <w:rFonts w:ascii="Arial" w:cs="Arial" w:eastAsia="Arial" w:hAnsi="Arial"/>
          <w:sz w:val="11"/>
          <w:szCs w:val="11"/>
          <w:color w:val="auto"/>
        </w:rPr>
        <w:t>Environmental regulations and other expectations are not uniform, and may be inconsistently interpreted or applied, which can increase the complexity and costs of compliance as well as any associated litigation or enforcement risks. Many of our environmental initiatives, including disclosures, are informed by methodologies, standards, and data that continue to evolve, are subject to varying interpretations, and are often subject to factors outside of our control. As with other companies, our approach to environmental matters evolves over time as well, and we cannot guarantee that our approach will align with the expectations or preferences of any particular stakeholder.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29" w:name="page30"/>
    <w:bookmarkEnd w:id="29"/>
    <w:p>
      <w:pPr>
        <w:spacing w:after="0"/>
        <w:tabs>
          <w:tab w:leader="none" w:pos="8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repurchases of equity securities</w:t>
      </w:r>
    </w:p>
    <w:p>
      <w:pPr>
        <w:spacing w:after="0" w:line="187" w:lineRule="exact"/>
        <w:rPr>
          <w:sz w:val="20"/>
          <w:szCs w:val="20"/>
          <w:color w:val="auto"/>
        </w:rPr>
      </w:pPr>
    </w:p>
    <w:p>
      <w:pPr>
        <w:ind w:right="180" w:firstLine="509"/>
        <w:spacing w:after="0" w:line="272" w:lineRule="auto"/>
        <w:rPr>
          <w:sz w:val="20"/>
          <w:szCs w:val="20"/>
          <w:color w:val="auto"/>
        </w:rPr>
      </w:pPr>
      <w:r>
        <w:rPr>
          <w:rFonts w:ascii="Arial" w:cs="Arial" w:eastAsia="Arial" w:hAnsi="Arial"/>
          <w:sz w:val="11"/>
          <w:szCs w:val="11"/>
          <w:color w:val="auto"/>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Repurchases by us or our “affiliated purchasers” (as defined in Rule 10b-18(a)(3) of the Exchange Act) of registered equity securities during the first quarter of 2025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number of shares purchased</w:t>
            </w:r>
          </w:p>
        </w:tc>
        <w:tc>
          <w:tcPr>
            <w:tcW w:w="2200" w:type="dxa"/>
            <w:vAlign w:val="bottom"/>
            <w:gridSpan w:val="2"/>
          </w:tcPr>
          <w:p>
            <w:pPr>
              <w:jc w:val="right"/>
              <w:spacing w:after="0"/>
              <w:rPr>
                <w:sz w:val="20"/>
                <w:szCs w:val="20"/>
                <w:color w:val="auto"/>
              </w:rPr>
            </w:pPr>
            <w:r>
              <w:rPr>
                <w:rFonts w:ascii="Arial" w:cs="Arial" w:eastAsia="Arial" w:hAnsi="Arial"/>
                <w:sz w:val="11"/>
                <w:szCs w:val="11"/>
                <w:b w:val="1"/>
                <w:bCs w:val="1"/>
                <w:color w:val="auto"/>
              </w:rPr>
              <w:t>Approximate dollar value of shares that</w:t>
            </w:r>
          </w:p>
        </w:tc>
        <w:tc>
          <w:tcPr>
            <w:tcW w:w="0" w:type="dxa"/>
            <w:vAlign w:val="bottom"/>
          </w:tcPr>
          <w:p>
            <w:pPr>
              <w:spacing w:after="0"/>
              <w:rPr>
                <w:sz w:val="1"/>
                <w:szCs w:val="1"/>
                <w:color w:val="auto"/>
              </w:rPr>
            </w:pPr>
          </w:p>
        </w:tc>
      </w:tr>
      <w:tr>
        <w:trPr>
          <w:trHeight w:val="127"/>
        </w:trPr>
        <w:tc>
          <w:tcPr>
            <w:tcW w:w="22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Pr>
          <w:p>
            <w:pPr>
              <w:jc w:val="right"/>
              <w:spacing w:after="0"/>
              <w:rPr>
                <w:sz w:val="20"/>
                <w:szCs w:val="20"/>
                <w:color w:val="auto"/>
              </w:rPr>
            </w:pPr>
            <w:r>
              <w:rPr>
                <w:rFonts w:ascii="Arial" w:cs="Arial" w:eastAsia="Arial" w:hAnsi="Arial"/>
                <w:sz w:val="11"/>
                <w:szCs w:val="11"/>
                <w:b w:val="1"/>
                <w:bCs w:val="1"/>
                <w:color w:val="auto"/>
              </w:rPr>
              <w:t>may yet be purchased under the plan</w:t>
            </w:r>
          </w:p>
        </w:tc>
        <w:tc>
          <w:tcPr>
            <w:tcW w:w="0" w:type="dxa"/>
            <w:vAlign w:val="bottom"/>
          </w:tcPr>
          <w:p>
            <w:pPr>
              <w:spacing w:after="0"/>
              <w:rPr>
                <w:sz w:val="1"/>
                <w:szCs w:val="1"/>
                <w:color w:val="auto"/>
              </w:rPr>
            </w:pPr>
          </w:p>
        </w:tc>
      </w:tr>
      <w:tr>
        <w:trPr>
          <w:trHeight w:val="160"/>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Period</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 number of shares purchased</w:t>
            </w: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Average price paid per share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as part of publicly announced plan</w:t>
            </w: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68"/>
        </w:trPr>
        <w:tc>
          <w:tcPr>
            <w:tcW w:w="2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January 1- 31, 2025</w:t>
            </w:r>
          </w:p>
        </w:tc>
        <w:tc>
          <w:tcPr>
            <w:tcW w:w="3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25,000</w:t>
            </w:r>
          </w:p>
        </w:tc>
        <w:tc>
          <w:tcPr>
            <w:tcW w:w="16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1"/>
                <w:szCs w:val="11"/>
                <w:color w:val="auto"/>
                <w:w w:val="97"/>
              </w:rPr>
              <w:t>$</w:t>
            </w:r>
          </w:p>
        </w:tc>
        <w:tc>
          <w:tcPr>
            <w:tcW w:w="172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12.37</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25,000</w:t>
            </w:r>
          </w:p>
        </w:tc>
        <w:tc>
          <w:tcPr>
            <w:tcW w:w="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w w:val="97"/>
              </w:rPr>
              <w:t>$</w:t>
            </w:r>
          </w:p>
        </w:tc>
        <w:tc>
          <w:tcPr>
            <w:tcW w:w="2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189" w:lineRule="exact"/>
        <w:rPr>
          <w:sz w:val="20"/>
          <w:szCs w:val="20"/>
          <w:color w:val="auto"/>
        </w:rPr>
      </w:pPr>
    </w:p>
    <w:p>
      <w:pPr>
        <w:ind w:right="300" w:firstLine="509"/>
        <w:spacing w:after="0" w:line="303" w:lineRule="auto"/>
        <w:rPr>
          <w:sz w:val="20"/>
          <w:szCs w:val="20"/>
          <w:color w:val="auto"/>
        </w:rPr>
      </w:pPr>
      <w:r>
        <w:rPr>
          <w:rFonts w:ascii="Arial" w:cs="Arial" w:eastAsia="Arial" w:hAnsi="Arial"/>
          <w:sz w:val="11"/>
          <w:szCs w:val="11"/>
          <w:color w:val="auto"/>
        </w:rPr>
        <w:t>During the fiscal quarter ended January 31, 2025, no director or officer of the Company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5"/>
        </w:trPr>
        <w:tc>
          <w:tcPr>
            <w:tcW w:w="520" w:type="dxa"/>
            <w:vAlign w:val="bottom"/>
          </w:tcPr>
          <w:p>
            <w:pPr>
              <w:spacing w:after="0"/>
              <w:rPr>
                <w:sz w:val="20"/>
                <w:szCs w:val="20"/>
                <w:color w:val="auto"/>
              </w:rPr>
            </w:pPr>
            <w:r>
              <w:rPr>
                <w:rFonts w:ascii="Arial" w:cs="Arial" w:eastAsia="Arial" w:hAnsi="Arial"/>
                <w:sz w:val="16"/>
                <w:szCs w:val="16"/>
                <w:b w:val="1"/>
                <w:bCs w:val="1"/>
                <w:color w:val="auto"/>
                <w:w w:val="98"/>
              </w:rPr>
              <w:t>Item 6.</w:t>
            </w:r>
          </w:p>
        </w:tc>
        <w:tc>
          <w:tcPr>
            <w:tcW w:w="1000" w:type="dxa"/>
            <w:vAlign w:val="bottom"/>
          </w:tcPr>
          <w:p>
            <w:pPr>
              <w:ind w:left="320"/>
              <w:spacing w:after="0"/>
              <w:rPr>
                <w:sz w:val="20"/>
                <w:szCs w:val="20"/>
                <w:color w:val="auto"/>
              </w:rPr>
            </w:pPr>
            <w:r>
              <w:rPr>
                <w:rFonts w:ascii="Arial" w:cs="Arial" w:eastAsia="Arial" w:hAnsi="Arial"/>
                <w:sz w:val="16"/>
                <w:szCs w:val="16"/>
                <w:b w:val="1"/>
                <w:bCs w:val="1"/>
                <w:color w:val="auto"/>
              </w:rPr>
              <w:t>Exhibits</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7"/>
        </w:trPr>
        <w:tc>
          <w:tcPr>
            <w:tcW w:w="520" w:type="dxa"/>
            <w:vAlign w:val="bottom"/>
          </w:tcPr>
          <w:p>
            <w:pPr>
              <w:spacing w:after="0"/>
              <w:rPr>
                <w:sz w:val="24"/>
                <w:szCs w:val="24"/>
                <w:color w:val="auto"/>
              </w:rPr>
            </w:pPr>
          </w:p>
        </w:tc>
        <w:tc>
          <w:tcPr>
            <w:tcW w:w="7120" w:type="dxa"/>
            <w:vAlign w:val="bottom"/>
            <w:gridSpan w:val="11"/>
          </w:tcPr>
          <w:p>
            <w:pPr>
              <w:spacing w:after="0"/>
              <w:rPr>
                <w:sz w:val="20"/>
                <w:szCs w:val="20"/>
                <w:color w:val="auto"/>
              </w:rPr>
            </w:pPr>
            <w:r>
              <w:rPr>
                <w:rFonts w:ascii="Arial" w:cs="Arial" w:eastAsia="Arial" w:hAnsi="Arial"/>
                <w:sz w:val="11"/>
                <w:szCs w:val="11"/>
                <w:color w:val="auto"/>
              </w:rPr>
              <w:t>The documents set forth are filed herewith or incorporated herein by reference.</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7"/>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INDEX</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75"/>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Incorporated by Reference</w:t>
            </w: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113"/>
        </w:trPr>
        <w:tc>
          <w:tcPr>
            <w:tcW w:w="520" w:type="dxa"/>
            <w:vAlign w:val="bottom"/>
          </w:tcPr>
          <w:p>
            <w:pPr>
              <w:spacing w:after="0"/>
              <w:rPr>
                <w:sz w:val="9"/>
                <w:szCs w:val="9"/>
                <w:color w:val="auto"/>
              </w:rPr>
            </w:pPr>
          </w:p>
        </w:tc>
        <w:tc>
          <w:tcPr>
            <w:tcW w:w="1000" w:type="dxa"/>
            <w:vAlign w:val="bottom"/>
          </w:tcPr>
          <w:p>
            <w:pPr>
              <w:ind w:left="200"/>
              <w:spacing w:after="0" w:line="113" w:lineRule="exact"/>
              <w:rPr>
                <w:sz w:val="20"/>
                <w:szCs w:val="20"/>
                <w:color w:val="auto"/>
              </w:rPr>
            </w:pPr>
            <w:r>
              <w:rPr>
                <w:rFonts w:ascii="Arial" w:cs="Arial" w:eastAsia="Arial" w:hAnsi="Arial"/>
                <w:sz w:val="10"/>
                <w:szCs w:val="10"/>
                <w:b w:val="1"/>
                <w:bCs w:val="1"/>
                <w:color w:val="auto"/>
              </w:rPr>
              <w:t>Exhibit No.</w:t>
            </w:r>
          </w:p>
        </w:tc>
        <w:tc>
          <w:tcPr>
            <w:tcW w:w="1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ind w:left="480"/>
              <w:spacing w:after="0" w:line="113" w:lineRule="exact"/>
              <w:rPr>
                <w:sz w:val="20"/>
                <w:szCs w:val="20"/>
                <w:color w:val="auto"/>
              </w:rPr>
            </w:pPr>
            <w:r>
              <w:rPr>
                <w:rFonts w:ascii="Arial" w:cs="Arial" w:eastAsia="Arial" w:hAnsi="Arial"/>
                <w:sz w:val="10"/>
                <w:szCs w:val="10"/>
                <w:b w:val="1"/>
                <w:bCs w:val="1"/>
                <w:color w:val="auto"/>
                <w:w w:val="92"/>
              </w:rPr>
              <w:t>File</w:t>
            </w:r>
          </w:p>
        </w:tc>
      </w:tr>
      <w:tr>
        <w:trPr>
          <w:trHeight w:val="144"/>
        </w:trPr>
        <w:tc>
          <w:tcPr>
            <w:tcW w:w="5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gridSpan w:val="8"/>
          </w:tcPr>
          <w:p>
            <w:pPr>
              <w:ind w:left="320"/>
              <w:spacing w:after="0"/>
              <w:rPr>
                <w:sz w:val="20"/>
                <w:szCs w:val="20"/>
                <w:color w:val="auto"/>
              </w:rPr>
            </w:pPr>
            <w:r>
              <w:rPr>
                <w:rFonts w:ascii="Arial" w:cs="Arial" w:eastAsia="Arial" w:hAnsi="Arial"/>
                <w:sz w:val="10"/>
                <w:szCs w:val="10"/>
                <w:b w:val="1"/>
                <w:bCs w:val="1"/>
                <w:color w:val="auto"/>
              </w:rPr>
              <w:t>Exhibit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Form</w:t>
            </w: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Date</w:t>
            </w:r>
          </w:p>
        </w:tc>
        <w:tc>
          <w:tcPr>
            <w:tcW w:w="780" w:type="dxa"/>
            <w:vAlign w:val="bottom"/>
            <w:tcBorders>
              <w:bottom w:val="single" w:sz="8" w:color="auto"/>
            </w:tcBorders>
          </w:tcPr>
          <w:p>
            <w:pPr>
              <w:jc w:val="center"/>
              <w:ind w:right="131"/>
              <w:spacing w:after="0"/>
              <w:rPr>
                <w:sz w:val="20"/>
                <w:szCs w:val="20"/>
                <w:color w:val="auto"/>
              </w:rPr>
            </w:pPr>
            <w:r>
              <w:rPr>
                <w:rFonts w:ascii="Arial" w:cs="Arial" w:eastAsia="Arial" w:hAnsi="Arial"/>
                <w:sz w:val="10"/>
                <w:szCs w:val="10"/>
                <w:b w:val="1"/>
                <w:bCs w:val="1"/>
                <w:color w:val="auto"/>
                <w:w w:val="95"/>
              </w:rPr>
              <w:t>Number</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0"/>
                <w:szCs w:val="10"/>
                <w:b w:val="1"/>
                <w:bCs w:val="1"/>
                <w:color w:val="auto"/>
                <w:w w:val="86"/>
              </w:rPr>
              <w:t>Herew</w:t>
            </w:r>
          </w:p>
        </w:tc>
      </w:tr>
      <w:tr>
        <w:trPr>
          <w:trHeight w:val="138"/>
        </w:trPr>
        <w:tc>
          <w:tcPr>
            <w:tcW w:w="520" w:type="dxa"/>
            <w:vAlign w:val="bottom"/>
          </w:tcPr>
          <w:p>
            <w:pPr>
              <w:spacing w:after="0"/>
              <w:rPr>
                <w:sz w:val="12"/>
                <w:szCs w:val="12"/>
                <w:color w:val="auto"/>
              </w:rPr>
            </w:pPr>
          </w:p>
        </w:tc>
        <w:tc>
          <w:tcPr>
            <w:tcW w:w="100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0"/>
                <w:szCs w:val="10"/>
                <w:color w:val="auto"/>
              </w:rPr>
              <w:t>3.1</w:t>
            </w:r>
          </w:p>
        </w:tc>
        <w:tc>
          <w:tcPr>
            <w:tcW w:w="2240" w:type="dxa"/>
            <w:vAlign w:val="bottom"/>
            <w:tcBorders>
              <w:bottom w:val="single" w:sz="8" w:color="auto"/>
            </w:tcBorders>
            <w:gridSpan w:val="2"/>
            <w:shd w:val="clear" w:color="auto" w:fill="DBDBDB"/>
          </w:tcPr>
          <w:p>
            <w:pPr>
              <w:spacing w:after="0"/>
              <w:rPr>
                <w:rFonts w:ascii="Arial" w:cs="Arial" w:eastAsia="Arial" w:hAnsi="Arial"/>
                <w:sz w:val="10"/>
                <w:szCs w:val="10"/>
                <w:color w:val="auto"/>
                <w:w w:val="98"/>
              </w:rPr>
            </w:pPr>
            <w:hyperlink r:id="rId50">
              <w:r>
                <w:rPr>
                  <w:rFonts w:ascii="Arial" w:cs="Arial" w:eastAsia="Arial" w:hAnsi="Arial"/>
                  <w:sz w:val="10"/>
                  <w:szCs w:val="10"/>
                  <w:color w:val="auto"/>
                  <w:w w:val="98"/>
                </w:rPr>
                <w:t>Amended and Restated Certificate of Incorporation</w:t>
              </w:r>
            </w:hyperlink>
          </w:p>
        </w:tc>
        <w:tc>
          <w:tcPr>
            <w:tcW w:w="3880" w:type="dxa"/>
            <w:vAlign w:val="bottom"/>
            <w:tcBorders>
              <w:bottom w:val="single" w:sz="8" w:color="DBDBDB"/>
            </w:tcBorders>
            <w:gridSpan w:val="8"/>
            <w:shd w:val="clear" w:color="auto" w:fill="DBDBDB"/>
          </w:tcPr>
          <w:p>
            <w:pPr>
              <w:spacing w:after="0"/>
              <w:rPr>
                <w:sz w:val="12"/>
                <w:szCs w:val="12"/>
                <w:color w:val="auto"/>
              </w:rPr>
            </w:pPr>
          </w:p>
        </w:tc>
        <w:tc>
          <w:tcPr>
            <w:tcW w:w="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rPr>
              <w:t>8-K</w:t>
            </w:r>
          </w:p>
        </w:tc>
        <w:tc>
          <w:tcPr>
            <w:tcW w:w="1580" w:type="dxa"/>
            <w:vAlign w:val="bottom"/>
            <w:tcBorders>
              <w:bottom w:val="single" w:sz="8" w:color="DBDBDB"/>
            </w:tcBorders>
            <w:shd w:val="clear" w:color="auto" w:fill="DBDBDB"/>
          </w:tcPr>
          <w:p>
            <w:pPr>
              <w:jc w:val="center"/>
              <w:ind w:right="131"/>
              <w:spacing w:after="0"/>
              <w:rPr>
                <w:sz w:val="20"/>
                <w:szCs w:val="20"/>
                <w:color w:val="auto"/>
              </w:rPr>
            </w:pPr>
            <w:r>
              <w:rPr>
                <w:rFonts w:ascii="Arial" w:cs="Arial" w:eastAsia="Arial" w:hAnsi="Arial"/>
                <w:sz w:val="10"/>
                <w:szCs w:val="10"/>
                <w:color w:val="auto"/>
                <w:w w:val="98"/>
              </w:rPr>
              <w:t>10/7/2020</w:t>
            </w:r>
          </w:p>
        </w:tc>
        <w:tc>
          <w:tcPr>
            <w:tcW w:w="78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0"/>
                <w:szCs w:val="10"/>
                <w:color w:val="auto"/>
              </w:rPr>
              <w:t>3.2</w:t>
            </w:r>
          </w:p>
        </w:tc>
        <w:tc>
          <w:tcPr>
            <w:tcW w:w="660" w:type="dxa"/>
            <w:vAlign w:val="bottom"/>
            <w:tcBorders>
              <w:bottom w:val="single" w:sz="8" w:color="DBDBDB"/>
            </w:tcBorders>
            <w:shd w:val="clear" w:color="auto" w:fill="DBDBDB"/>
          </w:tcPr>
          <w:p>
            <w:pPr>
              <w:spacing w:after="0"/>
              <w:rPr>
                <w:sz w:val="12"/>
                <w:szCs w:val="12"/>
                <w:color w:val="auto"/>
              </w:rPr>
            </w:pPr>
          </w:p>
        </w:tc>
      </w:tr>
      <w:tr>
        <w:trPr>
          <w:trHeight w:val="117"/>
        </w:trPr>
        <w:tc>
          <w:tcPr>
            <w:tcW w:w="520" w:type="dxa"/>
            <w:vAlign w:val="bottom"/>
          </w:tcPr>
          <w:p>
            <w:pPr>
              <w:spacing w:after="0"/>
              <w:rPr>
                <w:sz w:val="10"/>
                <w:szCs w:val="10"/>
                <w:color w:val="auto"/>
              </w:rPr>
            </w:pPr>
          </w:p>
        </w:tc>
        <w:tc>
          <w:tcPr>
            <w:tcW w:w="1000" w:type="dxa"/>
            <w:vAlign w:val="bottom"/>
          </w:tcPr>
          <w:p>
            <w:pPr>
              <w:jc w:val="center"/>
              <w:ind w:right="48"/>
              <w:spacing w:after="0"/>
              <w:rPr>
                <w:sz w:val="20"/>
                <w:szCs w:val="20"/>
                <w:color w:val="auto"/>
              </w:rPr>
            </w:pPr>
            <w:r>
              <w:rPr>
                <w:rFonts w:ascii="Arial" w:cs="Arial" w:eastAsia="Arial" w:hAnsi="Arial"/>
                <w:sz w:val="10"/>
                <w:szCs w:val="10"/>
                <w:color w:val="auto"/>
              </w:rPr>
              <w:t>3.2</w:t>
            </w:r>
          </w:p>
        </w:tc>
        <w:tc>
          <w:tcPr>
            <w:tcW w:w="6120" w:type="dxa"/>
            <w:vAlign w:val="bottom"/>
            <w:gridSpan w:val="10"/>
          </w:tcPr>
          <w:p>
            <w:pPr>
              <w:spacing w:after="0"/>
              <w:rPr>
                <w:rFonts w:ascii="Arial" w:cs="Arial" w:eastAsia="Arial" w:hAnsi="Arial"/>
                <w:sz w:val="10"/>
                <w:szCs w:val="10"/>
                <w:color w:val="auto"/>
              </w:rPr>
            </w:pPr>
            <w:hyperlink r:id="rId51">
              <w:r>
                <w:rPr>
                  <w:rFonts w:ascii="Arial" w:cs="Arial" w:eastAsia="Arial" w:hAnsi="Arial"/>
                  <w:sz w:val="10"/>
                  <w:szCs w:val="10"/>
                  <w:color w:val="auto"/>
                </w:rPr>
                <w:t>Amendment to Amended and Restated Certificate of Incorporation</w:t>
              </w:r>
            </w:hyperlink>
          </w:p>
        </w:tc>
        <w:tc>
          <w:tcPr>
            <w:tcW w:w="700" w:type="dxa"/>
            <w:vAlign w:val="bottom"/>
          </w:tcPr>
          <w:p>
            <w:pPr>
              <w:jc w:val="center"/>
              <w:spacing w:after="0"/>
              <w:rPr>
                <w:sz w:val="20"/>
                <w:szCs w:val="20"/>
                <w:color w:val="auto"/>
              </w:rPr>
            </w:pPr>
            <w:r>
              <w:rPr>
                <w:rFonts w:ascii="Arial" w:cs="Arial" w:eastAsia="Arial" w:hAnsi="Arial"/>
                <w:sz w:val="10"/>
                <w:szCs w:val="10"/>
                <w:color w:val="auto"/>
                <w:w w:val="98"/>
              </w:rPr>
              <w:t>10-Q</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7"/>
              </w:rPr>
              <w:t>6/8/2024</w:t>
            </w:r>
          </w:p>
        </w:tc>
        <w:tc>
          <w:tcPr>
            <w:tcW w:w="780" w:type="dxa"/>
            <w:vAlign w:val="bottom"/>
          </w:tcPr>
          <w:p>
            <w:pPr>
              <w:jc w:val="center"/>
              <w:ind w:right="111"/>
              <w:spacing w:after="0"/>
              <w:rPr>
                <w:sz w:val="20"/>
                <w:szCs w:val="20"/>
                <w:color w:val="auto"/>
              </w:rPr>
            </w:pPr>
            <w:r>
              <w:rPr>
                <w:rFonts w:ascii="Arial" w:cs="Arial" w:eastAsia="Arial" w:hAnsi="Arial"/>
                <w:sz w:val="10"/>
                <w:szCs w:val="10"/>
                <w:color w:val="auto"/>
              </w:rPr>
              <w:t>3.2</w:t>
            </w:r>
          </w:p>
        </w:tc>
        <w:tc>
          <w:tcPr>
            <w:tcW w:w="660" w:type="dxa"/>
            <w:vAlign w:val="bottom"/>
          </w:tcPr>
          <w:p>
            <w:pPr>
              <w:spacing w:after="0"/>
              <w:rPr>
                <w:sz w:val="10"/>
                <w:szCs w:val="10"/>
                <w:color w:val="auto"/>
              </w:rPr>
            </w:pPr>
          </w:p>
        </w:tc>
      </w:tr>
      <w:tr>
        <w:trPr>
          <w:trHeight w:val="22"/>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17"/>
        </w:trPr>
        <w:tc>
          <w:tcPr>
            <w:tcW w:w="520" w:type="dxa"/>
            <w:vAlign w:val="bottom"/>
          </w:tcPr>
          <w:p>
            <w:pPr>
              <w:spacing w:after="0"/>
              <w:rPr>
                <w:sz w:val="10"/>
                <w:szCs w:val="10"/>
                <w:color w:val="auto"/>
              </w:rPr>
            </w:pPr>
          </w:p>
        </w:tc>
        <w:tc>
          <w:tcPr>
            <w:tcW w:w="1000" w:type="dxa"/>
            <w:vAlign w:val="bottom"/>
            <w:shd w:val="clear" w:color="auto" w:fill="DBDBDB"/>
          </w:tcPr>
          <w:p>
            <w:pPr>
              <w:jc w:val="center"/>
              <w:ind w:right="48"/>
              <w:spacing w:after="0"/>
              <w:rPr>
                <w:sz w:val="20"/>
                <w:szCs w:val="20"/>
                <w:color w:val="auto"/>
              </w:rPr>
            </w:pPr>
            <w:r>
              <w:rPr>
                <w:rFonts w:ascii="Arial" w:cs="Arial" w:eastAsia="Arial" w:hAnsi="Arial"/>
                <w:sz w:val="10"/>
                <w:szCs w:val="10"/>
                <w:color w:val="auto"/>
              </w:rPr>
              <w:t>3.3</w:t>
            </w:r>
          </w:p>
        </w:tc>
        <w:tc>
          <w:tcPr>
            <w:tcW w:w="6120" w:type="dxa"/>
            <w:vAlign w:val="bottom"/>
            <w:gridSpan w:val="10"/>
            <w:shd w:val="clear" w:color="auto" w:fill="DBDBDB"/>
          </w:tcPr>
          <w:p>
            <w:pPr>
              <w:spacing w:after="0"/>
              <w:rPr>
                <w:rFonts w:ascii="Arial" w:cs="Arial" w:eastAsia="Arial" w:hAnsi="Arial"/>
                <w:sz w:val="10"/>
                <w:szCs w:val="10"/>
                <w:color w:val="auto"/>
              </w:rPr>
            </w:pPr>
            <w:hyperlink r:id="rId52">
              <w:r>
                <w:rPr>
                  <w:rFonts w:ascii="Arial" w:cs="Arial" w:eastAsia="Arial" w:hAnsi="Arial"/>
                  <w:sz w:val="10"/>
                  <w:szCs w:val="10"/>
                  <w:color w:val="auto"/>
                </w:rPr>
                <w:t>Amended and Restated Bylaws</w:t>
              </w:r>
            </w:hyperlink>
          </w:p>
        </w:tc>
        <w:tc>
          <w:tcPr>
            <w:tcW w:w="70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8-K</w:t>
            </w:r>
          </w:p>
        </w:tc>
        <w:tc>
          <w:tcPr>
            <w:tcW w:w="1580" w:type="dxa"/>
            <w:vAlign w:val="bottom"/>
            <w:shd w:val="clear" w:color="auto" w:fill="DBDBDB"/>
          </w:tcPr>
          <w:p>
            <w:pPr>
              <w:jc w:val="center"/>
              <w:ind w:right="131"/>
              <w:spacing w:after="0"/>
              <w:rPr>
                <w:sz w:val="20"/>
                <w:szCs w:val="20"/>
                <w:color w:val="auto"/>
              </w:rPr>
            </w:pPr>
            <w:r>
              <w:rPr>
                <w:rFonts w:ascii="Arial" w:cs="Arial" w:eastAsia="Arial" w:hAnsi="Arial"/>
                <w:sz w:val="10"/>
                <w:szCs w:val="10"/>
                <w:color w:val="auto"/>
                <w:w w:val="98"/>
              </w:rPr>
              <w:t>10/7/2020</w:t>
            </w:r>
          </w:p>
        </w:tc>
        <w:tc>
          <w:tcPr>
            <w:tcW w:w="780" w:type="dxa"/>
            <w:vAlign w:val="bottom"/>
            <w:shd w:val="clear" w:color="auto" w:fill="DBDBDB"/>
          </w:tcPr>
          <w:p>
            <w:pPr>
              <w:jc w:val="center"/>
              <w:ind w:right="111"/>
              <w:spacing w:after="0"/>
              <w:rPr>
                <w:sz w:val="20"/>
                <w:szCs w:val="20"/>
                <w:color w:val="auto"/>
              </w:rPr>
            </w:pPr>
            <w:r>
              <w:rPr>
                <w:rFonts w:ascii="Arial" w:cs="Arial" w:eastAsia="Arial" w:hAnsi="Arial"/>
                <w:sz w:val="10"/>
                <w:szCs w:val="10"/>
                <w:color w:val="auto"/>
              </w:rPr>
              <w:t>3.2</w:t>
            </w:r>
          </w:p>
        </w:tc>
        <w:tc>
          <w:tcPr>
            <w:tcW w:w="660" w:type="dxa"/>
            <w:vAlign w:val="bottom"/>
            <w:shd w:val="clear" w:color="auto" w:fill="DBDBDB"/>
          </w:tcPr>
          <w:p>
            <w:pPr>
              <w:spacing w:after="0"/>
              <w:rPr>
                <w:sz w:val="10"/>
                <w:szCs w:val="10"/>
                <w:color w:val="auto"/>
              </w:rPr>
            </w:pPr>
          </w:p>
        </w:tc>
      </w:tr>
      <w:tr>
        <w:trPr>
          <w:trHeight w:val="22"/>
        </w:trPr>
        <w:tc>
          <w:tcPr>
            <w:tcW w:w="520" w:type="dxa"/>
            <w:vAlign w:val="bottom"/>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380" w:type="dxa"/>
            <w:vAlign w:val="bottom"/>
            <w:tcBorders>
              <w:top w:val="single" w:sz="8" w:color="auto"/>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48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158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r>
      <w:tr>
        <w:trPr>
          <w:trHeight w:val="117"/>
        </w:trPr>
        <w:tc>
          <w:tcPr>
            <w:tcW w:w="520" w:type="dxa"/>
            <w:vAlign w:val="bottom"/>
          </w:tcPr>
          <w:p>
            <w:pPr>
              <w:spacing w:after="0"/>
              <w:rPr>
                <w:sz w:val="10"/>
                <w:szCs w:val="10"/>
                <w:color w:val="auto"/>
              </w:rPr>
            </w:pPr>
          </w:p>
        </w:tc>
        <w:tc>
          <w:tcPr>
            <w:tcW w:w="1000" w:type="dxa"/>
            <w:vAlign w:val="bottom"/>
          </w:tcPr>
          <w:p>
            <w:pPr>
              <w:jc w:val="center"/>
              <w:ind w:right="48"/>
              <w:spacing w:after="0"/>
              <w:rPr>
                <w:sz w:val="20"/>
                <w:szCs w:val="20"/>
                <w:color w:val="auto"/>
              </w:rPr>
            </w:pPr>
            <w:r>
              <w:rPr>
                <w:rFonts w:ascii="Arial" w:cs="Arial" w:eastAsia="Arial" w:hAnsi="Arial"/>
                <w:sz w:val="10"/>
                <w:szCs w:val="10"/>
                <w:color w:val="auto"/>
                <w:w w:val="97"/>
              </w:rPr>
              <w:t>10.18+</w:t>
            </w:r>
          </w:p>
        </w:tc>
        <w:tc>
          <w:tcPr>
            <w:tcW w:w="6120" w:type="dxa"/>
            <w:vAlign w:val="bottom"/>
            <w:gridSpan w:val="10"/>
          </w:tcPr>
          <w:p>
            <w:pPr>
              <w:spacing w:after="0"/>
              <w:rPr>
                <w:sz w:val="20"/>
                <w:szCs w:val="20"/>
                <w:color w:val="auto"/>
              </w:rPr>
            </w:pPr>
            <w:r>
              <w:rPr>
                <w:rFonts w:ascii="Arial" w:cs="Arial" w:eastAsia="Arial" w:hAnsi="Arial"/>
                <w:sz w:val="10"/>
                <w:szCs w:val="10"/>
                <w:color w:val="auto"/>
              </w:rPr>
              <w:t>Amended and Restated Non-Employee Director Compensation Program</w:t>
            </w:r>
          </w:p>
        </w:tc>
        <w:tc>
          <w:tcPr>
            <w:tcW w:w="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560"/>
              <w:spacing w:after="0"/>
              <w:rPr>
                <w:sz w:val="20"/>
                <w:szCs w:val="20"/>
                <w:color w:val="auto"/>
              </w:rPr>
            </w:pPr>
            <w:r>
              <w:rPr>
                <w:rFonts w:ascii="Arial" w:cs="Arial" w:eastAsia="Arial" w:hAnsi="Arial"/>
                <w:sz w:val="10"/>
                <w:szCs w:val="10"/>
                <w:color w:val="auto"/>
              </w:rPr>
              <w:t>X</w:t>
            </w:r>
          </w:p>
        </w:tc>
      </w:tr>
      <w:tr>
        <w:trPr>
          <w:trHeight w:val="22"/>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17"/>
        </w:trPr>
        <w:tc>
          <w:tcPr>
            <w:tcW w:w="520" w:type="dxa"/>
            <w:vAlign w:val="bottom"/>
          </w:tcPr>
          <w:p>
            <w:pPr>
              <w:spacing w:after="0"/>
              <w:rPr>
                <w:sz w:val="10"/>
                <w:szCs w:val="10"/>
                <w:color w:val="auto"/>
              </w:rPr>
            </w:pPr>
          </w:p>
        </w:tc>
        <w:tc>
          <w:tcPr>
            <w:tcW w:w="1000" w:type="dxa"/>
            <w:vAlign w:val="bottom"/>
            <w:shd w:val="clear" w:color="auto" w:fill="DBDBDB"/>
          </w:tcPr>
          <w:p>
            <w:pPr>
              <w:jc w:val="center"/>
              <w:ind w:right="48"/>
              <w:spacing w:after="0"/>
              <w:rPr>
                <w:sz w:val="20"/>
                <w:szCs w:val="20"/>
                <w:color w:val="auto"/>
              </w:rPr>
            </w:pPr>
            <w:r>
              <w:rPr>
                <w:rFonts w:ascii="Arial" w:cs="Arial" w:eastAsia="Arial" w:hAnsi="Arial"/>
                <w:sz w:val="10"/>
                <w:szCs w:val="10"/>
                <w:color w:val="auto"/>
                <w:w w:val="94"/>
              </w:rPr>
              <w:t>31.1*</w:t>
            </w:r>
          </w:p>
        </w:tc>
        <w:tc>
          <w:tcPr>
            <w:tcW w:w="6120" w:type="dxa"/>
            <w:vAlign w:val="bottom"/>
            <w:gridSpan w:val="10"/>
            <w:shd w:val="clear" w:color="auto" w:fill="DBDBDB"/>
          </w:tcPr>
          <w:p>
            <w:pPr>
              <w:spacing w:after="0"/>
              <w:rPr>
                <w:sz w:val="20"/>
                <w:szCs w:val="20"/>
                <w:color w:val="auto"/>
              </w:rPr>
            </w:pPr>
            <w:r>
              <w:rPr>
                <w:rFonts w:ascii="Arial" w:cs="Arial" w:eastAsia="Arial" w:hAnsi="Arial"/>
                <w:sz w:val="10"/>
                <w:szCs w:val="10"/>
                <w:color w:val="auto"/>
              </w:rPr>
              <w:t>Certification of Principal Executive Officer Pursuant to Rules 13a-14(a) and 15d-14(a) under the Securities Exchange Act of 1934, as</w:t>
            </w:r>
          </w:p>
        </w:tc>
        <w:tc>
          <w:tcPr>
            <w:tcW w:w="700" w:type="dxa"/>
            <w:vAlign w:val="bottom"/>
            <w:shd w:val="clear" w:color="auto" w:fill="DBDBDB"/>
          </w:tcPr>
          <w:p>
            <w:pPr>
              <w:spacing w:after="0"/>
              <w:rPr>
                <w:sz w:val="10"/>
                <w:szCs w:val="10"/>
                <w:color w:val="auto"/>
              </w:rPr>
            </w:pPr>
          </w:p>
        </w:tc>
        <w:tc>
          <w:tcPr>
            <w:tcW w:w="158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660" w:type="dxa"/>
            <w:vAlign w:val="bottom"/>
            <w:shd w:val="clear" w:color="auto" w:fill="DBDBDB"/>
          </w:tcPr>
          <w:p>
            <w:pPr>
              <w:ind w:left="560"/>
              <w:spacing w:after="0"/>
              <w:rPr>
                <w:sz w:val="20"/>
                <w:szCs w:val="20"/>
                <w:color w:val="auto"/>
              </w:rPr>
            </w:pPr>
            <w:r>
              <w:rPr>
                <w:rFonts w:ascii="Arial" w:cs="Arial" w:eastAsia="Arial" w:hAnsi="Arial"/>
                <w:sz w:val="10"/>
                <w:szCs w:val="10"/>
                <w:color w:val="auto"/>
              </w:rPr>
              <w:t>X</w:t>
            </w:r>
          </w:p>
        </w:tc>
      </w:tr>
      <w:tr>
        <w:trPr>
          <w:trHeight w:val="119"/>
        </w:trPr>
        <w:tc>
          <w:tcPr>
            <w:tcW w:w="520" w:type="dxa"/>
            <w:vAlign w:val="bottom"/>
          </w:tcPr>
          <w:p>
            <w:pPr>
              <w:spacing w:after="0"/>
              <w:rPr>
                <w:sz w:val="10"/>
                <w:szCs w:val="10"/>
                <w:color w:val="auto"/>
              </w:rPr>
            </w:pPr>
          </w:p>
        </w:tc>
        <w:tc>
          <w:tcPr>
            <w:tcW w:w="1000" w:type="dxa"/>
            <w:vAlign w:val="bottom"/>
            <w:tcBorders>
              <w:top w:val="single" w:sz="8" w:color="DBDBDB"/>
              <w:bottom w:val="single" w:sz="8" w:color="DBDBDB"/>
            </w:tcBorders>
            <w:shd w:val="clear" w:color="auto" w:fill="DBDBDB"/>
          </w:tcPr>
          <w:p>
            <w:pPr>
              <w:spacing w:after="0"/>
              <w:rPr>
                <w:sz w:val="10"/>
                <w:szCs w:val="10"/>
                <w:color w:val="auto"/>
              </w:rPr>
            </w:pPr>
          </w:p>
        </w:tc>
        <w:tc>
          <w:tcPr>
            <w:tcW w:w="3000" w:type="dxa"/>
            <w:vAlign w:val="bottom"/>
            <w:tcBorders>
              <w:top w:val="single" w:sz="8" w:color="auto"/>
              <w:bottom w:val="single" w:sz="8" w:color="auto"/>
            </w:tcBorders>
            <w:gridSpan w:val="4"/>
            <w:shd w:val="clear" w:color="auto" w:fill="DBDBDB"/>
          </w:tcPr>
          <w:p>
            <w:pPr>
              <w:spacing w:after="0" w:line="97" w:lineRule="exact"/>
              <w:rPr>
                <w:sz w:val="20"/>
                <w:szCs w:val="20"/>
                <w:color w:val="auto"/>
              </w:rPr>
            </w:pPr>
            <w:r>
              <w:rPr>
                <w:rFonts w:ascii="Arial" w:cs="Arial" w:eastAsia="Arial" w:hAnsi="Arial"/>
                <w:sz w:val="10"/>
                <w:szCs w:val="10"/>
                <w:color w:val="auto"/>
                <w:w w:val="98"/>
              </w:rPr>
              <w:t>Adopted Pursuant to Section 302 of the Sarbanes-Oxley Act of 2002</w:t>
            </w:r>
          </w:p>
        </w:tc>
        <w:tc>
          <w:tcPr>
            <w:tcW w:w="2800" w:type="dxa"/>
            <w:vAlign w:val="bottom"/>
            <w:tcBorders>
              <w:top w:val="single" w:sz="8" w:color="auto"/>
              <w:bottom w:val="single" w:sz="8" w:color="DBDBDB"/>
            </w:tcBorders>
            <w:gridSpan w:val="5"/>
            <w:shd w:val="clear" w:color="auto" w:fill="DBDBDB"/>
          </w:tcPr>
          <w:p>
            <w:pPr>
              <w:spacing w:after="0"/>
              <w:rPr>
                <w:sz w:val="10"/>
                <w:szCs w:val="10"/>
                <w:color w:val="auto"/>
              </w:rPr>
            </w:pPr>
          </w:p>
        </w:tc>
        <w:tc>
          <w:tcPr>
            <w:tcW w:w="320" w:type="dxa"/>
            <w:vAlign w:val="bottom"/>
            <w:tcBorders>
              <w:top w:val="single" w:sz="8" w:color="DBDBDB"/>
              <w:bottom w:val="single" w:sz="8" w:color="DBDBDB"/>
            </w:tcBorders>
            <w:shd w:val="clear" w:color="auto" w:fill="DBDBDB"/>
          </w:tcPr>
          <w:p>
            <w:pPr>
              <w:spacing w:after="0"/>
              <w:rPr>
                <w:sz w:val="10"/>
                <w:szCs w:val="10"/>
                <w:color w:val="auto"/>
              </w:rPr>
            </w:pPr>
          </w:p>
        </w:tc>
        <w:tc>
          <w:tcPr>
            <w:tcW w:w="700" w:type="dxa"/>
            <w:vAlign w:val="bottom"/>
            <w:tcBorders>
              <w:top w:val="single" w:sz="8" w:color="DBDBDB"/>
              <w:bottom w:val="single" w:sz="8" w:color="DBDBDB"/>
            </w:tcBorders>
            <w:shd w:val="clear" w:color="auto" w:fill="DBDBDB"/>
          </w:tcPr>
          <w:p>
            <w:pPr>
              <w:spacing w:after="0"/>
              <w:rPr>
                <w:sz w:val="10"/>
                <w:szCs w:val="10"/>
                <w:color w:val="auto"/>
              </w:rPr>
            </w:pPr>
          </w:p>
        </w:tc>
        <w:tc>
          <w:tcPr>
            <w:tcW w:w="1580" w:type="dxa"/>
            <w:vAlign w:val="bottom"/>
            <w:tcBorders>
              <w:top w:val="single" w:sz="8" w:color="DBDBDB"/>
              <w:bottom w:val="single" w:sz="8" w:color="DBDBDB"/>
            </w:tcBorders>
            <w:shd w:val="clear" w:color="auto" w:fill="DBDBDB"/>
          </w:tcPr>
          <w:p>
            <w:pPr>
              <w:spacing w:after="0"/>
              <w:rPr>
                <w:sz w:val="10"/>
                <w:szCs w:val="10"/>
                <w:color w:val="auto"/>
              </w:rPr>
            </w:pPr>
          </w:p>
        </w:tc>
        <w:tc>
          <w:tcPr>
            <w:tcW w:w="780" w:type="dxa"/>
            <w:vAlign w:val="bottom"/>
            <w:tcBorders>
              <w:top w:val="single" w:sz="8" w:color="DBDBDB"/>
              <w:bottom w:val="single" w:sz="8" w:color="DBDBDB"/>
            </w:tcBorders>
            <w:shd w:val="clear" w:color="auto" w:fill="DBDBDB"/>
          </w:tcPr>
          <w:p>
            <w:pPr>
              <w:spacing w:after="0"/>
              <w:rPr>
                <w:sz w:val="10"/>
                <w:szCs w:val="10"/>
                <w:color w:val="auto"/>
              </w:rPr>
            </w:pPr>
          </w:p>
        </w:tc>
        <w:tc>
          <w:tcPr>
            <w:tcW w:w="660" w:type="dxa"/>
            <w:vAlign w:val="bottom"/>
            <w:tcBorders>
              <w:top w:val="single" w:sz="8" w:color="DBDBDB"/>
              <w:bottom w:val="single" w:sz="8" w:color="DBDBDB"/>
            </w:tcBorders>
            <w:shd w:val="clear" w:color="auto" w:fill="DBDBDB"/>
          </w:tcPr>
          <w:p>
            <w:pPr>
              <w:spacing w:after="0"/>
              <w:rPr>
                <w:sz w:val="10"/>
                <w:szCs w:val="10"/>
                <w:color w:val="auto"/>
              </w:rPr>
            </w:pPr>
          </w:p>
        </w:tc>
      </w:tr>
      <w:tr>
        <w:trPr>
          <w:trHeight w:val="117"/>
        </w:trPr>
        <w:tc>
          <w:tcPr>
            <w:tcW w:w="520" w:type="dxa"/>
            <w:vAlign w:val="bottom"/>
          </w:tcPr>
          <w:p>
            <w:pPr>
              <w:spacing w:after="0"/>
              <w:rPr>
                <w:sz w:val="10"/>
                <w:szCs w:val="10"/>
                <w:color w:val="auto"/>
              </w:rPr>
            </w:pPr>
          </w:p>
        </w:tc>
        <w:tc>
          <w:tcPr>
            <w:tcW w:w="1000" w:type="dxa"/>
            <w:vAlign w:val="bottom"/>
          </w:tcPr>
          <w:p>
            <w:pPr>
              <w:jc w:val="center"/>
              <w:ind w:right="48"/>
              <w:spacing w:after="0"/>
              <w:rPr>
                <w:sz w:val="20"/>
                <w:szCs w:val="20"/>
                <w:color w:val="auto"/>
              </w:rPr>
            </w:pPr>
            <w:r>
              <w:rPr>
                <w:rFonts w:ascii="Arial" w:cs="Arial" w:eastAsia="Arial" w:hAnsi="Arial"/>
                <w:sz w:val="10"/>
                <w:szCs w:val="10"/>
                <w:color w:val="auto"/>
                <w:w w:val="94"/>
              </w:rPr>
              <w:t>31.2*</w:t>
            </w:r>
          </w:p>
        </w:tc>
        <w:tc>
          <w:tcPr>
            <w:tcW w:w="6120" w:type="dxa"/>
            <w:vAlign w:val="bottom"/>
            <w:gridSpan w:val="10"/>
          </w:tcPr>
          <w:p>
            <w:pPr>
              <w:spacing w:after="0"/>
              <w:rPr>
                <w:sz w:val="20"/>
                <w:szCs w:val="20"/>
                <w:color w:val="auto"/>
              </w:rPr>
            </w:pPr>
            <w:r>
              <w:rPr>
                <w:rFonts w:ascii="Arial" w:cs="Arial" w:eastAsia="Arial" w:hAnsi="Arial"/>
                <w:sz w:val="10"/>
                <w:szCs w:val="10"/>
                <w:color w:val="auto"/>
              </w:rPr>
              <w:t>Certification of Principal Financial Officer Pursuant to Rules 13a-14(a) and 15d-14(a) under the Securities Exchange Act of 1934, as</w:t>
            </w:r>
          </w:p>
        </w:tc>
        <w:tc>
          <w:tcPr>
            <w:tcW w:w="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560"/>
              <w:spacing w:after="0"/>
              <w:rPr>
                <w:sz w:val="20"/>
                <w:szCs w:val="20"/>
                <w:color w:val="auto"/>
              </w:rPr>
            </w:pPr>
            <w:r>
              <w:rPr>
                <w:rFonts w:ascii="Arial" w:cs="Arial" w:eastAsia="Arial" w:hAnsi="Arial"/>
                <w:sz w:val="10"/>
                <w:szCs w:val="10"/>
                <w:color w:val="auto"/>
              </w:rPr>
              <w:t>X</w:t>
            </w:r>
          </w:p>
        </w:tc>
      </w:tr>
      <w:tr>
        <w:trPr>
          <w:trHeight w:val="97"/>
        </w:trPr>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760" w:type="dxa"/>
            <w:vAlign w:val="bottom"/>
            <w:tcBorders>
              <w:top w:val="single" w:sz="8" w:color="auto"/>
            </w:tcBorders>
            <w:gridSpan w:val="8"/>
          </w:tcPr>
          <w:p>
            <w:pPr>
              <w:spacing w:after="0" w:line="97" w:lineRule="exact"/>
              <w:rPr>
                <w:sz w:val="20"/>
                <w:szCs w:val="20"/>
                <w:color w:val="auto"/>
              </w:rPr>
            </w:pPr>
            <w:r>
              <w:rPr>
                <w:rFonts w:ascii="Arial" w:cs="Arial" w:eastAsia="Arial" w:hAnsi="Arial"/>
                <w:sz w:val="10"/>
                <w:szCs w:val="10"/>
                <w:color w:val="auto"/>
              </w:rPr>
              <w:t>Adopted Pursuant to Section 302 of the Sarbanes-Oxley Act of 2002</w:t>
            </w:r>
          </w:p>
        </w:tc>
        <w:tc>
          <w:tcPr>
            <w:tcW w:w="36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2"/>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1000" w:type="dxa"/>
            <w:vAlign w:val="bottom"/>
            <w:shd w:val="clear" w:color="auto" w:fill="DBDBDB"/>
          </w:tcPr>
          <w:p>
            <w:pPr>
              <w:jc w:val="center"/>
              <w:ind w:right="48"/>
              <w:spacing w:after="0"/>
              <w:rPr>
                <w:sz w:val="20"/>
                <w:szCs w:val="20"/>
                <w:color w:val="auto"/>
              </w:rPr>
            </w:pPr>
            <w:r>
              <w:rPr>
                <w:rFonts w:ascii="Arial" w:cs="Arial" w:eastAsia="Arial" w:hAnsi="Arial"/>
                <w:sz w:val="10"/>
                <w:szCs w:val="10"/>
                <w:color w:val="auto"/>
                <w:w w:val="94"/>
              </w:rPr>
              <w:t>32.1*</w:t>
            </w:r>
          </w:p>
        </w:tc>
        <w:tc>
          <w:tcPr>
            <w:tcW w:w="6120" w:type="dxa"/>
            <w:vAlign w:val="bottom"/>
            <w:gridSpan w:val="10"/>
            <w:shd w:val="clear" w:color="auto" w:fill="DBDBDB"/>
          </w:tcPr>
          <w:p>
            <w:pPr>
              <w:spacing w:after="0"/>
              <w:rPr>
                <w:sz w:val="20"/>
                <w:szCs w:val="20"/>
                <w:color w:val="auto"/>
              </w:rPr>
            </w:pPr>
            <w:r>
              <w:rPr>
                <w:rFonts w:ascii="Arial" w:cs="Arial" w:eastAsia="Arial" w:hAnsi="Arial"/>
                <w:sz w:val="10"/>
                <w:szCs w:val="10"/>
                <w:color w:val="auto"/>
              </w:rPr>
              <w:t>Certification of Chief Executive Officer pursuant to Section 906 of the Sarbanes-Oxley Act of 2002</w:t>
            </w:r>
          </w:p>
        </w:tc>
        <w:tc>
          <w:tcPr>
            <w:tcW w:w="70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660" w:type="dxa"/>
            <w:vAlign w:val="bottom"/>
            <w:shd w:val="clear" w:color="auto" w:fill="DBDBDB"/>
          </w:tcPr>
          <w:p>
            <w:pPr>
              <w:ind w:left="560"/>
              <w:spacing w:after="0"/>
              <w:rPr>
                <w:sz w:val="20"/>
                <w:szCs w:val="20"/>
                <w:color w:val="auto"/>
              </w:rPr>
            </w:pPr>
            <w:r>
              <w:rPr>
                <w:rFonts w:ascii="Arial" w:cs="Arial" w:eastAsia="Arial" w:hAnsi="Arial"/>
                <w:sz w:val="10"/>
                <w:szCs w:val="10"/>
                <w:color w:val="auto"/>
              </w:rPr>
              <w:t>X</w:t>
            </w:r>
          </w:p>
        </w:tc>
      </w:tr>
      <w:tr>
        <w:trPr>
          <w:trHeight w:val="117"/>
        </w:trPr>
        <w:tc>
          <w:tcPr>
            <w:tcW w:w="520" w:type="dxa"/>
            <w:vAlign w:val="bottom"/>
          </w:tcPr>
          <w:p>
            <w:pPr>
              <w:spacing w:after="0"/>
              <w:rPr>
                <w:sz w:val="10"/>
                <w:szCs w:val="10"/>
                <w:color w:val="auto"/>
              </w:rPr>
            </w:pPr>
          </w:p>
        </w:tc>
        <w:tc>
          <w:tcPr>
            <w:tcW w:w="1000" w:type="dxa"/>
            <w:vAlign w:val="bottom"/>
            <w:tcBorders>
              <w:top w:val="single" w:sz="8" w:color="DBDBDB"/>
            </w:tcBorders>
          </w:tcPr>
          <w:p>
            <w:pPr>
              <w:jc w:val="center"/>
              <w:ind w:right="48"/>
              <w:spacing w:after="0"/>
              <w:rPr>
                <w:sz w:val="20"/>
                <w:szCs w:val="20"/>
                <w:color w:val="auto"/>
              </w:rPr>
            </w:pPr>
            <w:r>
              <w:rPr>
                <w:rFonts w:ascii="Arial" w:cs="Arial" w:eastAsia="Arial" w:hAnsi="Arial"/>
                <w:sz w:val="10"/>
                <w:szCs w:val="10"/>
                <w:color w:val="auto"/>
                <w:w w:val="94"/>
              </w:rPr>
              <w:t>32.2*</w:t>
            </w:r>
          </w:p>
        </w:tc>
        <w:tc>
          <w:tcPr>
            <w:tcW w:w="4280" w:type="dxa"/>
            <w:vAlign w:val="bottom"/>
            <w:tcBorders>
              <w:top w:val="single" w:sz="8" w:color="auto"/>
            </w:tcBorders>
            <w:gridSpan w:val="7"/>
          </w:tcPr>
          <w:p>
            <w:pPr>
              <w:spacing w:after="0"/>
              <w:rPr>
                <w:sz w:val="20"/>
                <w:szCs w:val="20"/>
                <w:color w:val="auto"/>
              </w:rPr>
            </w:pPr>
            <w:r>
              <w:rPr>
                <w:rFonts w:ascii="Arial" w:cs="Arial" w:eastAsia="Arial" w:hAnsi="Arial"/>
                <w:sz w:val="10"/>
                <w:szCs w:val="10"/>
                <w:color w:val="auto"/>
                <w:w w:val="99"/>
              </w:rPr>
              <w:t>Certification of Chief Financial Officer pursuant to Section 906 of the Sarbanes-Oxley Act of 2002</w:t>
            </w:r>
          </w:p>
        </w:tc>
        <w:tc>
          <w:tcPr>
            <w:tcW w:w="1840" w:type="dxa"/>
            <w:vAlign w:val="bottom"/>
            <w:tcBorders>
              <w:top w:val="single" w:sz="8" w:color="DBDBDB"/>
            </w:tcBorders>
            <w:gridSpan w:val="3"/>
          </w:tcPr>
          <w:p>
            <w:pPr>
              <w:spacing w:after="0"/>
              <w:rPr>
                <w:sz w:val="10"/>
                <w:szCs w:val="10"/>
                <w:color w:val="auto"/>
              </w:rPr>
            </w:pPr>
          </w:p>
        </w:tc>
        <w:tc>
          <w:tcPr>
            <w:tcW w:w="700" w:type="dxa"/>
            <w:vAlign w:val="bottom"/>
            <w:tcBorders>
              <w:top w:val="single" w:sz="8" w:color="DBDBDB"/>
            </w:tcBorders>
          </w:tcPr>
          <w:p>
            <w:pPr>
              <w:spacing w:after="0"/>
              <w:rPr>
                <w:sz w:val="10"/>
                <w:szCs w:val="10"/>
                <w:color w:val="auto"/>
              </w:rPr>
            </w:pPr>
          </w:p>
        </w:tc>
        <w:tc>
          <w:tcPr>
            <w:tcW w:w="1580" w:type="dxa"/>
            <w:vAlign w:val="bottom"/>
            <w:tcBorders>
              <w:top w:val="single" w:sz="8" w:color="DBDBDB"/>
            </w:tcBorders>
          </w:tcPr>
          <w:p>
            <w:pPr>
              <w:spacing w:after="0"/>
              <w:rPr>
                <w:sz w:val="10"/>
                <w:szCs w:val="10"/>
                <w:color w:val="auto"/>
              </w:rPr>
            </w:pPr>
          </w:p>
        </w:tc>
        <w:tc>
          <w:tcPr>
            <w:tcW w:w="780" w:type="dxa"/>
            <w:vAlign w:val="bottom"/>
            <w:tcBorders>
              <w:top w:val="single" w:sz="8" w:color="DBDBDB"/>
            </w:tcBorders>
          </w:tcPr>
          <w:p>
            <w:pPr>
              <w:spacing w:after="0"/>
              <w:rPr>
                <w:sz w:val="10"/>
                <w:szCs w:val="10"/>
                <w:color w:val="auto"/>
              </w:rPr>
            </w:pPr>
          </w:p>
        </w:tc>
        <w:tc>
          <w:tcPr>
            <w:tcW w:w="660" w:type="dxa"/>
            <w:vAlign w:val="bottom"/>
            <w:tcBorders>
              <w:top w:val="single" w:sz="8" w:color="DBDBDB"/>
            </w:tcBorders>
          </w:tcPr>
          <w:p>
            <w:pPr>
              <w:ind w:left="560"/>
              <w:spacing w:after="0"/>
              <w:rPr>
                <w:sz w:val="20"/>
                <w:szCs w:val="20"/>
                <w:color w:val="auto"/>
              </w:rPr>
            </w:pPr>
            <w:r>
              <w:rPr>
                <w:rFonts w:ascii="Arial" w:cs="Arial" w:eastAsia="Arial" w:hAnsi="Arial"/>
                <w:sz w:val="10"/>
                <w:szCs w:val="10"/>
                <w:color w:val="auto"/>
              </w:rPr>
              <w:t>X</w:t>
            </w:r>
          </w:p>
        </w:tc>
      </w:tr>
      <w:tr>
        <w:trPr>
          <w:trHeight w:val="22"/>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25"/>
        </w:trPr>
        <w:tc>
          <w:tcPr>
            <w:tcW w:w="520" w:type="dxa"/>
            <w:vAlign w:val="bottom"/>
          </w:tcPr>
          <w:p>
            <w:pPr>
              <w:spacing w:after="0"/>
              <w:rPr>
                <w:sz w:val="10"/>
                <w:szCs w:val="10"/>
                <w:color w:val="auto"/>
              </w:rPr>
            </w:pPr>
          </w:p>
        </w:tc>
        <w:tc>
          <w:tcPr>
            <w:tcW w:w="1000" w:type="dxa"/>
            <w:vAlign w:val="bottom"/>
            <w:shd w:val="clear" w:color="auto" w:fill="DBDBDB"/>
          </w:tcPr>
          <w:p>
            <w:pPr>
              <w:jc w:val="center"/>
              <w:ind w:right="48"/>
              <w:spacing w:after="0"/>
              <w:rPr>
                <w:sz w:val="20"/>
                <w:szCs w:val="20"/>
                <w:color w:val="auto"/>
              </w:rPr>
            </w:pPr>
            <w:r>
              <w:rPr>
                <w:rFonts w:ascii="Arial" w:cs="Arial" w:eastAsia="Arial" w:hAnsi="Arial"/>
                <w:sz w:val="10"/>
                <w:szCs w:val="10"/>
                <w:color w:val="auto"/>
              </w:rPr>
              <w:t>101</w:t>
            </w:r>
          </w:p>
        </w:tc>
        <w:tc>
          <w:tcPr>
            <w:tcW w:w="6120" w:type="dxa"/>
            <w:vAlign w:val="bottom"/>
            <w:gridSpan w:val="10"/>
            <w:shd w:val="clear" w:color="auto" w:fill="DBDBDB"/>
          </w:tcPr>
          <w:p>
            <w:pPr>
              <w:spacing w:after="0"/>
              <w:rPr>
                <w:sz w:val="20"/>
                <w:szCs w:val="20"/>
                <w:color w:val="auto"/>
              </w:rPr>
            </w:pPr>
            <w:r>
              <w:rPr>
                <w:rFonts w:ascii="Arial" w:cs="Arial" w:eastAsia="Arial" w:hAnsi="Arial"/>
                <w:sz w:val="10"/>
                <w:szCs w:val="10"/>
                <w:color w:val="auto"/>
              </w:rPr>
              <w:t>The following financial statements from the Company's Quarterly Report on Form 10-Q for the quarter ended January 31, 2025 formatted</w:t>
            </w:r>
          </w:p>
        </w:tc>
        <w:tc>
          <w:tcPr>
            <w:tcW w:w="700" w:type="dxa"/>
            <w:vAlign w:val="bottom"/>
            <w:shd w:val="clear" w:color="auto" w:fill="DBDBDB"/>
          </w:tcPr>
          <w:p>
            <w:pPr>
              <w:spacing w:after="0"/>
              <w:rPr>
                <w:sz w:val="10"/>
                <w:szCs w:val="10"/>
                <w:color w:val="auto"/>
              </w:rPr>
            </w:pPr>
          </w:p>
        </w:tc>
        <w:tc>
          <w:tcPr>
            <w:tcW w:w="158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660" w:type="dxa"/>
            <w:vAlign w:val="bottom"/>
            <w:shd w:val="clear" w:color="auto" w:fill="DBDBDB"/>
          </w:tcPr>
          <w:p>
            <w:pPr>
              <w:ind w:left="560"/>
              <w:spacing w:after="0"/>
              <w:rPr>
                <w:sz w:val="20"/>
                <w:szCs w:val="20"/>
                <w:color w:val="auto"/>
              </w:rPr>
            </w:pPr>
            <w:r>
              <w:rPr>
                <w:rFonts w:ascii="Arial" w:cs="Arial" w:eastAsia="Arial" w:hAnsi="Arial"/>
                <w:sz w:val="10"/>
                <w:szCs w:val="10"/>
                <w:color w:val="auto"/>
              </w:rPr>
              <w:t>X</w:t>
            </w:r>
          </w:p>
        </w:tc>
      </w:tr>
      <w:tr>
        <w:trPr>
          <w:trHeight w:val="117"/>
        </w:trPr>
        <w:tc>
          <w:tcPr>
            <w:tcW w:w="520" w:type="dxa"/>
            <w:vAlign w:val="bottom"/>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6120" w:type="dxa"/>
            <w:vAlign w:val="bottom"/>
            <w:gridSpan w:val="10"/>
            <w:shd w:val="clear" w:color="auto" w:fill="DBDBDB"/>
          </w:tcPr>
          <w:p>
            <w:pPr>
              <w:spacing w:after="0"/>
              <w:rPr>
                <w:sz w:val="20"/>
                <w:szCs w:val="20"/>
                <w:color w:val="auto"/>
              </w:rPr>
            </w:pPr>
            <w:r>
              <w:rPr>
                <w:rFonts w:ascii="Arial" w:cs="Arial" w:eastAsia="Arial" w:hAnsi="Arial"/>
                <w:sz w:val="10"/>
                <w:szCs w:val="10"/>
                <w:color w:val="auto"/>
              </w:rPr>
              <w:t>in Inline XBRL: (i) Condensed Consolidated Balance Sheets, (ii) Condensed Consolidated Statements of Income, (iii) Condensed</w:t>
            </w:r>
          </w:p>
        </w:tc>
        <w:tc>
          <w:tcPr>
            <w:tcW w:w="700" w:type="dxa"/>
            <w:vAlign w:val="bottom"/>
            <w:shd w:val="clear" w:color="auto" w:fill="DBDBDB"/>
          </w:tcPr>
          <w:p>
            <w:pPr>
              <w:spacing w:after="0"/>
              <w:rPr>
                <w:sz w:val="10"/>
                <w:szCs w:val="10"/>
                <w:color w:val="auto"/>
              </w:rPr>
            </w:pPr>
          </w:p>
        </w:tc>
        <w:tc>
          <w:tcPr>
            <w:tcW w:w="158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r>
      <w:tr>
        <w:trPr>
          <w:trHeight w:val="127"/>
        </w:trPr>
        <w:tc>
          <w:tcPr>
            <w:tcW w:w="520" w:type="dxa"/>
            <w:vAlign w:val="bottom"/>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6120" w:type="dxa"/>
            <w:vAlign w:val="bottom"/>
            <w:gridSpan w:val="10"/>
            <w:shd w:val="clear" w:color="auto" w:fill="DBDBDB"/>
          </w:tcPr>
          <w:p>
            <w:pPr>
              <w:spacing w:after="0"/>
              <w:rPr>
                <w:sz w:val="20"/>
                <w:szCs w:val="20"/>
                <w:color w:val="auto"/>
              </w:rPr>
            </w:pPr>
            <w:r>
              <w:rPr>
                <w:rFonts w:ascii="Arial" w:cs="Arial" w:eastAsia="Arial" w:hAnsi="Arial"/>
                <w:sz w:val="10"/>
                <w:szCs w:val="10"/>
                <w:color w:val="auto"/>
              </w:rPr>
              <w:t>Consolidated Statements of Income (iv) Condensed Consolidated Statements of Changes in Equity, (v) Condensed Consolidated</w:t>
            </w:r>
          </w:p>
        </w:tc>
        <w:tc>
          <w:tcPr>
            <w:tcW w:w="700" w:type="dxa"/>
            <w:vAlign w:val="bottom"/>
            <w:shd w:val="clear" w:color="auto" w:fill="DBDBDB"/>
          </w:tcPr>
          <w:p>
            <w:pPr>
              <w:spacing w:after="0"/>
              <w:rPr>
                <w:sz w:val="11"/>
                <w:szCs w:val="11"/>
                <w:color w:val="auto"/>
              </w:rPr>
            </w:pPr>
          </w:p>
        </w:tc>
        <w:tc>
          <w:tcPr>
            <w:tcW w:w="158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660" w:type="dxa"/>
            <w:vAlign w:val="bottom"/>
            <w:shd w:val="clear" w:color="auto" w:fill="DBDBDB"/>
          </w:tcPr>
          <w:p>
            <w:pPr>
              <w:spacing w:after="0"/>
              <w:rPr>
                <w:sz w:val="11"/>
                <w:szCs w:val="11"/>
                <w:color w:val="auto"/>
              </w:rPr>
            </w:pPr>
          </w:p>
        </w:tc>
      </w:tr>
      <w:tr>
        <w:trPr>
          <w:trHeight w:val="131"/>
        </w:trPr>
        <w:tc>
          <w:tcPr>
            <w:tcW w:w="520" w:type="dxa"/>
            <w:vAlign w:val="bottom"/>
          </w:tcPr>
          <w:p>
            <w:pPr>
              <w:spacing w:after="0"/>
              <w:rPr>
                <w:sz w:val="11"/>
                <w:szCs w:val="11"/>
                <w:color w:val="auto"/>
              </w:rPr>
            </w:pPr>
          </w:p>
        </w:tc>
        <w:tc>
          <w:tcPr>
            <w:tcW w:w="1000" w:type="dxa"/>
            <w:vAlign w:val="bottom"/>
            <w:tcBorders>
              <w:bottom w:val="single" w:sz="8" w:color="DBDBDB"/>
            </w:tcBorders>
            <w:shd w:val="clear" w:color="auto" w:fill="DBDBDB"/>
          </w:tcPr>
          <w:p>
            <w:pPr>
              <w:spacing w:after="0"/>
              <w:rPr>
                <w:sz w:val="11"/>
                <w:szCs w:val="11"/>
                <w:color w:val="auto"/>
              </w:rPr>
            </w:pPr>
          </w:p>
        </w:tc>
        <w:tc>
          <w:tcPr>
            <w:tcW w:w="6120" w:type="dxa"/>
            <w:vAlign w:val="bottom"/>
            <w:tcBorders>
              <w:bottom w:val="single" w:sz="8" w:color="DBDBDB"/>
            </w:tcBorders>
            <w:gridSpan w:val="10"/>
            <w:shd w:val="clear" w:color="auto" w:fill="DBDBDB"/>
          </w:tcPr>
          <w:p>
            <w:pPr>
              <w:spacing w:after="0"/>
              <w:rPr>
                <w:sz w:val="20"/>
                <w:szCs w:val="20"/>
                <w:color w:val="auto"/>
              </w:rPr>
            </w:pPr>
            <w:r>
              <w:rPr>
                <w:rFonts w:ascii="Arial" w:cs="Arial" w:eastAsia="Arial" w:hAnsi="Arial"/>
                <w:sz w:val="10"/>
                <w:szCs w:val="10"/>
                <w:color w:val="auto"/>
              </w:rPr>
              <w:t>Statements of Cash Flows, and (vi) Notes to Consolidated Financial Statements, tagged as blocks of text and including detailed tags.</w:t>
            </w:r>
          </w:p>
        </w:tc>
        <w:tc>
          <w:tcPr>
            <w:tcW w:w="700" w:type="dxa"/>
            <w:vAlign w:val="bottom"/>
            <w:tcBorders>
              <w:bottom w:val="single" w:sz="8" w:color="DBDBDB"/>
            </w:tcBorders>
            <w:shd w:val="clear" w:color="auto" w:fill="DBDBDB"/>
          </w:tcPr>
          <w:p>
            <w:pPr>
              <w:spacing w:after="0"/>
              <w:rPr>
                <w:sz w:val="11"/>
                <w:szCs w:val="11"/>
                <w:color w:val="auto"/>
              </w:rPr>
            </w:pPr>
          </w:p>
        </w:tc>
        <w:tc>
          <w:tcPr>
            <w:tcW w:w="1580" w:type="dxa"/>
            <w:vAlign w:val="bottom"/>
            <w:tcBorders>
              <w:bottom w:val="single" w:sz="8" w:color="DBDBDB"/>
            </w:tcBorders>
            <w:shd w:val="clear" w:color="auto" w:fill="DBDBDB"/>
          </w:tcPr>
          <w:p>
            <w:pPr>
              <w:spacing w:after="0"/>
              <w:rPr>
                <w:sz w:val="11"/>
                <w:szCs w:val="11"/>
                <w:color w:val="auto"/>
              </w:rPr>
            </w:pPr>
          </w:p>
        </w:tc>
        <w:tc>
          <w:tcPr>
            <w:tcW w:w="780" w:type="dxa"/>
            <w:vAlign w:val="bottom"/>
            <w:tcBorders>
              <w:bottom w:val="single" w:sz="8" w:color="DBDBDB"/>
            </w:tcBorders>
            <w:shd w:val="clear" w:color="auto" w:fill="DBDBDB"/>
          </w:tcPr>
          <w:p>
            <w:pPr>
              <w:spacing w:after="0"/>
              <w:rPr>
                <w:sz w:val="11"/>
                <w:szCs w:val="11"/>
                <w:color w:val="auto"/>
              </w:rPr>
            </w:pPr>
          </w:p>
        </w:tc>
        <w:tc>
          <w:tcPr>
            <w:tcW w:w="660" w:type="dxa"/>
            <w:vAlign w:val="bottom"/>
            <w:tcBorders>
              <w:bottom w:val="single" w:sz="8" w:color="DBDBDB"/>
            </w:tcBorders>
            <w:shd w:val="clear" w:color="auto" w:fill="DBDBDB"/>
          </w:tcPr>
          <w:p>
            <w:pPr>
              <w:spacing w:after="0"/>
              <w:rPr>
                <w:sz w:val="11"/>
                <w:szCs w:val="11"/>
                <w:color w:val="auto"/>
              </w:rPr>
            </w:pPr>
          </w:p>
        </w:tc>
      </w:tr>
      <w:tr>
        <w:trPr>
          <w:trHeight w:val="138"/>
        </w:trPr>
        <w:tc>
          <w:tcPr>
            <w:tcW w:w="520" w:type="dxa"/>
            <w:vAlign w:val="bottom"/>
          </w:tcPr>
          <w:p>
            <w:pPr>
              <w:spacing w:after="0"/>
              <w:rPr>
                <w:sz w:val="12"/>
                <w:szCs w:val="12"/>
                <w:color w:val="auto"/>
              </w:rPr>
            </w:pPr>
          </w:p>
        </w:tc>
        <w:tc>
          <w:tcPr>
            <w:tcW w:w="1000" w:type="dxa"/>
            <w:vAlign w:val="bottom"/>
          </w:tcPr>
          <w:p>
            <w:pPr>
              <w:jc w:val="center"/>
              <w:ind w:right="48"/>
              <w:spacing w:after="0"/>
              <w:rPr>
                <w:sz w:val="20"/>
                <w:szCs w:val="20"/>
                <w:color w:val="auto"/>
              </w:rPr>
            </w:pPr>
            <w:r>
              <w:rPr>
                <w:rFonts w:ascii="Arial" w:cs="Arial" w:eastAsia="Arial" w:hAnsi="Arial"/>
                <w:sz w:val="10"/>
                <w:szCs w:val="10"/>
                <w:color w:val="auto"/>
              </w:rPr>
              <w:t>104</w:t>
            </w:r>
          </w:p>
        </w:tc>
        <w:tc>
          <w:tcPr>
            <w:tcW w:w="6120" w:type="dxa"/>
            <w:vAlign w:val="bottom"/>
            <w:gridSpan w:val="10"/>
          </w:tcPr>
          <w:p>
            <w:pPr>
              <w:spacing w:after="0"/>
              <w:rPr>
                <w:sz w:val="20"/>
                <w:szCs w:val="20"/>
                <w:color w:val="auto"/>
              </w:rPr>
            </w:pPr>
            <w:r>
              <w:rPr>
                <w:rFonts w:ascii="Arial" w:cs="Arial" w:eastAsia="Arial" w:hAnsi="Arial"/>
                <w:sz w:val="10"/>
                <w:szCs w:val="10"/>
                <w:color w:val="auto"/>
              </w:rPr>
              <w:t>Cover Page Interactive Data File (formatted as Inline XBRL and contained in Exhibit 101)</w:t>
            </w: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ind w:left="560"/>
              <w:spacing w:after="0"/>
              <w:rPr>
                <w:sz w:val="20"/>
                <w:szCs w:val="20"/>
                <w:color w:val="auto"/>
              </w:rPr>
            </w:pPr>
            <w:r>
              <w:rPr>
                <w:rFonts w:ascii="Arial" w:cs="Arial" w:eastAsia="Arial" w:hAnsi="Arial"/>
                <w:sz w:val="10"/>
                <w:szCs w:val="10"/>
                <w:color w:val="auto"/>
              </w:rPr>
              <w:t>X</w:t>
            </w:r>
          </w:p>
        </w:tc>
      </w:tr>
      <w:tr>
        <w:trPr>
          <w:trHeight w:val="21"/>
        </w:trPr>
        <w:tc>
          <w:tcPr>
            <w:tcW w:w="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660"/>
        <w:spacing w:after="0"/>
        <w:rPr>
          <w:sz w:val="20"/>
          <w:szCs w:val="20"/>
          <w:color w:val="auto"/>
        </w:rPr>
      </w:pPr>
      <w:r>
        <w:rPr>
          <w:rFonts w:ascii="Arial" w:cs="Arial" w:eastAsia="Arial" w:hAnsi="Arial"/>
          <w:sz w:val="10"/>
          <w:szCs w:val="10"/>
          <w:color w:val="auto"/>
        </w:rPr>
        <w:t>+ Indicates management contract or compensatory plan.</w:t>
      </w:r>
    </w:p>
    <w:p>
      <w:pPr>
        <w:spacing w:after="0" w:line="44" w:lineRule="exact"/>
        <w:rPr>
          <w:sz w:val="20"/>
          <w:szCs w:val="20"/>
          <w:color w:val="auto"/>
        </w:rPr>
      </w:pPr>
    </w:p>
    <w:p>
      <w:pPr>
        <w:ind w:left="740" w:right="200" w:hanging="66"/>
        <w:spacing w:after="0" w:line="274" w:lineRule="auto"/>
        <w:tabs>
          <w:tab w:leader="none" w:pos="74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SIGNATURES</w:t>
      </w:r>
    </w:p>
    <w:p>
      <w:pPr>
        <w:spacing w:after="0" w:line="189" w:lineRule="exact"/>
        <w:rPr>
          <w:sz w:val="20"/>
          <w:szCs w:val="20"/>
          <w:color w:val="auto"/>
        </w:rPr>
      </w:pPr>
    </w:p>
    <w:p>
      <w:pPr>
        <w:ind w:right="660" w:firstLine="509"/>
        <w:spacing w:after="0" w:line="303" w:lineRule="auto"/>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quarterly report to be signed on its behalf by the undersigned, thereunto duly authorized, on March 10, 2025.</w:t>
      </w:r>
    </w:p>
    <w:p>
      <w:pPr>
        <w:spacing w:after="0" w:line="186"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MISSION PRODUCE, INC.</w:t>
      </w:r>
    </w:p>
    <w:p>
      <w:pPr>
        <w:spacing w:after="0" w:line="247" w:lineRule="exact"/>
        <w:rPr>
          <w:sz w:val="20"/>
          <w:szCs w:val="20"/>
          <w:color w:val="auto"/>
        </w:rPr>
      </w:pPr>
    </w:p>
    <w:p>
      <w:pPr>
        <w:ind w:left="846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17780</wp:posOffset>
            </wp:positionV>
            <wp:extent cx="286321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34" w:lineRule="exact"/>
        <w:rPr>
          <w:sz w:val="20"/>
          <w:szCs w:val="20"/>
          <w:color w:val="auto"/>
        </w:rPr>
      </w:pPr>
    </w:p>
    <w:p>
      <w:pPr>
        <w:ind w:left="8540"/>
        <w:spacing w:after="0"/>
        <w:rPr>
          <w:sz w:val="20"/>
          <w:szCs w:val="20"/>
          <w:color w:val="auto"/>
        </w:rPr>
      </w:pPr>
      <w:r>
        <w:rPr>
          <w:rFonts w:ascii="Arial" w:cs="Arial" w:eastAsia="Arial" w:hAnsi="Arial"/>
          <w:sz w:val="11"/>
          <w:szCs w:val="11"/>
          <w:color w:val="auto"/>
        </w:rPr>
        <w:t>Stephen J. Barnard</w:t>
      </w:r>
    </w:p>
    <w:p>
      <w:pPr>
        <w:spacing w:after="0" w:line="43" w:lineRule="exact"/>
        <w:rPr>
          <w:sz w:val="20"/>
          <w:szCs w:val="20"/>
          <w:color w:val="auto"/>
        </w:rPr>
      </w:pPr>
    </w:p>
    <w:p>
      <w:pPr>
        <w:ind w:left="8460"/>
        <w:spacing w:after="0"/>
        <w:rPr>
          <w:sz w:val="20"/>
          <w:szCs w:val="20"/>
          <w:color w:val="auto"/>
        </w:rPr>
      </w:pPr>
      <w:r>
        <w:rPr>
          <w:rFonts w:ascii="Arial" w:cs="Arial" w:eastAsia="Arial" w:hAnsi="Arial"/>
          <w:sz w:val="11"/>
          <w:szCs w:val="11"/>
          <w:i w:val="1"/>
          <w:iCs w:val="1"/>
          <w:color w:val="auto"/>
        </w:rPr>
        <w:t>Chief Executive Officer</w:t>
      </w:r>
    </w:p>
    <w:p>
      <w:pPr>
        <w:spacing w:after="0" w:line="245" w:lineRule="exact"/>
        <w:rPr>
          <w:sz w:val="20"/>
          <w:szCs w:val="20"/>
          <w:color w:val="auto"/>
        </w:rPr>
      </w:pPr>
    </w:p>
    <w:p>
      <w:pPr>
        <w:ind w:left="8600"/>
        <w:spacing w:after="0"/>
        <w:rPr>
          <w:sz w:val="20"/>
          <w:szCs w:val="20"/>
          <w:color w:val="auto"/>
        </w:rPr>
      </w:pPr>
      <w:r>
        <w:rPr>
          <w:rFonts w:ascii="Arial" w:cs="Arial" w:eastAsia="Arial" w:hAnsi="Arial"/>
          <w:sz w:val="11"/>
          <w:szCs w:val="11"/>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17780</wp:posOffset>
            </wp:positionV>
            <wp:extent cx="28632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34" w:lineRule="exact"/>
        <w:rPr>
          <w:sz w:val="20"/>
          <w:szCs w:val="20"/>
          <w:color w:val="auto"/>
        </w:rPr>
      </w:pPr>
    </w:p>
    <w:p>
      <w:pPr>
        <w:ind w:left="8660"/>
        <w:spacing w:after="0"/>
        <w:rPr>
          <w:sz w:val="20"/>
          <w:szCs w:val="20"/>
          <w:color w:val="auto"/>
        </w:rPr>
      </w:pPr>
      <w:r>
        <w:rPr>
          <w:rFonts w:ascii="Arial" w:cs="Arial" w:eastAsia="Arial" w:hAnsi="Arial"/>
          <w:sz w:val="11"/>
          <w:szCs w:val="11"/>
          <w:color w:val="auto"/>
        </w:rPr>
        <w:t>Bryan E. Giles</w:t>
      </w:r>
    </w:p>
    <w:p>
      <w:pPr>
        <w:spacing w:after="0" w:line="43" w:lineRule="exact"/>
        <w:rPr>
          <w:sz w:val="20"/>
          <w:szCs w:val="20"/>
          <w:color w:val="auto"/>
        </w:rPr>
      </w:pPr>
    </w:p>
    <w:p>
      <w:pPr>
        <w:ind w:left="8480"/>
        <w:spacing w:after="0"/>
        <w:rPr>
          <w:sz w:val="20"/>
          <w:szCs w:val="20"/>
          <w:color w:val="auto"/>
        </w:rPr>
      </w:pPr>
      <w:r>
        <w:rPr>
          <w:rFonts w:ascii="Arial" w:cs="Arial" w:eastAsia="Arial" w:hAnsi="Arial"/>
          <w:sz w:val="11"/>
          <w:szCs w:val="11"/>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31</w:t>
      </w:r>
    </w:p>
    <w:p>
      <w:pPr>
        <w:sectPr>
          <w:pgSz w:w="11900" w:h="16838" w:orient="portrait"/>
          <w:cols w:equalWidth="0" w:num="1">
            <w:col w:w="11360"/>
          </w:cols>
          <w:pgMar w:left="300" w:top="1309" w:right="239" w:bottom="1440"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color w:val="auto"/>
        </w:rPr>
        <w:t>I, Stephen J. Barnard, certify that:</w:t>
      </w:r>
    </w:p>
    <w:p>
      <w:pPr>
        <w:spacing w:after="0" w:line="181"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 have reviewed this quarterly report on Form 10-Q of Mission Produce, Inc.;</w:t>
      </w:r>
    </w:p>
    <w:p>
      <w:pPr>
        <w:spacing w:after="0" w:line="181" w:lineRule="exact"/>
        <w:rPr>
          <w:rFonts w:ascii="Arial" w:cs="Arial" w:eastAsia="Arial" w:hAnsi="Arial"/>
          <w:sz w:val="11"/>
          <w:szCs w:val="11"/>
          <w:color w:val="auto"/>
        </w:rPr>
      </w:pPr>
    </w:p>
    <w:p>
      <w:pPr>
        <w:ind w:left="520" w:right="180" w:hanging="260"/>
        <w:spacing w:after="0" w:line="283" w:lineRule="auto"/>
        <w:tabs>
          <w:tab w:leader="none" w:pos="519" w:val="left"/>
        </w:tabs>
        <w:numPr>
          <w:ilvl w:val="0"/>
          <w:numId w:val="19"/>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1"/>
          <w:szCs w:val="11"/>
          <w:color w:val="auto"/>
        </w:rPr>
      </w:pPr>
    </w:p>
    <w:p>
      <w:pPr>
        <w:ind w:left="520" w:right="420" w:hanging="260"/>
        <w:spacing w:after="0" w:line="303" w:lineRule="auto"/>
        <w:tabs>
          <w:tab w:leader="none" w:pos="519" w:val="left"/>
        </w:tabs>
        <w:numPr>
          <w:ilvl w:val="0"/>
          <w:numId w:val="19"/>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1"/>
          <w:szCs w:val="11"/>
          <w:color w:val="auto"/>
        </w:rPr>
      </w:pPr>
    </w:p>
    <w:p>
      <w:pPr>
        <w:ind w:left="520" w:right="180" w:hanging="260"/>
        <w:spacing w:after="0" w:line="303" w:lineRule="auto"/>
        <w:tabs>
          <w:tab w:leader="none" w:pos="519"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1"/>
          <w:szCs w:val="11"/>
          <w:color w:val="auto"/>
        </w:rPr>
      </w:pPr>
    </w:p>
    <w:p>
      <w:pPr>
        <w:ind w:left="1020" w:right="180" w:hanging="251"/>
        <w:spacing w:after="0" w:line="303" w:lineRule="auto"/>
        <w:tabs>
          <w:tab w:leader="none" w:pos="1010" w:val="left"/>
        </w:tabs>
        <w:numPr>
          <w:ilvl w:val="1"/>
          <w:numId w:val="19"/>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1"/>
          <w:szCs w:val="11"/>
          <w:color w:val="auto"/>
        </w:rPr>
      </w:pPr>
    </w:p>
    <w:p>
      <w:pPr>
        <w:ind w:left="1020" w:hanging="251"/>
        <w:spacing w:after="0" w:line="303" w:lineRule="auto"/>
        <w:tabs>
          <w:tab w:leader="none" w:pos="1010" w:val="left"/>
        </w:tabs>
        <w:numPr>
          <w:ilvl w:val="1"/>
          <w:numId w:val="19"/>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1"/>
          <w:szCs w:val="11"/>
          <w:color w:val="auto"/>
        </w:rPr>
      </w:pPr>
    </w:p>
    <w:p>
      <w:pPr>
        <w:ind w:left="1020" w:right="160" w:hanging="251"/>
        <w:spacing w:after="0" w:line="283" w:lineRule="auto"/>
        <w:tabs>
          <w:tab w:leader="none" w:pos="1014" w:val="left"/>
        </w:tabs>
        <w:numPr>
          <w:ilvl w:val="1"/>
          <w:numId w:val="19"/>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1"/>
          <w:szCs w:val="11"/>
          <w:color w:val="auto"/>
        </w:rPr>
      </w:pPr>
    </w:p>
    <w:p>
      <w:pPr>
        <w:ind w:left="1020" w:right="40" w:hanging="251"/>
        <w:spacing w:after="0" w:line="303" w:lineRule="auto"/>
        <w:tabs>
          <w:tab w:leader="none" w:pos="1010" w:val="left"/>
        </w:tabs>
        <w:numPr>
          <w:ilvl w:val="1"/>
          <w:numId w:val="19"/>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1"/>
          <w:szCs w:val="11"/>
          <w:color w:val="auto"/>
        </w:rPr>
      </w:pPr>
    </w:p>
    <w:p>
      <w:pPr>
        <w:ind w:left="520" w:right="200" w:hanging="260"/>
        <w:spacing w:after="0" w:line="303" w:lineRule="auto"/>
        <w:tabs>
          <w:tab w:leader="none" w:pos="519"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1"/>
          <w:szCs w:val="11"/>
          <w:color w:val="auto"/>
        </w:rPr>
      </w:pPr>
    </w:p>
    <w:p>
      <w:pPr>
        <w:ind w:left="1020" w:right="340" w:hanging="251"/>
        <w:spacing w:after="0" w:line="303" w:lineRule="auto"/>
        <w:tabs>
          <w:tab w:leader="none" w:pos="1010" w:val="left"/>
        </w:tabs>
        <w:numPr>
          <w:ilvl w:val="1"/>
          <w:numId w:val="19"/>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1"/>
          <w:szCs w:val="11"/>
          <w:color w:val="auto"/>
        </w:rPr>
      </w:pPr>
    </w:p>
    <w:p>
      <w:pPr>
        <w:ind w:left="1020" w:hanging="251"/>
        <w:spacing w:after="0"/>
        <w:tabs>
          <w:tab w:leader="none" w:pos="1020" w:val="left"/>
        </w:tabs>
        <w:numPr>
          <w:ilvl w:val="1"/>
          <w:numId w:val="19"/>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Stephen J. Barnard</w:t>
      </w:r>
    </w:p>
    <w:p>
      <w:pPr>
        <w:spacing w:after="0" w:line="54" w:lineRule="exact"/>
        <w:rPr>
          <w:sz w:val="20"/>
          <w:szCs w:val="20"/>
          <w:color w:val="auto"/>
        </w:rPr>
      </w:pPr>
    </w:p>
    <w:p>
      <w:pPr>
        <w:ind w:left="7940"/>
        <w:spacing w:after="0"/>
        <w:rPr>
          <w:sz w:val="20"/>
          <w:szCs w:val="20"/>
          <w:color w:val="auto"/>
        </w:rPr>
      </w:pPr>
      <w:r>
        <w:rPr>
          <w:rFonts w:ascii="Arial" w:cs="Arial" w:eastAsia="Arial" w:hAnsi="Arial"/>
          <w:sz w:val="11"/>
          <w:szCs w:val="11"/>
          <w:color w:val="auto"/>
        </w:rPr>
        <w:t>Chief Executive Officer and Director</w:t>
      </w: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Date: March 10, 2025</w:t>
      </w:r>
    </w:p>
    <w:p>
      <w:pPr>
        <w:sectPr>
          <w:pgSz w:w="11900" w:h="16838" w:orient="portrait"/>
          <w:cols w:equalWidth="0" w:num="1">
            <w:col w:w="11260"/>
          </w:cols>
          <w:pgMar w:left="30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color w:val="auto"/>
        </w:rPr>
        <w:t>I, Bryan E. Giles, certify that:</w:t>
      </w:r>
    </w:p>
    <w:p>
      <w:pPr>
        <w:spacing w:after="0" w:line="181"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I have reviewed this quarterly report on Form 10-Q of Mission Produce, Inc.;</w:t>
      </w:r>
    </w:p>
    <w:p>
      <w:pPr>
        <w:spacing w:after="0" w:line="181" w:lineRule="exact"/>
        <w:rPr>
          <w:rFonts w:ascii="Arial" w:cs="Arial" w:eastAsia="Arial" w:hAnsi="Arial"/>
          <w:sz w:val="11"/>
          <w:szCs w:val="11"/>
          <w:color w:val="auto"/>
        </w:rPr>
      </w:pPr>
    </w:p>
    <w:p>
      <w:pPr>
        <w:ind w:left="520" w:right="180" w:hanging="260"/>
        <w:spacing w:after="0" w:line="283" w:lineRule="auto"/>
        <w:tabs>
          <w:tab w:leader="none" w:pos="519" w:val="left"/>
        </w:tabs>
        <w:numPr>
          <w:ilvl w:val="0"/>
          <w:numId w:val="20"/>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1"/>
          <w:szCs w:val="11"/>
          <w:color w:val="auto"/>
        </w:rPr>
      </w:pPr>
    </w:p>
    <w:p>
      <w:pPr>
        <w:ind w:left="520" w:right="420" w:hanging="260"/>
        <w:spacing w:after="0" w:line="303" w:lineRule="auto"/>
        <w:tabs>
          <w:tab w:leader="none" w:pos="519" w:val="left"/>
        </w:tabs>
        <w:numPr>
          <w:ilvl w:val="0"/>
          <w:numId w:val="20"/>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1"/>
          <w:szCs w:val="11"/>
          <w:color w:val="auto"/>
        </w:rPr>
      </w:pPr>
    </w:p>
    <w:p>
      <w:pPr>
        <w:ind w:left="520" w:right="180" w:hanging="260"/>
        <w:spacing w:after="0" w:line="303" w:lineRule="auto"/>
        <w:tabs>
          <w:tab w:leader="none" w:pos="519"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1"/>
          <w:szCs w:val="11"/>
          <w:color w:val="auto"/>
        </w:rPr>
      </w:pPr>
    </w:p>
    <w:p>
      <w:pPr>
        <w:ind w:left="1020" w:right="180" w:hanging="251"/>
        <w:spacing w:after="0" w:line="303" w:lineRule="auto"/>
        <w:tabs>
          <w:tab w:leader="none" w:pos="1010" w:val="left"/>
        </w:tabs>
        <w:numPr>
          <w:ilvl w:val="1"/>
          <w:numId w:val="20"/>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1"/>
          <w:szCs w:val="11"/>
          <w:color w:val="auto"/>
        </w:rPr>
      </w:pPr>
    </w:p>
    <w:p>
      <w:pPr>
        <w:ind w:left="1020" w:hanging="251"/>
        <w:spacing w:after="0" w:line="303" w:lineRule="auto"/>
        <w:tabs>
          <w:tab w:leader="none" w:pos="1010" w:val="left"/>
        </w:tabs>
        <w:numPr>
          <w:ilvl w:val="1"/>
          <w:numId w:val="2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1"/>
          <w:szCs w:val="11"/>
          <w:color w:val="auto"/>
        </w:rPr>
      </w:pPr>
    </w:p>
    <w:p>
      <w:pPr>
        <w:ind w:left="1020" w:right="160" w:hanging="251"/>
        <w:spacing w:after="0" w:line="283" w:lineRule="auto"/>
        <w:tabs>
          <w:tab w:leader="none" w:pos="1014" w:val="left"/>
        </w:tabs>
        <w:numPr>
          <w:ilvl w:val="1"/>
          <w:numId w:val="20"/>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1"/>
          <w:szCs w:val="11"/>
          <w:color w:val="auto"/>
        </w:rPr>
      </w:pPr>
    </w:p>
    <w:p>
      <w:pPr>
        <w:ind w:left="1020" w:right="40" w:hanging="251"/>
        <w:spacing w:after="0" w:line="303" w:lineRule="auto"/>
        <w:tabs>
          <w:tab w:leader="none" w:pos="1010" w:val="left"/>
        </w:tabs>
        <w:numPr>
          <w:ilvl w:val="1"/>
          <w:numId w:val="20"/>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1"/>
          <w:szCs w:val="11"/>
          <w:color w:val="auto"/>
        </w:rPr>
      </w:pPr>
    </w:p>
    <w:p>
      <w:pPr>
        <w:ind w:left="520" w:right="200" w:hanging="260"/>
        <w:spacing w:after="0" w:line="303" w:lineRule="auto"/>
        <w:tabs>
          <w:tab w:leader="none" w:pos="519"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1"/>
          <w:szCs w:val="11"/>
          <w:color w:val="auto"/>
        </w:rPr>
      </w:pPr>
    </w:p>
    <w:p>
      <w:pPr>
        <w:ind w:left="1020" w:right="340" w:hanging="251"/>
        <w:spacing w:after="0" w:line="303" w:lineRule="auto"/>
        <w:tabs>
          <w:tab w:leader="none" w:pos="1010" w:val="left"/>
        </w:tabs>
        <w:numPr>
          <w:ilvl w:val="1"/>
          <w:numId w:val="20"/>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1"/>
          <w:szCs w:val="11"/>
          <w:color w:val="auto"/>
        </w:rPr>
      </w:pPr>
    </w:p>
    <w:p>
      <w:pPr>
        <w:ind w:left="1020" w:hanging="251"/>
        <w:spacing w:after="0"/>
        <w:tabs>
          <w:tab w:leader="none" w:pos="1020" w:val="left"/>
        </w:tabs>
        <w:numPr>
          <w:ilvl w:val="1"/>
          <w:numId w:val="20"/>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8400"/>
        <w:spacing w:after="0"/>
        <w:rPr>
          <w:sz w:val="20"/>
          <w:szCs w:val="20"/>
          <w:color w:val="auto"/>
        </w:rPr>
      </w:pPr>
      <w:r>
        <w:rPr>
          <w:rFonts w:ascii="Arial" w:cs="Arial" w:eastAsia="Arial" w:hAnsi="Arial"/>
          <w:sz w:val="11"/>
          <w:szCs w:val="11"/>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480"/>
        <w:spacing w:after="0"/>
        <w:rPr>
          <w:sz w:val="20"/>
          <w:szCs w:val="20"/>
          <w:color w:val="auto"/>
        </w:rPr>
      </w:pPr>
      <w:r>
        <w:rPr>
          <w:rFonts w:ascii="Arial" w:cs="Arial" w:eastAsia="Arial" w:hAnsi="Arial"/>
          <w:sz w:val="11"/>
          <w:szCs w:val="11"/>
          <w:color w:val="auto"/>
        </w:rPr>
        <w:t>Bryan E. Giles</w:t>
      </w:r>
    </w:p>
    <w:p>
      <w:pPr>
        <w:spacing w:after="0" w:line="54"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Date: March 10, 2025</w:t>
      </w:r>
    </w:p>
    <w:p>
      <w:pPr>
        <w:sectPr>
          <w:pgSz w:w="11900" w:h="16838" w:orient="portrait"/>
          <w:cols w:equalWidth="0" w:num="1">
            <w:col w:w="11260"/>
          </w:cols>
          <w:pgMar w:left="30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Pursuant to 18 U.S.C. Section 1350, as created by Section 906 of the Sarbanes-Oxley Act of 2002, the undersigned officer of Mission Produce, Inc. (the “Company”) hereby certifies, to the best of his knowledge,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that:</w:t>
      </w:r>
    </w:p>
    <w:p>
      <w:pPr>
        <w:spacing w:after="0" w:line="171" w:lineRule="exact"/>
        <w:rPr>
          <w:sz w:val="20"/>
          <w:szCs w:val="20"/>
          <w:color w:val="auto"/>
        </w:rPr>
      </w:pPr>
    </w:p>
    <w:p>
      <w:pPr>
        <w:ind w:left="520" w:right="160" w:hanging="260"/>
        <w:spacing w:after="0" w:line="283" w:lineRule="auto"/>
        <w:tabs>
          <w:tab w:leader="none" w:pos="514"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Quarterly Report on Form 10-Q of the Company for the quarter ended January 31, 2025 (the “Report”) fully complies with the requirements of Section 13(a) or Section 15(d), as applicable, of the Securities Exchange Act of 1934, as amended; and</w:t>
      </w:r>
    </w:p>
    <w:p>
      <w:pPr>
        <w:spacing w:after="0" w:line="136" w:lineRule="exact"/>
        <w:rPr>
          <w:rFonts w:ascii="Arial" w:cs="Arial" w:eastAsia="Arial" w:hAnsi="Arial"/>
          <w:sz w:val="11"/>
          <w:szCs w:val="11"/>
          <w:color w:val="auto"/>
        </w:rPr>
      </w:pPr>
    </w:p>
    <w:p>
      <w:pPr>
        <w:ind w:left="520" w:hanging="260"/>
        <w:spacing w:after="0"/>
        <w:tabs>
          <w:tab w:leader="none" w:pos="5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Stephen J. Barnard</w:t>
      </w:r>
    </w:p>
    <w:p>
      <w:pPr>
        <w:spacing w:after="0" w:line="54" w:lineRule="exact"/>
        <w:rPr>
          <w:sz w:val="20"/>
          <w:szCs w:val="20"/>
          <w:color w:val="auto"/>
        </w:rPr>
      </w:pPr>
    </w:p>
    <w:p>
      <w:pPr>
        <w:ind w:left="7940"/>
        <w:spacing w:after="0"/>
        <w:rPr>
          <w:sz w:val="20"/>
          <w:szCs w:val="20"/>
          <w:color w:val="auto"/>
        </w:rPr>
      </w:pPr>
      <w:r>
        <w:rPr>
          <w:rFonts w:ascii="Arial" w:cs="Arial" w:eastAsia="Arial" w:hAnsi="Arial"/>
          <w:sz w:val="11"/>
          <w:szCs w:val="11"/>
          <w:color w:val="auto"/>
        </w:rPr>
        <w:t>Chief Executive Officer and Director</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Date: March 10, 2025</w:t>
      </w:r>
    </w:p>
    <w:p>
      <w:pPr>
        <w:sectPr>
          <w:pgSz w:w="11900" w:h="16838" w:orient="portrait"/>
          <w:cols w:equalWidth="0" w:num="1">
            <w:col w:w="11040"/>
          </w:cols>
          <w:pgMar w:left="300" w:top="121" w:right="5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5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Pursuant to 18 U.S.C. Section 1350, as created by Section 906 of the Sarbanes-Oxley Act of 2002, the undersigned officer of Mission Produce, Inc. (the “Company”) hereby certifies, to the best of his knowledge,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that:</w:t>
      </w:r>
    </w:p>
    <w:p>
      <w:pPr>
        <w:spacing w:after="0" w:line="171" w:lineRule="exact"/>
        <w:rPr>
          <w:sz w:val="20"/>
          <w:szCs w:val="20"/>
          <w:color w:val="auto"/>
        </w:rPr>
      </w:pPr>
    </w:p>
    <w:p>
      <w:pPr>
        <w:ind w:left="520" w:right="160" w:hanging="260"/>
        <w:spacing w:after="0" w:line="283" w:lineRule="auto"/>
        <w:tabs>
          <w:tab w:leader="none" w:pos="514"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Quarterly Report on Form 10-Q of the Company for the quarter ended January 31, 2025 (the “Report”) fully complies with the requirements of Section 13(a) or Section 15(d), as applicable, of the Securities Exchange Act of 1934, as amended; and</w:t>
      </w:r>
    </w:p>
    <w:p>
      <w:pPr>
        <w:spacing w:after="0" w:line="136" w:lineRule="exact"/>
        <w:rPr>
          <w:rFonts w:ascii="Arial" w:cs="Arial" w:eastAsia="Arial" w:hAnsi="Arial"/>
          <w:sz w:val="11"/>
          <w:szCs w:val="11"/>
          <w:color w:val="auto"/>
        </w:rPr>
      </w:pPr>
    </w:p>
    <w:p>
      <w:pPr>
        <w:ind w:left="520" w:hanging="260"/>
        <w:spacing w:after="0"/>
        <w:tabs>
          <w:tab w:leader="none" w:pos="5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8400"/>
        <w:spacing w:after="0"/>
        <w:rPr>
          <w:sz w:val="20"/>
          <w:szCs w:val="20"/>
          <w:color w:val="auto"/>
        </w:rPr>
      </w:pPr>
      <w:r>
        <w:rPr>
          <w:rFonts w:ascii="Arial" w:cs="Arial" w:eastAsia="Arial" w:hAnsi="Arial"/>
          <w:sz w:val="11"/>
          <w:szCs w:val="11"/>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480"/>
        <w:spacing w:after="0"/>
        <w:rPr>
          <w:sz w:val="20"/>
          <w:szCs w:val="20"/>
          <w:color w:val="auto"/>
        </w:rPr>
      </w:pPr>
      <w:r>
        <w:rPr>
          <w:rFonts w:ascii="Arial" w:cs="Arial" w:eastAsia="Arial" w:hAnsi="Arial"/>
          <w:sz w:val="11"/>
          <w:szCs w:val="11"/>
          <w:color w:val="auto"/>
        </w:rPr>
        <w:t>Bryan E. Giles</w:t>
      </w:r>
    </w:p>
    <w:p>
      <w:pPr>
        <w:spacing w:after="0" w:line="54"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Chief Financial Officer</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Date: March 10, 2025</w:t>
      </w:r>
    </w:p>
    <w:sectPr>
      <w:pgSz w:w="11900" w:h="16838" w:orient="portrait"/>
      <w:cols w:equalWidth="0" w:num="1">
        <w:col w:w="11040"/>
      </w:cols>
      <w:pgMar w:left="300" w:top="12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7"/>
    </w:lvl>
  </w:abstractNum>
  <w:abstractNum w:abstractNumId="6">
    <w:nsid w:val="7FDCC233"/>
    <w:multiLevelType w:val="hybridMultilevel"/>
    <w:lvl w:ilvl="0">
      <w:lvlJc w:val="left"/>
      <w:lvlText w:val="%1."/>
      <w:numFmt w:val="decimal"/>
      <w:start w:val="8"/>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0" Type="http://schemas.openxmlformats.org/officeDocument/2006/relationships/hyperlink" Target="https://www.sec.gov/Archives/edgar/data/1802974/000119312520265099/d32849dex31.htm" TargetMode="External"/><Relationship Id="rId51" Type="http://schemas.openxmlformats.org/officeDocument/2006/relationships/hyperlink" Target="https://www.sec.gov/Archives/edgar/data/1802974/000180297424000028/ex32amendmenttoamendedandr.htm" TargetMode="External"/><Relationship Id="rId52"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2025-03-10T15:39:19Z</dcterms:created>
  <dcterms:modified xsi:type="dcterms:W3CDTF">2025-03-10T15:39:19Z</dcterms:modified>
</cp:coreProperties>
</file>