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514350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539115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jc w:val="center"/>
        <w:ind w:right="-39"/>
        <w:spacing w:after="0" w:line="232" w:lineRule="auto"/>
        <w:rPr>
          <w:sz w:val="20"/>
          <w:szCs w:val="20"/>
          <w:color w:val="auto"/>
        </w:rPr>
      </w:pPr>
      <w:r>
        <w:rPr>
          <w:rFonts w:ascii="Arial" w:cs="Arial" w:eastAsia="Arial" w:hAnsi="Arial"/>
          <w:sz w:val="24"/>
          <w:szCs w:val="24"/>
          <w:b w:val="1"/>
          <w:bCs w:val="1"/>
          <w:color w:val="auto"/>
        </w:rPr>
        <w:t>SECURITIES AND EXCHANGE COMMISSION</w:t>
      </w:r>
    </w:p>
    <w:p>
      <w:pPr>
        <w:jc w:val="center"/>
        <w:ind w:right="-39"/>
        <w:spacing w:after="0" w:line="219" w:lineRule="auto"/>
        <w:rPr>
          <w:sz w:val="20"/>
          <w:szCs w:val="20"/>
          <w:color w:val="auto"/>
        </w:rPr>
      </w:pPr>
      <w:r>
        <w:rPr>
          <w:rFonts w:ascii="Arial" w:cs="Arial" w:eastAsia="Arial" w:hAnsi="Arial"/>
          <w:sz w:val="14"/>
          <w:szCs w:val="14"/>
          <w:b w:val="1"/>
          <w:bCs w:val="1"/>
          <w:color w:val="auto"/>
        </w:rPr>
        <w:t>WASHINGTON, D.C. 20549</w:t>
      </w:r>
    </w:p>
    <w:p>
      <w:pPr>
        <w:ind w:left="5260"/>
        <w:spacing w:after="0"/>
        <w:rPr>
          <w:sz w:val="20"/>
          <w:szCs w:val="20"/>
          <w:color w:val="auto"/>
        </w:rPr>
      </w:pPr>
      <w:r>
        <w:rPr>
          <w:rFonts w:ascii="Arial" w:cs="Arial" w:eastAsia="Arial" w:hAnsi="Arial"/>
          <w:sz w:val="10"/>
          <w:szCs w:val="10"/>
          <w:u w:val="single" w:color="auto"/>
          <w:color w:val="auto"/>
        </w:rPr>
        <w:t>_____________</w:t>
      </w:r>
    </w:p>
    <w:p>
      <w:pPr>
        <w:spacing w:after="0" w:line="8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10-Q</w:t>
      </w:r>
    </w:p>
    <w:p>
      <w:pPr>
        <w:spacing w:after="0" w:line="14" w:lineRule="exact"/>
        <w:rPr>
          <w:sz w:val="24"/>
          <w:szCs w:val="24"/>
          <w:color w:val="auto"/>
        </w:rPr>
      </w:pPr>
    </w:p>
    <w:p>
      <w:pPr>
        <w:ind w:left="5260"/>
        <w:spacing w:after="0"/>
        <w:rPr>
          <w:sz w:val="20"/>
          <w:szCs w:val="20"/>
          <w:color w:val="auto"/>
        </w:rPr>
      </w:pPr>
      <w:r>
        <w:rPr>
          <w:rFonts w:ascii="Arial" w:cs="Arial" w:eastAsia="Arial" w:hAnsi="Arial"/>
          <w:sz w:val="10"/>
          <w:szCs w:val="10"/>
          <w:u w:val="single" w:color="auto"/>
          <w:color w:val="auto"/>
        </w:rPr>
        <w:t>_____________</w:t>
      </w:r>
    </w:p>
    <w:p>
      <w:pPr>
        <w:spacing w:after="0" w:line="21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9" w:lineRule="exact"/>
        <w:rPr>
          <w:sz w:val="24"/>
          <w:szCs w:val="24"/>
          <w:color w:val="auto"/>
        </w:rPr>
      </w:pPr>
    </w:p>
    <w:p>
      <w:pPr>
        <w:ind w:left="400" w:hanging="380"/>
        <w:spacing w:after="0"/>
        <w:tabs>
          <w:tab w:leader="none" w:pos="40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348" w:lineRule="exact"/>
        <w:rPr>
          <w:sz w:val="24"/>
          <w:szCs w:val="24"/>
          <w:color w:val="auto"/>
        </w:rPr>
      </w:pPr>
    </w:p>
    <w:p>
      <w:pPr>
        <w:ind w:left="4480"/>
        <w:spacing w:after="0"/>
        <w:rPr>
          <w:sz w:val="20"/>
          <w:szCs w:val="20"/>
          <w:color w:val="auto"/>
        </w:rPr>
      </w:pPr>
      <w:r>
        <w:rPr>
          <w:rFonts w:ascii="Arial" w:cs="Arial" w:eastAsia="Arial" w:hAnsi="Arial"/>
          <w:sz w:val="14"/>
          <w:szCs w:val="14"/>
          <w:b w:val="1"/>
          <w:bCs w:val="1"/>
          <w:color w:val="auto"/>
        </w:rPr>
        <w:t>For the quarterly period ended April 30, 2025</w:t>
      </w:r>
    </w:p>
    <w:p>
      <w:pPr>
        <w:spacing w:after="0" w:line="32" w:lineRule="exact"/>
        <w:rPr>
          <w:sz w:val="24"/>
          <w:szCs w:val="24"/>
          <w:color w:val="auto"/>
        </w:rPr>
      </w:pPr>
    </w:p>
    <w:p>
      <w:pPr>
        <w:ind w:left="5520"/>
        <w:spacing w:after="0"/>
        <w:rPr>
          <w:sz w:val="20"/>
          <w:szCs w:val="20"/>
          <w:color w:val="auto"/>
        </w:rPr>
      </w:pPr>
      <w:r>
        <w:rPr>
          <w:rFonts w:ascii="Arial" w:cs="Arial" w:eastAsia="Arial" w:hAnsi="Arial"/>
          <w:sz w:val="14"/>
          <w:szCs w:val="14"/>
          <w:b w:val="1"/>
          <w:bCs w:val="1"/>
          <w:color w:val="auto"/>
        </w:rPr>
        <w:t>OR</w:t>
      </w:r>
    </w:p>
    <w:p>
      <w:pPr>
        <w:spacing w:after="0" w:line="273" w:lineRule="exact"/>
        <w:rPr>
          <w:sz w:val="24"/>
          <w:szCs w:val="24"/>
          <w:color w:val="auto"/>
        </w:rPr>
      </w:pPr>
    </w:p>
    <w:p>
      <w:pPr>
        <w:ind w:left="400" w:hanging="380"/>
        <w:spacing w:after="0"/>
        <w:tabs>
          <w:tab w:leader="none" w:pos="40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90" w:lineRule="exact"/>
        <w:rPr>
          <w:sz w:val="24"/>
          <w:szCs w:val="24"/>
          <w:color w:val="auto"/>
        </w:rPr>
      </w:pPr>
    </w:p>
    <w:p>
      <w:pPr>
        <w:ind w:left="3780"/>
        <w:spacing w:after="0"/>
        <w:tabs>
          <w:tab w:leader="none" w:pos="65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3646170</wp:posOffset>
            </wp:positionH>
            <wp:positionV relativeFrom="paragraph">
              <wp:posOffset>-5715</wp:posOffset>
            </wp:positionV>
            <wp:extent cx="1099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001-39561</w:t>
      </w:r>
    </w:p>
    <w:p>
      <w:pPr>
        <w:ind w:left="5260"/>
        <w:spacing w:after="0"/>
        <w:rPr>
          <w:sz w:val="20"/>
          <w:szCs w:val="20"/>
          <w:color w:val="auto"/>
        </w:rPr>
      </w:pPr>
      <w:r>
        <w:rPr>
          <w:rFonts w:ascii="Arial" w:cs="Arial" w:eastAsia="Arial" w:hAnsi="Arial"/>
          <w:sz w:val="10"/>
          <w:szCs w:val="10"/>
          <w:u w:val="single" w:color="auto"/>
          <w:color w:val="auto"/>
        </w:rPr>
        <w:t>_____________</w:t>
      </w:r>
    </w:p>
    <w:p>
      <w:pPr>
        <w:spacing w:after="0" w:line="324"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MISSION PRODUCE, INC.</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5560"/>
        <w:spacing w:after="0"/>
        <w:rPr>
          <w:sz w:val="20"/>
          <w:szCs w:val="20"/>
          <w:color w:val="auto"/>
        </w:rPr>
      </w:pPr>
      <w:r>
        <w:rPr>
          <w:rFonts w:ascii="Arial" w:cs="Arial" w:eastAsia="Arial" w:hAnsi="Arial"/>
          <w:sz w:val="10"/>
          <w:szCs w:val="10"/>
          <w:u w:val="single" w:color="auto"/>
          <w:color w:val="auto"/>
        </w:rPr>
        <w:t>_____________</w:t>
      </w:r>
    </w:p>
    <w:p>
      <w:pPr>
        <w:sectPr>
          <w:pgSz w:w="11900" w:h="16838" w:orient="portrait"/>
          <w:cols w:equalWidth="0" w:num="1">
            <w:col w:w="11200"/>
          </w:cols>
          <w:pgMar w:left="320" w:top="981" w:right="379" w:bottom="1440" w:gutter="0" w:footer="0" w:header="0"/>
        </w:sectPr>
      </w:pPr>
    </w:p>
    <w:p>
      <w:pPr>
        <w:spacing w:after="0" w:line="227" w:lineRule="exact"/>
        <w:rPr>
          <w:sz w:val="24"/>
          <w:szCs w:val="24"/>
          <w:color w:val="auto"/>
        </w:rPr>
      </w:pPr>
    </w:p>
    <w:p>
      <w:pPr>
        <w:jc w:val="center"/>
        <w:ind w:right="2600"/>
        <w:spacing w:after="0"/>
        <w:rPr>
          <w:sz w:val="20"/>
          <w:szCs w:val="20"/>
          <w:color w:val="auto"/>
        </w:rPr>
      </w:pPr>
      <w:r>
        <w:rPr>
          <w:rFonts w:ascii="Arial" w:cs="Arial" w:eastAsia="Arial" w:hAnsi="Arial"/>
          <w:sz w:val="14"/>
          <w:szCs w:val="14"/>
          <w:b w:val="1"/>
          <w:bCs w:val="1"/>
          <w:color w:val="auto"/>
        </w:rPr>
        <w:t>Delaware</w:t>
      </w:r>
    </w:p>
    <w:p>
      <w:pPr>
        <w:spacing w:after="0" w:line="3" w:lineRule="exact"/>
        <w:rPr>
          <w:sz w:val="24"/>
          <w:szCs w:val="24"/>
          <w:color w:val="auto"/>
        </w:rPr>
      </w:pPr>
    </w:p>
    <w:p>
      <w:pPr>
        <w:ind w:left="1720"/>
        <w:spacing w:after="0"/>
        <w:rPr>
          <w:sz w:val="20"/>
          <w:szCs w:val="20"/>
          <w:color w:val="auto"/>
        </w:rPr>
      </w:pPr>
      <w:r>
        <w:rPr>
          <w:rFonts w:ascii="Arial" w:cs="Arial" w:eastAsia="Arial" w:hAnsi="Arial"/>
          <w:sz w:val="13"/>
          <w:szCs w:val="13"/>
          <w:b w:val="1"/>
          <w:bCs w:val="1"/>
          <w:color w:val="auto"/>
        </w:rPr>
        <w:t>(State or Other Jurisdiction of</w:t>
      </w:r>
    </w:p>
    <w:p>
      <w:pPr>
        <w:spacing w:after="0" w:line="5" w:lineRule="exact"/>
        <w:rPr>
          <w:sz w:val="24"/>
          <w:szCs w:val="24"/>
          <w:color w:val="auto"/>
        </w:rPr>
      </w:pPr>
    </w:p>
    <w:p>
      <w:pPr>
        <w:ind w:left="1700"/>
        <w:spacing w:after="0"/>
        <w:rPr>
          <w:sz w:val="20"/>
          <w:szCs w:val="20"/>
          <w:color w:val="auto"/>
        </w:rPr>
      </w:pPr>
      <w:r>
        <w:rPr>
          <w:rFonts w:ascii="Arial" w:cs="Arial" w:eastAsia="Arial" w:hAnsi="Arial"/>
          <w:sz w:val="13"/>
          <w:szCs w:val="13"/>
          <w:b w:val="1"/>
          <w:bCs w:val="1"/>
          <w:color w:val="auto"/>
        </w:rPr>
        <w:t>Incorporation or Organization)</w:t>
      </w:r>
    </w:p>
    <w:p>
      <w:pPr>
        <w:spacing w:after="0" w:line="151" w:lineRule="exact"/>
        <w:rPr>
          <w:sz w:val="24"/>
          <w:szCs w:val="24"/>
          <w:color w:val="auto"/>
        </w:rPr>
      </w:pPr>
    </w:p>
    <w:p>
      <w:pPr>
        <w:jc w:val="center"/>
        <w:ind w:right="2600"/>
        <w:spacing w:after="0"/>
        <w:rPr>
          <w:sz w:val="20"/>
          <w:szCs w:val="20"/>
          <w:color w:val="auto"/>
        </w:rPr>
      </w:pPr>
      <w:r>
        <w:rPr>
          <w:rFonts w:ascii="Arial" w:cs="Arial" w:eastAsia="Arial" w:hAnsi="Arial"/>
          <w:sz w:val="14"/>
          <w:szCs w:val="14"/>
          <w:b w:val="1"/>
          <w:bCs w:val="1"/>
          <w:color w:val="auto"/>
        </w:rPr>
        <w:t>2710 Camino Del Sol</w:t>
      </w:r>
    </w:p>
    <w:p>
      <w:pPr>
        <w:spacing w:after="0" w:line="21" w:lineRule="exact"/>
        <w:rPr>
          <w:sz w:val="24"/>
          <w:szCs w:val="24"/>
          <w:color w:val="auto"/>
        </w:rPr>
      </w:pPr>
    </w:p>
    <w:p>
      <w:pPr>
        <w:jc w:val="center"/>
        <w:ind w:right="2600"/>
        <w:spacing w:after="0"/>
        <w:rPr>
          <w:sz w:val="20"/>
          <w:szCs w:val="20"/>
          <w:color w:val="auto"/>
        </w:rPr>
      </w:pPr>
      <w:r>
        <w:rPr>
          <w:rFonts w:ascii="Arial" w:cs="Arial" w:eastAsia="Arial" w:hAnsi="Arial"/>
          <w:sz w:val="14"/>
          <w:szCs w:val="14"/>
          <w:b w:val="1"/>
          <w:bCs w:val="1"/>
          <w:color w:val="auto"/>
        </w:rPr>
        <w:t>Oxnard, California</w:t>
      </w:r>
    </w:p>
    <w:p>
      <w:pPr>
        <w:spacing w:after="0" w:line="1" w:lineRule="exact"/>
        <w:rPr>
          <w:sz w:val="24"/>
          <w:szCs w:val="24"/>
          <w:color w:val="auto"/>
        </w:rPr>
      </w:pPr>
    </w:p>
    <w:p>
      <w:pPr>
        <w:ind w:left="140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16" w:lineRule="exact"/>
        <w:rPr>
          <w:sz w:val="24"/>
          <w:szCs w:val="24"/>
          <w:color w:val="auto"/>
        </w:rPr>
      </w:pPr>
    </w:p>
    <w:p>
      <w:pPr>
        <w:jc w:val="center"/>
        <w:ind w:left="3380"/>
        <w:spacing w:after="0"/>
        <w:rPr>
          <w:sz w:val="20"/>
          <w:szCs w:val="20"/>
          <w:color w:val="auto"/>
        </w:rPr>
      </w:pPr>
      <w:r>
        <w:rPr>
          <w:rFonts w:ascii="Arial" w:cs="Arial" w:eastAsia="Arial" w:hAnsi="Arial"/>
          <w:sz w:val="13"/>
          <w:szCs w:val="13"/>
          <w:b w:val="1"/>
          <w:bCs w:val="1"/>
          <w:color w:val="auto"/>
        </w:rPr>
        <w:t>Registrant’s Telephone Number, Including Area Code: (805) 981-3650</w:t>
      </w:r>
    </w:p>
    <w:p>
      <w:pPr>
        <w:spacing w:after="0" w:line="12" w:lineRule="exact"/>
        <w:rPr>
          <w:sz w:val="24"/>
          <w:szCs w:val="24"/>
          <w:color w:val="auto"/>
        </w:rPr>
      </w:pPr>
    </w:p>
    <w:p>
      <w:pPr>
        <w:ind w:left="5260"/>
        <w:spacing w:after="0"/>
        <w:rPr>
          <w:sz w:val="20"/>
          <w:szCs w:val="20"/>
          <w:color w:val="auto"/>
        </w:rPr>
      </w:pPr>
      <w:r>
        <w:rPr>
          <w:rFonts w:ascii="Arial" w:cs="Arial" w:eastAsia="Arial" w:hAnsi="Arial"/>
          <w:sz w:val="10"/>
          <w:szCs w:val="10"/>
          <w:u w:val="single" w:color="auto"/>
          <w:color w:val="auto"/>
        </w:rPr>
        <w:t>_____________</w:t>
      </w:r>
    </w:p>
    <w:p>
      <w:pPr>
        <w:spacing w:after="0" w:line="98" w:lineRule="exact"/>
        <w:rPr>
          <w:sz w:val="24"/>
          <w:szCs w:val="24"/>
          <w:color w:val="auto"/>
        </w:rPr>
      </w:pPr>
    </w:p>
    <w:p>
      <w:pPr>
        <w:ind w:left="374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jc w:val="center"/>
        <w:ind w:right="2140"/>
        <w:spacing w:after="0"/>
        <w:rPr>
          <w:sz w:val="20"/>
          <w:szCs w:val="20"/>
          <w:color w:val="auto"/>
        </w:rPr>
      </w:pPr>
      <w:r>
        <w:rPr>
          <w:rFonts w:ascii="Arial" w:cs="Arial" w:eastAsia="Arial" w:hAnsi="Arial"/>
          <w:sz w:val="14"/>
          <w:szCs w:val="14"/>
          <w:b w:val="1"/>
          <w:bCs w:val="1"/>
          <w:color w:val="auto"/>
        </w:rPr>
        <w:t>95-3847744</w:t>
      </w:r>
    </w:p>
    <w:p>
      <w:pPr>
        <w:spacing w:after="0" w:line="3" w:lineRule="exact"/>
        <w:rPr>
          <w:sz w:val="24"/>
          <w:szCs w:val="24"/>
          <w:color w:val="auto"/>
        </w:rPr>
      </w:pPr>
    </w:p>
    <w:p>
      <w:pPr>
        <w:jc w:val="center"/>
        <w:ind w:right="2140"/>
        <w:spacing w:after="0"/>
        <w:rPr>
          <w:sz w:val="20"/>
          <w:szCs w:val="20"/>
          <w:color w:val="auto"/>
        </w:rPr>
      </w:pPr>
      <w:r>
        <w:rPr>
          <w:rFonts w:ascii="Arial" w:cs="Arial" w:eastAsia="Arial" w:hAnsi="Arial"/>
          <w:sz w:val="13"/>
          <w:szCs w:val="13"/>
          <w:b w:val="1"/>
          <w:bCs w:val="1"/>
          <w:color w:val="auto"/>
        </w:rPr>
        <w:t>(I.R.S. Employer</w:t>
      </w:r>
    </w:p>
    <w:p>
      <w:pPr>
        <w:spacing w:after="0" w:line="5" w:lineRule="exact"/>
        <w:rPr>
          <w:sz w:val="24"/>
          <w:szCs w:val="24"/>
          <w:color w:val="auto"/>
        </w:rPr>
      </w:pPr>
    </w:p>
    <w:p>
      <w:pPr>
        <w:jc w:val="center"/>
        <w:ind w:right="2140"/>
        <w:spacing w:after="0"/>
        <w:rPr>
          <w:sz w:val="20"/>
          <w:szCs w:val="20"/>
          <w:color w:val="auto"/>
        </w:rPr>
      </w:pPr>
      <w:r>
        <w:rPr>
          <w:rFonts w:ascii="Arial" w:cs="Arial" w:eastAsia="Arial" w:hAnsi="Arial"/>
          <w:sz w:val="13"/>
          <w:szCs w:val="13"/>
          <w:b w:val="1"/>
          <w:bCs w:val="1"/>
          <w:color w:val="auto"/>
        </w:rPr>
        <w:t>Identification No.)</w:t>
      </w:r>
    </w:p>
    <w:p>
      <w:pPr>
        <w:spacing w:after="0" w:line="151" w:lineRule="exact"/>
        <w:rPr>
          <w:sz w:val="24"/>
          <w:szCs w:val="24"/>
          <w:color w:val="auto"/>
        </w:rPr>
      </w:pPr>
    </w:p>
    <w:p>
      <w:pPr>
        <w:jc w:val="center"/>
        <w:ind w:right="2140"/>
        <w:spacing w:after="0"/>
        <w:rPr>
          <w:sz w:val="20"/>
          <w:szCs w:val="20"/>
          <w:color w:val="auto"/>
        </w:rPr>
      </w:pPr>
      <w:r>
        <w:rPr>
          <w:rFonts w:ascii="Arial" w:cs="Arial" w:eastAsia="Arial" w:hAnsi="Arial"/>
          <w:sz w:val="14"/>
          <w:szCs w:val="14"/>
          <w:b w:val="1"/>
          <w:bCs w:val="1"/>
          <w:color w:val="auto"/>
        </w:rPr>
        <w:t>93030</w:t>
      </w:r>
    </w:p>
    <w:p>
      <w:pPr>
        <w:spacing w:after="0" w:line="15" w:lineRule="exact"/>
        <w:rPr>
          <w:sz w:val="24"/>
          <w:szCs w:val="24"/>
          <w:color w:val="auto"/>
        </w:rPr>
      </w:pPr>
    </w:p>
    <w:p>
      <w:pPr>
        <w:ind w:left="240"/>
        <w:spacing w:after="0"/>
        <w:rPr>
          <w:sz w:val="20"/>
          <w:szCs w:val="20"/>
          <w:color w:val="auto"/>
        </w:rPr>
      </w:pPr>
      <w:r>
        <w:rPr>
          <w:rFonts w:ascii="Arial" w:cs="Arial" w:eastAsia="Arial" w:hAnsi="Arial"/>
          <w:sz w:val="13"/>
          <w:szCs w:val="13"/>
          <w:b w:val="1"/>
          <w:bCs w:val="1"/>
          <w:color w:val="auto"/>
        </w:rPr>
        <w:t>(Zip Code)</w:t>
      </w:r>
    </w:p>
    <w:p>
      <w:pPr>
        <w:spacing w:after="0" w:line="1105" w:lineRule="exact"/>
        <w:rPr>
          <w:sz w:val="24"/>
          <w:szCs w:val="24"/>
          <w:color w:val="auto"/>
        </w:rPr>
      </w:pPr>
    </w:p>
    <w:p>
      <w:pPr>
        <w:sectPr>
          <w:pgSz w:w="11900" w:h="16838" w:orient="portrait"/>
          <w:cols w:equalWidth="0" w:num="2">
            <w:col w:w="7860" w:space="100"/>
            <w:col w:w="3240"/>
          </w:cols>
          <w:pgMar w:left="320" w:top="981" w:right="379" w:bottom="1440" w:gutter="0" w:footer="0" w:header="0"/>
          <w:type w:val="continuous"/>
        </w:sectPr>
      </w:pPr>
    </w:p>
    <w:p>
      <w:pPr>
        <w:spacing w:after="0" w:line="116" w:lineRule="exact"/>
        <w:rPr>
          <w:sz w:val="24"/>
          <w:szCs w:val="24"/>
          <w:color w:val="auto"/>
        </w:rPr>
      </w:pPr>
    </w:p>
    <w:tbl>
      <w:tblPr>
        <w:tblLayout w:type="fixed"/>
        <w:tblInd w:w="860" w:type="dxa"/>
        <w:tblCellMar>
          <w:top w:w="0" w:type="dxa"/>
          <w:left w:w="0" w:type="dxa"/>
          <w:bottom w:w="0" w:type="dxa"/>
          <w:right w:w="0" w:type="dxa"/>
        </w:tblCellMar>
      </w:tblPr>
      <w:tr>
        <w:trPr>
          <w:trHeight w:val="18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 of each class</w:t>
            </w:r>
          </w:p>
        </w:tc>
        <w:tc>
          <w:tcPr>
            <w:tcW w:w="10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Trading Symbol(s)</w:t>
            </w:r>
          </w:p>
        </w:tc>
        <w:tc>
          <w:tcPr>
            <w:tcW w:w="120" w:type="dxa"/>
            <w:vAlign w:val="bottom"/>
          </w:tcPr>
          <w:p>
            <w:pPr>
              <w:spacing w:after="0"/>
              <w:rPr>
                <w:sz w:val="16"/>
                <w:szCs w:val="16"/>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Name of each exchange on which registered</w:t>
            </w:r>
          </w:p>
        </w:tc>
      </w:tr>
      <w:tr>
        <w:trPr>
          <w:trHeight w:val="185"/>
        </w:trPr>
        <w:tc>
          <w:tcPr>
            <w:tcW w:w="3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Common Stock, par value $0.001 per share</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AVO</w:t>
            </w:r>
          </w:p>
        </w:tc>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8"/>
              </w:rPr>
              <w:t>NASDAQ Global Select Market</w:t>
            </w:r>
          </w:p>
        </w:tc>
      </w:tr>
    </w:tbl>
    <w:p>
      <w:pPr>
        <w:spacing w:after="0" w:line="200" w:lineRule="exact"/>
        <w:rPr>
          <w:sz w:val="24"/>
          <w:szCs w:val="24"/>
          <w:color w:val="auto"/>
        </w:rPr>
      </w:pPr>
    </w:p>
    <w:p>
      <w:pPr>
        <w:spacing w:after="0" w:line="220" w:lineRule="exact"/>
        <w:rPr>
          <w:sz w:val="24"/>
          <w:szCs w:val="24"/>
          <w:color w:val="auto"/>
        </w:rPr>
      </w:pPr>
    </w:p>
    <w:p>
      <w:pPr>
        <w:ind w:right="120" w:firstLine="464"/>
        <w:spacing w:after="0" w:line="18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2" w:lineRule="exact"/>
        <w:rPr>
          <w:sz w:val="24"/>
          <w:szCs w:val="24"/>
          <w:color w:val="auto"/>
        </w:rPr>
      </w:pPr>
    </w:p>
    <w:p>
      <w:pPr>
        <w:ind w:firstLine="464"/>
        <w:spacing w:after="0" w:line="17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 w:lineRule="exact"/>
        <w:rPr>
          <w:sz w:val="24"/>
          <w:szCs w:val="24"/>
          <w:color w:val="auto"/>
        </w:rPr>
      </w:pPr>
    </w:p>
    <w:p>
      <w:pPr>
        <w:ind w:right="460" w:firstLine="464"/>
        <w:spacing w:after="0" w:line="31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2" w:lineRule="exact"/>
        <w:rPr>
          <w:sz w:val="24"/>
          <w:szCs w:val="24"/>
          <w:color w:val="auto"/>
        </w:rPr>
      </w:pPr>
    </w:p>
    <w:tbl>
      <w:tblPr>
        <w:tblLayout w:type="fixed"/>
        <w:tblInd w:w="640" w:type="dxa"/>
        <w:tblCellMar>
          <w:top w:w="0" w:type="dxa"/>
          <w:left w:w="0" w:type="dxa"/>
          <w:bottom w:w="0" w:type="dxa"/>
          <w:right w:w="0" w:type="dxa"/>
        </w:tblCellMar>
      </w:tblPr>
      <w:tr>
        <w:trPr>
          <w:trHeight w:val="193"/>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8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ind w:left="248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3"/>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28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ind w:left="248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8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8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spacing w:after="0"/>
              <w:rPr>
                <w:sz w:val="19"/>
                <w:szCs w:val="19"/>
                <w:color w:val="auto"/>
              </w:rPr>
            </w:pPr>
          </w:p>
        </w:tc>
        <w:tc>
          <w:tcPr>
            <w:tcW w:w="380" w:type="dxa"/>
            <w:vAlign w:val="bottom"/>
          </w:tcPr>
          <w:p>
            <w:pPr>
              <w:spacing w:after="0"/>
              <w:rPr>
                <w:sz w:val="19"/>
                <w:szCs w:val="19"/>
                <w:color w:val="auto"/>
              </w:rPr>
            </w:pPr>
          </w:p>
        </w:tc>
      </w:tr>
    </w:tbl>
    <w:p>
      <w:pPr>
        <w:spacing w:after="0" w:line="395" w:lineRule="exact"/>
        <w:rPr>
          <w:sz w:val="24"/>
          <w:szCs w:val="24"/>
          <w:color w:val="auto"/>
        </w:rPr>
      </w:pPr>
    </w:p>
    <w:p>
      <w:pPr>
        <w:ind w:right="300" w:firstLine="464"/>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60" w:right="3520"/>
        <w:spacing w:after="0" w:line="21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June 1, 2025, the registrant had 70,618,213 shares of common stock at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720725</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389890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414655</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TABLE OF CONTENTS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FISCAL SECOND QUARTER 2025</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24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w w:val="96"/>
              </w:rPr>
              <w:t>PART I- FINANCIAL INFORMATION</w:t>
            </w:r>
          </w:p>
        </w:tc>
        <w:tc>
          <w:tcPr>
            <w:tcW w:w="6180" w:type="dxa"/>
            <w:vAlign w:val="bottom"/>
            <w:gridSpan w:val="14"/>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5</w:t>
            </w:r>
          </w:p>
        </w:tc>
        <w:tc>
          <w:tcPr>
            <w:tcW w:w="100" w:type="dxa"/>
            <w:vAlign w:val="bottom"/>
          </w:tcPr>
          <w:p>
            <w:pPr>
              <w:spacing w:after="0"/>
              <w:rPr>
                <w:sz w:val="14"/>
                <w:szCs w:val="14"/>
                <w:color w:val="auto"/>
              </w:rPr>
            </w:pPr>
          </w:p>
        </w:tc>
      </w:tr>
      <w:tr>
        <w:trPr>
          <w:trHeight w:val="341"/>
        </w:trPr>
        <w:tc>
          <w:tcPr>
            <w:tcW w:w="7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1.</w:t>
            </w:r>
          </w:p>
        </w:tc>
        <w:tc>
          <w:tcPr>
            <w:tcW w:w="7260" w:type="dxa"/>
            <w:vAlign w:val="bottom"/>
            <w:gridSpan w:val="19"/>
          </w:tcPr>
          <w:p>
            <w:pPr>
              <w:spacing w:after="0"/>
              <w:rPr>
                <w:sz w:val="20"/>
                <w:szCs w:val="20"/>
                <w:color w:val="auto"/>
              </w:rPr>
            </w:pPr>
            <w:r>
              <w:rPr>
                <w:rFonts w:ascii="Arial" w:cs="Arial" w:eastAsia="Arial" w:hAnsi="Arial"/>
                <w:sz w:val="14"/>
                <w:szCs w:val="14"/>
                <w:color w:val="0000FF"/>
              </w:rPr>
              <w:t>Financial Statements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5</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rPr>
              <w:t>Condensed Consolidated Balance Sheets (Unaudited)</w:t>
            </w:r>
          </w:p>
        </w:tc>
        <w:tc>
          <w:tcPr>
            <w:tcW w:w="3660" w:type="dxa"/>
            <w:vAlign w:val="bottom"/>
            <w:gridSpan w:val="8"/>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5</w:t>
            </w:r>
          </w:p>
        </w:tc>
        <w:tc>
          <w:tcPr>
            <w:tcW w:w="100" w:type="dxa"/>
            <w:vAlign w:val="bottom"/>
          </w:tcPr>
          <w:p>
            <w:pPr>
              <w:spacing w:after="0"/>
              <w:rPr>
                <w:sz w:val="17"/>
                <w:szCs w:val="17"/>
                <w:color w:val="auto"/>
              </w:rPr>
            </w:pP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60" w:type="dxa"/>
            <w:vAlign w:val="bottom"/>
            <w:gridSpan w:val="19"/>
          </w:tcPr>
          <w:p>
            <w:pPr>
              <w:spacing w:after="0"/>
              <w:rPr>
                <w:sz w:val="20"/>
                <w:szCs w:val="20"/>
                <w:color w:val="auto"/>
              </w:rPr>
            </w:pPr>
            <w:r>
              <w:rPr>
                <w:rFonts w:ascii="Arial" w:cs="Arial" w:eastAsia="Arial" w:hAnsi="Arial"/>
                <w:sz w:val="14"/>
                <w:szCs w:val="14"/>
                <w:color w:val="0000FF"/>
              </w:rPr>
              <w:t xml:space="preserve">Condensed Consolidated Statements of </w:t>
            </w:r>
            <w:r>
              <w:rPr>
                <w:rFonts w:ascii="Arial" w:cs="Arial" w:eastAsia="Arial" w:hAnsi="Arial"/>
                <w:sz w:val="14"/>
                <w:szCs w:val="14"/>
                <w:color w:val="3051F2"/>
              </w:rPr>
              <w:t>Income (Unaudited)</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6</w:t>
            </w: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gridSpan w:val="2"/>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60" w:type="dxa"/>
            <w:vAlign w:val="bottom"/>
            <w:gridSpan w:val="19"/>
          </w:tcPr>
          <w:p>
            <w:pPr>
              <w:spacing w:after="0"/>
              <w:rPr>
                <w:sz w:val="20"/>
                <w:szCs w:val="20"/>
                <w:color w:val="auto"/>
              </w:rPr>
            </w:pPr>
            <w:r>
              <w:rPr>
                <w:rFonts w:ascii="Arial" w:cs="Arial" w:eastAsia="Arial" w:hAnsi="Arial"/>
                <w:sz w:val="14"/>
                <w:szCs w:val="14"/>
                <w:color w:val="0000FF"/>
              </w:rPr>
              <w:t xml:space="preserve">Condensed Consolidated Statements of </w:t>
            </w:r>
            <w:r>
              <w:rPr>
                <w:rFonts w:ascii="Arial" w:cs="Arial" w:eastAsia="Arial" w:hAnsi="Arial"/>
                <w:sz w:val="14"/>
                <w:szCs w:val="14"/>
                <w:color w:val="3051F2"/>
              </w:rPr>
              <w:t>Comprehensive Income (Unaudited)</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7</w:t>
            </w: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gridSpan w:val="2"/>
            <w:shd w:val="clear" w:color="auto" w:fill="3051F2"/>
          </w:tcPr>
          <w:p>
            <w:pPr>
              <w:spacing w:after="0" w:line="20" w:lineRule="exact"/>
              <w:rPr>
                <w:sz w:val="1"/>
                <w:szCs w:val="1"/>
                <w:color w:val="auto"/>
              </w:rPr>
            </w:pPr>
          </w:p>
        </w:tc>
        <w:tc>
          <w:tcPr>
            <w:tcW w:w="120" w:type="dxa"/>
            <w:vAlign w:val="bottom"/>
            <w:gridSpan w:val="2"/>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60" w:type="dxa"/>
            <w:vAlign w:val="bottom"/>
            <w:gridSpan w:val="19"/>
          </w:tcPr>
          <w:p>
            <w:pPr>
              <w:spacing w:after="0"/>
              <w:rPr>
                <w:sz w:val="20"/>
                <w:szCs w:val="20"/>
                <w:color w:val="auto"/>
              </w:rPr>
            </w:pPr>
            <w:r>
              <w:rPr>
                <w:rFonts w:ascii="Arial" w:cs="Arial" w:eastAsia="Arial" w:hAnsi="Arial"/>
                <w:sz w:val="14"/>
                <w:szCs w:val="14"/>
                <w:color w:val="0000FF"/>
              </w:rPr>
              <w:t>Condensed Consolidated Statements of Changes in Equity (Unaudited)</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8</w:t>
            </w: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6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4"/>
                <w:szCs w:val="14"/>
                <w:color w:val="0000FF"/>
                <w:w w:val="98"/>
              </w:rPr>
              <w:t>Condensed Consolidated Statements of Cash Flows (Unaudited)</w:t>
            </w:r>
          </w:p>
        </w:tc>
        <w:tc>
          <w:tcPr>
            <w:tcW w:w="380" w:type="dxa"/>
            <w:vAlign w:val="bottom"/>
            <w:tcBorders>
              <w:top w:val="single" w:sz="8" w:color="0000FF"/>
            </w:tcBorders>
            <w:gridSpan w:val="2"/>
          </w:tcPr>
          <w:p>
            <w:pPr>
              <w:spacing w:after="0"/>
              <w:rPr>
                <w:sz w:val="17"/>
                <w:szCs w:val="17"/>
                <w:color w:val="auto"/>
              </w:rPr>
            </w:pPr>
          </w:p>
        </w:tc>
        <w:tc>
          <w:tcPr>
            <w:tcW w:w="2920" w:type="dxa"/>
            <w:vAlign w:val="bottom"/>
            <w:gridSpan w:val="3"/>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4"/>
                <w:szCs w:val="14"/>
                <w:color w:val="0000FF"/>
                <w:w w:val="76"/>
              </w:rPr>
              <w:t>9</w:t>
            </w:r>
          </w:p>
        </w:tc>
        <w:tc>
          <w:tcPr>
            <w:tcW w:w="100" w:type="dxa"/>
            <w:vAlign w:val="bottom"/>
          </w:tcPr>
          <w:p>
            <w:pPr>
              <w:spacing w:after="0"/>
              <w:rPr>
                <w:sz w:val="17"/>
                <w:szCs w:val="17"/>
                <w:color w:val="auto"/>
              </w:rPr>
            </w:pP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60" w:type="dxa"/>
            <w:vAlign w:val="bottom"/>
            <w:gridSpan w:val="19"/>
          </w:tcPr>
          <w:p>
            <w:pPr>
              <w:spacing w:after="0"/>
              <w:rPr>
                <w:sz w:val="20"/>
                <w:szCs w:val="20"/>
                <w:color w:val="auto"/>
              </w:rPr>
            </w:pPr>
            <w:r>
              <w:rPr>
                <w:rFonts w:ascii="Arial" w:cs="Arial" w:eastAsia="Arial" w:hAnsi="Arial"/>
                <w:sz w:val="14"/>
                <w:szCs w:val="14"/>
                <w:color w:val="0000FF"/>
              </w:rPr>
              <w:t>Notes to Unaudited Condensed Consolidated Financial Statements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11</w:t>
            </w: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2.</w:t>
            </w:r>
          </w:p>
        </w:tc>
        <w:tc>
          <w:tcPr>
            <w:tcW w:w="7260" w:type="dxa"/>
            <w:vAlign w:val="bottom"/>
            <w:gridSpan w:val="19"/>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20</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3.</w:t>
            </w:r>
          </w:p>
        </w:tc>
        <w:tc>
          <w:tcPr>
            <w:tcW w:w="7260" w:type="dxa"/>
            <w:vAlign w:val="bottom"/>
            <w:gridSpan w:val="19"/>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29</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4.</w:t>
            </w:r>
          </w:p>
        </w:tc>
        <w:tc>
          <w:tcPr>
            <w:tcW w:w="7260" w:type="dxa"/>
            <w:vAlign w:val="bottom"/>
            <w:gridSpan w:val="19"/>
          </w:tcPr>
          <w:p>
            <w:pPr>
              <w:spacing w:after="0"/>
              <w:rPr>
                <w:sz w:val="20"/>
                <w:szCs w:val="20"/>
                <w:color w:val="auto"/>
              </w:rPr>
            </w:pPr>
            <w:r>
              <w:rPr>
                <w:rFonts w:ascii="Arial" w:cs="Arial" w:eastAsia="Arial" w:hAnsi="Arial"/>
                <w:sz w:val="14"/>
                <w:szCs w:val="14"/>
                <w:color w:val="0000FF"/>
              </w:rPr>
              <w:t>Controls and Procedures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29</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7"/>
        </w:trPr>
        <w:tc>
          <w:tcPr>
            <w:tcW w:w="720" w:type="dxa"/>
            <w:vAlign w:val="bottom"/>
          </w:tcPr>
          <w:p>
            <w:pPr>
              <w:spacing w:after="0"/>
              <w:rPr>
                <w:sz w:val="24"/>
                <w:szCs w:val="24"/>
                <w:color w:val="auto"/>
              </w:rPr>
            </w:pPr>
          </w:p>
        </w:tc>
        <w:tc>
          <w:tcPr>
            <w:tcW w:w="204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w w:val="96"/>
              </w:rPr>
              <w:t>PART II- OTHER INFORMATION</w:t>
            </w:r>
          </w:p>
        </w:tc>
        <w:tc>
          <w:tcPr>
            <w:tcW w:w="6380" w:type="dxa"/>
            <w:vAlign w:val="bottom"/>
            <w:gridSpan w:val="15"/>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7"/>
                <w:szCs w:val="7"/>
                <w:color w:val="0000FF"/>
                <w:w w:val="76"/>
              </w:rPr>
              <w:t>30</w:t>
            </w:r>
          </w:p>
        </w:tc>
        <w:tc>
          <w:tcPr>
            <w:tcW w:w="100" w:type="dxa"/>
            <w:vAlign w:val="bottom"/>
          </w:tcPr>
          <w:p>
            <w:pPr>
              <w:spacing w:after="0"/>
              <w:rPr>
                <w:sz w:val="24"/>
                <w:szCs w:val="24"/>
                <w:color w:val="auto"/>
              </w:rPr>
            </w:pPr>
          </w:p>
        </w:tc>
      </w:tr>
      <w:tr>
        <w:trPr>
          <w:trHeight w:val="341"/>
        </w:trPr>
        <w:tc>
          <w:tcPr>
            <w:tcW w:w="7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1.</w:t>
            </w:r>
          </w:p>
        </w:tc>
        <w:tc>
          <w:tcPr>
            <w:tcW w:w="7260" w:type="dxa"/>
            <w:vAlign w:val="bottom"/>
            <w:gridSpan w:val="19"/>
          </w:tcPr>
          <w:p>
            <w:pPr>
              <w:spacing w:after="0"/>
              <w:rPr>
                <w:sz w:val="20"/>
                <w:szCs w:val="20"/>
                <w:color w:val="auto"/>
              </w:rPr>
            </w:pPr>
            <w:r>
              <w:rPr>
                <w:rFonts w:ascii="Arial" w:cs="Arial" w:eastAsia="Arial" w:hAnsi="Arial"/>
                <w:sz w:val="14"/>
                <w:szCs w:val="14"/>
                <w:color w:val="0000FF"/>
              </w:rPr>
              <w:t>Legal Proceedings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30</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1A.</w:t>
            </w:r>
          </w:p>
        </w:tc>
        <w:tc>
          <w:tcPr>
            <w:tcW w:w="7260" w:type="dxa"/>
            <w:vAlign w:val="bottom"/>
            <w:gridSpan w:val="19"/>
          </w:tcPr>
          <w:p>
            <w:pPr>
              <w:spacing w:after="0"/>
              <w:rPr>
                <w:sz w:val="20"/>
                <w:szCs w:val="20"/>
                <w:color w:val="auto"/>
              </w:rPr>
            </w:pPr>
            <w:r>
              <w:rPr>
                <w:rFonts w:ascii="Arial" w:cs="Arial" w:eastAsia="Arial" w:hAnsi="Arial"/>
                <w:sz w:val="14"/>
                <w:szCs w:val="14"/>
                <w:color w:val="0000FF"/>
              </w:rPr>
              <w:t>Risk Factors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30</w:t>
            </w:r>
          </w:p>
        </w:tc>
      </w:tr>
      <w:tr>
        <w:trPr>
          <w:trHeight w:val="20"/>
        </w:trPr>
        <w:tc>
          <w:tcPr>
            <w:tcW w:w="7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0000FF"/>
              </w:rPr>
              <w:t>Item 2.</w:t>
            </w:r>
          </w:p>
        </w:tc>
        <w:tc>
          <w:tcPr>
            <w:tcW w:w="640" w:type="dxa"/>
            <w:vAlign w:val="bottom"/>
          </w:tcPr>
          <w:p>
            <w:pPr>
              <w:spacing w:after="0"/>
              <w:rPr>
                <w:sz w:val="17"/>
                <w:szCs w:val="17"/>
                <w:color w:val="auto"/>
              </w:rPr>
            </w:pPr>
          </w:p>
        </w:tc>
        <w:tc>
          <w:tcPr>
            <w:tcW w:w="7260" w:type="dxa"/>
            <w:vAlign w:val="bottom"/>
            <w:gridSpan w:val="19"/>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31</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3.</w:t>
            </w:r>
          </w:p>
        </w:tc>
        <w:tc>
          <w:tcPr>
            <w:tcW w:w="7260" w:type="dxa"/>
            <w:vAlign w:val="bottom"/>
            <w:gridSpan w:val="19"/>
          </w:tcPr>
          <w:p>
            <w:pPr>
              <w:spacing w:after="0"/>
              <w:rPr>
                <w:sz w:val="20"/>
                <w:szCs w:val="20"/>
                <w:color w:val="auto"/>
              </w:rPr>
            </w:pPr>
            <w:r>
              <w:rPr>
                <w:rFonts w:ascii="Arial" w:cs="Arial" w:eastAsia="Arial" w:hAnsi="Arial"/>
                <w:sz w:val="14"/>
                <w:szCs w:val="14"/>
                <w:color w:val="0000FF"/>
              </w:rPr>
              <w:t>Defaults Upon Senior Securities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31</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5300" w:type="dxa"/>
            <w:vAlign w:val="bottom"/>
            <w:gridSpan w:val="11"/>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4.</w:t>
            </w:r>
          </w:p>
        </w:tc>
        <w:tc>
          <w:tcPr>
            <w:tcW w:w="7260" w:type="dxa"/>
            <w:vAlign w:val="bottom"/>
            <w:gridSpan w:val="19"/>
          </w:tcPr>
          <w:p>
            <w:pPr>
              <w:spacing w:after="0"/>
              <w:rPr>
                <w:sz w:val="20"/>
                <w:szCs w:val="20"/>
                <w:color w:val="auto"/>
              </w:rPr>
            </w:pPr>
            <w:r>
              <w:rPr>
                <w:rFonts w:ascii="Arial" w:cs="Arial" w:eastAsia="Arial" w:hAnsi="Arial"/>
                <w:sz w:val="14"/>
                <w:szCs w:val="14"/>
                <w:color w:val="0000FF"/>
              </w:rPr>
              <w:t>Mine Safety Disclosures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31</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5780" w:type="dxa"/>
            <w:vAlign w:val="bottom"/>
            <w:gridSpan w:val="12"/>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5.</w:t>
            </w:r>
          </w:p>
        </w:tc>
        <w:tc>
          <w:tcPr>
            <w:tcW w:w="7260" w:type="dxa"/>
            <w:vAlign w:val="bottom"/>
            <w:gridSpan w:val="19"/>
          </w:tcPr>
          <w:p>
            <w:pPr>
              <w:spacing w:after="0"/>
              <w:rPr>
                <w:sz w:val="20"/>
                <w:szCs w:val="20"/>
                <w:color w:val="auto"/>
              </w:rPr>
            </w:pPr>
            <w:r>
              <w:rPr>
                <w:rFonts w:ascii="Arial" w:cs="Arial" w:eastAsia="Arial" w:hAnsi="Arial"/>
                <w:sz w:val="14"/>
                <w:szCs w:val="14"/>
                <w:color w:val="0000FF"/>
              </w:rPr>
              <w:t>Other Information</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31</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180" w:type="dxa"/>
            <w:vAlign w:val="bottom"/>
            <w:gridSpan w:val="14"/>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6.</w:t>
            </w:r>
          </w:p>
        </w:tc>
        <w:tc>
          <w:tcPr>
            <w:tcW w:w="7260" w:type="dxa"/>
            <w:vAlign w:val="bottom"/>
            <w:gridSpan w:val="19"/>
          </w:tcPr>
          <w:p>
            <w:pPr>
              <w:spacing w:after="0"/>
              <w:rPr>
                <w:sz w:val="20"/>
                <w:szCs w:val="20"/>
                <w:color w:val="auto"/>
              </w:rPr>
            </w:pPr>
            <w:r>
              <w:rPr>
                <w:rFonts w:ascii="Arial" w:cs="Arial" w:eastAsia="Arial" w:hAnsi="Arial"/>
                <w:sz w:val="14"/>
                <w:szCs w:val="14"/>
                <w:color w:val="0000FF"/>
              </w:rPr>
              <w:t>Exhibits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32</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0" w:type="dxa"/>
            <w:vAlign w:val="bottom"/>
            <w:gridSpan w:val="17"/>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5"/>
        </w:trPr>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Arial" w:cs="Arial" w:eastAsia="Arial" w:hAnsi="Arial"/>
                <w:sz w:val="14"/>
                <w:szCs w:val="14"/>
                <w:color w:val="0000FF"/>
              </w:rPr>
              <w:t>Signatures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32</w:t>
            </w:r>
          </w:p>
        </w:tc>
      </w:tr>
      <w:tr>
        <w:trPr>
          <w:trHeight w:val="1468"/>
        </w:trPr>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FORWARD LOOKING STATEMENTS</w:t>
      </w:r>
    </w:p>
    <w:p>
      <w:pPr>
        <w:spacing w:after="0" w:line="228" w:lineRule="exact"/>
        <w:rPr>
          <w:sz w:val="20"/>
          <w:szCs w:val="20"/>
          <w:color w:val="auto"/>
        </w:rPr>
      </w:pPr>
    </w:p>
    <w:p>
      <w:pPr>
        <w:ind w:right="40" w:firstLine="619"/>
        <w:spacing w:after="0" w:line="251" w:lineRule="auto"/>
        <w:rPr>
          <w:sz w:val="20"/>
          <w:szCs w:val="20"/>
          <w:color w:val="auto"/>
        </w:rPr>
      </w:pPr>
      <w:r>
        <w:rPr>
          <w:rFonts w:ascii="Arial" w:cs="Arial" w:eastAsia="Arial" w:hAnsi="Arial"/>
          <w:sz w:val="14"/>
          <w:szCs w:val="14"/>
          <w:color w:val="auto"/>
        </w:rPr>
        <w:t>This quarterly report on Form 10-Q contains forward-looking statements within the meaning of the federal securities laws, including the Private Securities Litigation Reform Act of 1995,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w:t>
      </w:r>
    </w:p>
    <w:p>
      <w:pPr>
        <w:spacing w:after="0" w:line="149" w:lineRule="exact"/>
        <w:rPr>
          <w:sz w:val="20"/>
          <w:szCs w:val="20"/>
          <w:color w:val="auto"/>
        </w:rPr>
      </w:pPr>
    </w:p>
    <w:p>
      <w:pPr>
        <w:ind w:left="620" w:right="20" w:hanging="307"/>
        <w:spacing w:after="0" w:line="248" w:lineRule="auto"/>
        <w:tabs>
          <w:tab w:leader="none" w:pos="616"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our business, including: reliance on primarily one main product; limitations regarding the supply of fruit, either through purchasing or growing; fluctuations in the market price of fruit; increasing competition; risks associated with doing business internationally, including Mexican and Peruvian economic, political and/or societal conditions; inflationary pressures; establishment of sales channels and geographic markets; loss of one or more of our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including climate change; seasonality in operating results; failures associated with information technology infrastructure, system security and cyber risks; new and changing privacy laws and our compliance with such laws; food safety events and recalls; failure to comply with laws and regulations; changes to trade policy and/or export/import laws and regulations; risks from business acquisitions, if any; lack of or failure of infrastructure; material litigation or governmental inquiries/actions; failure to maintain or protect our brand; changes in tax rates or international tax legislation; risks associated with global conflicts; and inability to accurately forecast future performance.</w:t>
      </w:r>
    </w:p>
    <w:p>
      <w:pPr>
        <w:spacing w:after="0" w:line="152" w:lineRule="exact"/>
        <w:rPr>
          <w:rFonts w:ascii="Arial" w:cs="Arial" w:eastAsia="Arial" w:hAnsi="Arial"/>
          <w:sz w:val="14"/>
          <w:szCs w:val="14"/>
          <w:color w:val="auto"/>
        </w:rPr>
      </w:pPr>
    </w:p>
    <w:p>
      <w:pPr>
        <w:ind w:left="620" w:right="240" w:hanging="307"/>
        <w:spacing w:after="0" w:line="257" w:lineRule="auto"/>
        <w:tabs>
          <w:tab w:leader="none" w:pos="616"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our common stock, including: the viability of an active, liquid, and orderly market for our common stock; volatility in the trading price of our common stock; concentration of control in our executive officers, and directors over matters submitted to stockholders for approval; limited sources of capital appreciation; significant costs associated with being a public company and the allocation of significant management resources thereto; reliance on analyst reports; failure to maintain proper and effective internal control over financial reporting; restrictions on takeover attempts in our charter documents and under Delaware law; and the selection of Delaware as the exclusive forum for substantially all disputes between us and our stockholders.</w:t>
      </w:r>
    </w:p>
    <w:p>
      <w:pPr>
        <w:spacing w:after="0" w:line="143" w:lineRule="exact"/>
        <w:rPr>
          <w:rFonts w:ascii="Arial" w:cs="Arial" w:eastAsia="Arial" w:hAnsi="Arial"/>
          <w:sz w:val="14"/>
          <w:szCs w:val="14"/>
          <w:color w:val="auto"/>
        </w:rPr>
      </w:pPr>
    </w:p>
    <w:p>
      <w:pPr>
        <w:ind w:left="620" w:right="60" w:hanging="307"/>
        <w:spacing w:after="0" w:line="278" w:lineRule="auto"/>
        <w:tabs>
          <w:tab w:leader="none" w:pos="616"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restrictive covenants under our credit facility, which could affect our flexibility to fund ongoing operations, uses of capital and strategic initiatives, and, if we are unable to maintain compliance with such covenants, lead to significant challenges in meeting our liquidity requirements and acceleration of our debt.</w:t>
      </w:r>
    </w:p>
    <w:p>
      <w:pPr>
        <w:spacing w:after="0" w:line="129" w:lineRule="exact"/>
        <w:rPr>
          <w:rFonts w:ascii="Arial" w:cs="Arial" w:eastAsia="Arial" w:hAnsi="Arial"/>
          <w:sz w:val="14"/>
          <w:szCs w:val="14"/>
          <w:color w:val="auto"/>
        </w:rPr>
      </w:pPr>
    </w:p>
    <w:p>
      <w:pPr>
        <w:ind w:left="620" w:hanging="307"/>
        <w:spacing w:after="0"/>
        <w:tabs>
          <w:tab w:leader="none" w:pos="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Other risks and factors listed under “Item 1A. Risk Factors” in our most recent Annual Report on Form 10-K for the year ended October 31, 2024 and elsewhere in this report.</w:t>
      </w:r>
    </w:p>
    <w:p>
      <w:pPr>
        <w:spacing w:after="0" w:line="211" w:lineRule="exact"/>
        <w:rPr>
          <w:sz w:val="20"/>
          <w:szCs w:val="20"/>
          <w:color w:val="auto"/>
        </w:rPr>
      </w:pPr>
    </w:p>
    <w:p>
      <w:pPr>
        <w:ind w:right="100" w:firstLine="619"/>
        <w:spacing w:after="0" w:line="251" w:lineRule="auto"/>
        <w:rPr>
          <w:sz w:val="20"/>
          <w:szCs w:val="20"/>
          <w:color w:val="auto"/>
        </w:rPr>
      </w:pPr>
      <w:r>
        <w:rPr>
          <w:rFonts w:ascii="Arial" w:cs="Arial" w:eastAsia="Arial" w:hAnsi="Arial"/>
          <w:sz w:val="14"/>
          <w:szCs w:val="14"/>
          <w:color w:val="auto"/>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“Item 1A. Risk Factors” in our most recent Annual Report on Form 10-K for the year ended October 31, 2024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8" w:lineRule="exact"/>
        <w:rPr>
          <w:sz w:val="20"/>
          <w:szCs w:val="20"/>
          <w:color w:val="auto"/>
        </w:rPr>
      </w:pPr>
    </w:p>
    <w:p>
      <w:pPr>
        <w:ind w:firstLine="619"/>
        <w:spacing w:after="0" w:line="253" w:lineRule="auto"/>
        <w:rPr>
          <w:sz w:val="20"/>
          <w:szCs w:val="20"/>
          <w:color w:val="auto"/>
        </w:rPr>
      </w:pPr>
      <w:r>
        <w:rPr>
          <w:rFonts w:ascii="Arial" w:cs="Arial" w:eastAsia="Arial" w:hAnsi="Arial"/>
          <w:sz w:val="14"/>
          <w:szCs w:val="14"/>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5" w:lineRule="exact"/>
        <w:rPr>
          <w:sz w:val="20"/>
          <w:szCs w:val="20"/>
          <w:color w:val="auto"/>
        </w:rPr>
      </w:pPr>
    </w:p>
    <w:p>
      <w:pPr>
        <w:ind w:right="400" w:firstLine="619"/>
        <w:spacing w:after="0" w:line="264" w:lineRule="auto"/>
        <w:rPr>
          <w:sz w:val="20"/>
          <w:szCs w:val="20"/>
          <w:color w:val="auto"/>
        </w:rPr>
      </w:pPr>
      <w:r>
        <w:rPr>
          <w:rFonts w:ascii="Arial" w:cs="Arial" w:eastAsia="Arial" w:hAnsi="Arial"/>
          <w:sz w:val="14"/>
          <w:szCs w:val="14"/>
          <w:color w:val="auto"/>
        </w:rPr>
        <w:t>You should read this report, including documents that we reference and exhibits that have been filed,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78" w:lineRule="exact"/>
        <w:rPr>
          <w:sz w:val="20"/>
          <w:szCs w:val="20"/>
          <w:color w:val="auto"/>
        </w:rPr>
      </w:pPr>
    </w:p>
    <w:p>
      <w:pPr>
        <w:ind w:right="520" w:firstLine="619"/>
        <w:spacing w:after="0" w:line="259" w:lineRule="auto"/>
        <w:rPr>
          <w:sz w:val="20"/>
          <w:szCs w:val="20"/>
          <w:color w:val="auto"/>
        </w:rPr>
      </w:pPr>
      <w:r>
        <w:rPr>
          <w:rFonts w:ascii="Arial" w:cs="Arial" w:eastAsia="Arial" w:hAnsi="Arial"/>
          <w:sz w:val="14"/>
          <w:szCs w:val="14"/>
          <w:color w:val="auto"/>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spacing w:after="0" w:line="181" w:lineRule="exact"/>
        <w:rPr>
          <w:sz w:val="20"/>
          <w:szCs w:val="20"/>
          <w:color w:val="auto"/>
        </w:rPr>
      </w:pPr>
    </w:p>
    <w:p>
      <w:pPr>
        <w:ind w:right="80" w:firstLine="619"/>
        <w:spacing w:after="0" w:line="278" w:lineRule="auto"/>
        <w:rPr>
          <w:sz w:val="20"/>
          <w:szCs w:val="20"/>
          <w:color w:val="auto"/>
        </w:rPr>
      </w:pPr>
      <w:r>
        <w:rPr>
          <w:rFonts w:ascii="Arial" w:cs="Arial" w:eastAsia="Arial" w:hAnsi="Arial"/>
          <w:sz w:val="14"/>
          <w:szCs w:val="14"/>
          <w:color w:val="auto"/>
        </w:rPr>
        <w:t>This quarterly report may also include trademarks, tradenames and service marks that are the property of the Company and also certain trademarks, tradenames and service marks that are the property of other organizations. Solely for convenience,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 w:name="page4"/>
    <w:bookmarkEnd w:id="3"/>
    <w:p>
      <w:pPr>
        <w:spacing w:after="0" w:line="278" w:lineRule="auto"/>
        <w:rPr>
          <w:sz w:val="20"/>
          <w:szCs w:val="20"/>
          <w:color w:val="auto"/>
        </w:rPr>
      </w:pPr>
      <w:r>
        <w:rPr>
          <w:rFonts w:ascii="Arial" w:cs="Arial" w:eastAsia="Arial" w:hAnsi="Arial"/>
          <w:sz w:val="14"/>
          <w:szCs w:val="14"/>
          <w:color w:val="auto"/>
        </w:rPr>
        <w:t>trademarks and tradenames referred to in this quarterly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68" w:lineRule="exact"/>
        <w:rPr>
          <w:sz w:val="20"/>
          <w:szCs w:val="20"/>
          <w:color w:val="auto"/>
        </w:rPr>
      </w:pPr>
    </w:p>
    <w:p>
      <w:pPr>
        <w:ind w:right="60" w:firstLine="619"/>
        <w:spacing w:after="0" w:line="254" w:lineRule="auto"/>
        <w:rPr>
          <w:sz w:val="20"/>
          <w:szCs w:val="20"/>
          <w:color w:val="auto"/>
        </w:rPr>
      </w:pPr>
      <w:r>
        <w:rPr>
          <w:rFonts w:ascii="Arial" w:cs="Arial" w:eastAsia="Arial" w:hAnsi="Arial"/>
          <w:sz w:val="14"/>
          <w:szCs w:val="14"/>
          <w:color w:val="auto"/>
        </w:rPr>
        <w:t>We maintain a website at www.missionproduce.com,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57"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9"/>
        </w:trPr>
        <w:tc>
          <w:tcPr>
            <w:tcW w:w="780" w:type="dxa"/>
            <w:vAlign w:val="bottom"/>
          </w:tcPr>
          <w:p>
            <w:pPr>
              <w:spacing w:after="0"/>
              <w:rPr>
                <w:sz w:val="22"/>
                <w:szCs w:val="22"/>
                <w:color w:val="auto"/>
              </w:rPr>
            </w:pPr>
          </w:p>
        </w:tc>
        <w:tc>
          <w:tcPr>
            <w:tcW w:w="6720" w:type="dxa"/>
            <w:vAlign w:val="bottom"/>
          </w:tcPr>
          <w:p>
            <w:pPr>
              <w:jc w:val="center"/>
              <w:ind w:left="2870"/>
              <w:spacing w:after="0"/>
              <w:rPr>
                <w:sz w:val="20"/>
                <w:szCs w:val="20"/>
                <w:color w:val="auto"/>
              </w:rPr>
            </w:pPr>
            <w:r>
              <w:rPr>
                <w:rFonts w:ascii="Arial" w:cs="Arial" w:eastAsia="Arial" w:hAnsi="Arial"/>
                <w:sz w:val="19"/>
                <w:szCs w:val="19"/>
                <w:b w:val="1"/>
                <w:bCs w:val="1"/>
                <w:color w:val="auto"/>
                <w:w w:val="98"/>
              </w:rPr>
              <w:t>PART I- FINANCIAL INFORMATION</w:t>
            </w:r>
          </w:p>
        </w:tc>
        <w:tc>
          <w:tcPr>
            <w:tcW w:w="9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438"/>
        </w:trPr>
        <w:tc>
          <w:tcPr>
            <w:tcW w:w="780" w:type="dxa"/>
            <w:vAlign w:val="bottom"/>
          </w:tcPr>
          <w:p>
            <w:pPr>
              <w:spacing w:after="0"/>
              <w:rPr>
                <w:sz w:val="20"/>
                <w:szCs w:val="20"/>
                <w:color w:val="auto"/>
              </w:rPr>
            </w:pPr>
            <w:r>
              <w:rPr>
                <w:rFonts w:ascii="Arial" w:cs="Arial" w:eastAsia="Arial" w:hAnsi="Arial"/>
                <w:sz w:val="19"/>
                <w:szCs w:val="19"/>
                <w:b w:val="1"/>
                <w:bCs w:val="1"/>
                <w:color w:val="auto"/>
              </w:rPr>
              <w:t>Item 1.</w:t>
            </w:r>
          </w:p>
        </w:tc>
        <w:tc>
          <w:tcPr>
            <w:tcW w:w="6720" w:type="dxa"/>
            <w:vAlign w:val="bottom"/>
          </w:tcPr>
          <w:p>
            <w:pPr>
              <w:ind w:left="40"/>
              <w:spacing w:after="0"/>
              <w:rPr>
                <w:sz w:val="20"/>
                <w:szCs w:val="20"/>
                <w:color w:val="auto"/>
              </w:rPr>
            </w:pPr>
            <w:r>
              <w:rPr>
                <w:rFonts w:ascii="Arial" w:cs="Arial" w:eastAsia="Arial" w:hAnsi="Arial"/>
                <w:sz w:val="19"/>
                <w:szCs w:val="19"/>
                <w:b w:val="1"/>
                <w:bCs w:val="1"/>
                <w:color w:val="auto"/>
              </w:rPr>
              <w:t>Financial Statements</w:t>
            </w: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3"/>
        </w:trPr>
        <w:tc>
          <w:tcPr>
            <w:tcW w:w="780" w:type="dxa"/>
            <w:vAlign w:val="bottom"/>
          </w:tcPr>
          <w:p>
            <w:pPr>
              <w:spacing w:after="0"/>
              <w:rPr>
                <w:sz w:val="24"/>
                <w:szCs w:val="24"/>
                <w:color w:val="auto"/>
              </w:rPr>
            </w:pPr>
          </w:p>
        </w:tc>
        <w:tc>
          <w:tcPr>
            <w:tcW w:w="6720" w:type="dxa"/>
            <w:vAlign w:val="bottom"/>
          </w:tcPr>
          <w:p>
            <w:pPr>
              <w:jc w:val="center"/>
              <w:ind w:left="2870"/>
              <w:spacing w:after="0"/>
              <w:rPr>
                <w:sz w:val="20"/>
                <w:szCs w:val="20"/>
                <w:color w:val="auto"/>
              </w:rPr>
            </w:pPr>
            <w:r>
              <w:rPr>
                <w:rFonts w:ascii="Arial" w:cs="Arial" w:eastAsia="Arial" w:hAnsi="Arial"/>
                <w:sz w:val="17"/>
                <w:szCs w:val="17"/>
                <w:b w:val="1"/>
                <w:bCs w:val="1"/>
                <w:color w:val="auto"/>
              </w:rPr>
              <w:t>MISSION PRODUCE, INC.</w:t>
            </w: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8"/>
        </w:trPr>
        <w:tc>
          <w:tcPr>
            <w:tcW w:w="780" w:type="dxa"/>
            <w:vAlign w:val="bottom"/>
          </w:tcPr>
          <w:p>
            <w:pPr>
              <w:spacing w:after="0"/>
              <w:rPr>
                <w:sz w:val="22"/>
                <w:szCs w:val="22"/>
                <w:color w:val="auto"/>
              </w:rPr>
            </w:pPr>
          </w:p>
        </w:tc>
        <w:tc>
          <w:tcPr>
            <w:tcW w:w="7620" w:type="dxa"/>
            <w:vAlign w:val="bottom"/>
            <w:gridSpan w:val="2"/>
          </w:tcPr>
          <w:p>
            <w:pPr>
              <w:jc w:val="center"/>
              <w:ind w:left="1990"/>
              <w:spacing w:after="0"/>
              <w:rPr>
                <w:sz w:val="20"/>
                <w:szCs w:val="20"/>
                <w:color w:val="auto"/>
              </w:rPr>
            </w:pPr>
            <w:r>
              <w:rPr>
                <w:rFonts w:ascii="Arial" w:cs="Arial" w:eastAsia="Arial" w:hAnsi="Arial"/>
                <w:sz w:val="17"/>
                <w:szCs w:val="17"/>
                <w:b w:val="1"/>
                <w:bCs w:val="1"/>
                <w:color w:val="auto"/>
              </w:rPr>
              <w:t>CONDENSED CONSOLIDATED BALANCE SHEETS (UNAUDITED)</w:t>
            </w:r>
          </w:p>
        </w:tc>
        <w:tc>
          <w:tcPr>
            <w:tcW w:w="10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5"/>
        </w:trPr>
        <w:tc>
          <w:tcPr>
            <w:tcW w:w="7500" w:type="dxa"/>
            <w:vAlign w:val="bottom"/>
            <w:gridSpan w:val="2"/>
          </w:tcPr>
          <w:p>
            <w:pPr>
              <w:ind w:left="20"/>
              <w:spacing w:after="0"/>
              <w:rPr>
                <w:sz w:val="20"/>
                <w:szCs w:val="20"/>
                <w:color w:val="auto"/>
              </w:rPr>
            </w:pPr>
            <w:r>
              <w:rPr>
                <w:rFonts w:ascii="Arial" w:cs="Arial" w:eastAsia="Arial" w:hAnsi="Arial"/>
                <w:sz w:val="12"/>
                <w:szCs w:val="12"/>
                <w:color w:val="auto"/>
              </w:rPr>
              <w:t>(In millions, except for shares)</w:t>
            </w:r>
          </w:p>
        </w:tc>
        <w:tc>
          <w:tcPr>
            <w:tcW w:w="900" w:type="dxa"/>
            <w:vAlign w:val="bottom"/>
          </w:tcPr>
          <w:p>
            <w:pPr>
              <w:spacing w:after="0"/>
              <w:rPr>
                <w:sz w:val="19"/>
                <w:szCs w:val="19"/>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b w:val="1"/>
                <w:bCs w:val="1"/>
                <w:color w:val="auto"/>
              </w:rPr>
              <w:t>April 30, 2025</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2"/>
                <w:szCs w:val="12"/>
                <w:b w:val="1"/>
                <w:bCs w:val="1"/>
                <w:color w:val="auto"/>
              </w:rPr>
              <w:t>October 31, 2024</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6"/>
        </w:trPr>
        <w:tc>
          <w:tcPr>
            <w:tcW w:w="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Assets</w:t>
            </w:r>
          </w:p>
        </w:tc>
        <w:tc>
          <w:tcPr>
            <w:tcW w:w="672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1060" w:type="dxa"/>
            <w:vAlign w:val="bottom"/>
            <w:tcBorders>
              <w:bottom w:val="single" w:sz="8" w:color="DBDBDB"/>
            </w:tcBorders>
            <w:shd w:val="clear" w:color="auto" w:fill="DBDBDB"/>
          </w:tcPr>
          <w:p>
            <w:pPr>
              <w:spacing w:after="0"/>
              <w:rPr>
                <w:sz w:val="14"/>
                <w:szCs w:val="14"/>
                <w:color w:val="auto"/>
              </w:rPr>
            </w:pPr>
          </w:p>
        </w:tc>
        <w:tc>
          <w:tcPr>
            <w:tcW w:w="500" w:type="dxa"/>
            <w:vAlign w:val="bottom"/>
            <w:tcBorders>
              <w:bottom w:val="single" w:sz="8" w:color="DBDBDB"/>
            </w:tcBorders>
            <w:shd w:val="clear" w:color="auto" w:fill="DBDBDB"/>
          </w:tcPr>
          <w:p>
            <w:pPr>
              <w:spacing w:after="0"/>
              <w:rPr>
                <w:sz w:val="14"/>
                <w:szCs w:val="14"/>
                <w:color w:val="auto"/>
              </w:rPr>
            </w:pPr>
          </w:p>
        </w:tc>
        <w:tc>
          <w:tcPr>
            <w:tcW w:w="1280" w:type="dxa"/>
            <w:vAlign w:val="bottom"/>
            <w:tcBorders>
              <w:bottom w:val="single" w:sz="8" w:color="DBDBDB"/>
            </w:tcBorders>
            <w:shd w:val="clear" w:color="auto" w:fill="DBDBDB"/>
          </w:tcPr>
          <w:p>
            <w:pPr>
              <w:spacing w:after="0"/>
              <w:rPr>
                <w:sz w:val="14"/>
                <w:szCs w:val="14"/>
                <w:color w:val="auto"/>
              </w:rPr>
            </w:pPr>
          </w:p>
        </w:tc>
      </w:tr>
      <w:tr>
        <w:trPr>
          <w:trHeight w:val="167"/>
        </w:trPr>
        <w:tc>
          <w:tcPr>
            <w:tcW w:w="7500" w:type="dxa"/>
            <w:vAlign w:val="bottom"/>
            <w:gridSpan w:val="2"/>
          </w:tcPr>
          <w:p>
            <w:pPr>
              <w:ind w:left="20"/>
              <w:spacing w:after="0"/>
              <w:rPr>
                <w:sz w:val="20"/>
                <w:szCs w:val="20"/>
                <w:color w:val="auto"/>
              </w:rPr>
            </w:pPr>
            <w:r>
              <w:rPr>
                <w:rFonts w:ascii="Arial" w:cs="Arial" w:eastAsia="Arial" w:hAnsi="Arial"/>
                <w:sz w:val="12"/>
                <w:szCs w:val="12"/>
                <w:color w:val="auto"/>
              </w:rPr>
              <w:t>Current assets:</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2"/>
                <w:szCs w:val="12"/>
                <w:color w:val="auto"/>
              </w:rPr>
              <w:t>Cash and cash equivalents</w:t>
            </w:r>
          </w:p>
        </w:tc>
        <w:tc>
          <w:tcPr>
            <w:tcW w:w="900" w:type="dxa"/>
            <w:vAlign w:val="bottom"/>
            <w:tcBorders>
              <w:bottom w:val="single" w:sz="8" w:color="DBDBDB"/>
            </w:tcBorders>
            <w:shd w:val="clear" w:color="auto" w:fill="DBDBDB"/>
          </w:tcPr>
          <w:p>
            <w:pPr>
              <w:jc w:val="right"/>
              <w:ind w:right="60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36.7</w:t>
            </w:r>
          </w:p>
        </w:tc>
        <w:tc>
          <w:tcPr>
            <w:tcW w:w="500" w:type="dxa"/>
            <w:vAlign w:val="bottom"/>
            <w:tcBorders>
              <w:bottom w:val="single" w:sz="8" w:color="DBDBDB"/>
            </w:tcBorders>
            <w:shd w:val="clear" w:color="auto" w:fill="DBDBDB"/>
          </w:tcPr>
          <w:p>
            <w:pPr>
              <w:jc w:val="right"/>
              <w:ind w:right="240"/>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58.0</w:t>
            </w:r>
          </w:p>
        </w:tc>
      </w:tr>
      <w:tr>
        <w:trPr>
          <w:trHeight w:val="167"/>
        </w:trPr>
        <w:tc>
          <w:tcPr>
            <w:tcW w:w="7500" w:type="dxa"/>
            <w:vAlign w:val="bottom"/>
            <w:gridSpan w:val="2"/>
          </w:tcPr>
          <w:p>
            <w:pPr>
              <w:ind w:left="220"/>
              <w:spacing w:after="0"/>
              <w:rPr>
                <w:sz w:val="20"/>
                <w:szCs w:val="20"/>
                <w:color w:val="auto"/>
              </w:rPr>
            </w:pPr>
            <w:r>
              <w:rPr>
                <w:rFonts w:ascii="Arial" w:cs="Arial" w:eastAsia="Arial" w:hAnsi="Arial"/>
                <w:sz w:val="12"/>
                <w:szCs w:val="12"/>
                <w:color w:val="auto"/>
              </w:rPr>
              <w:t>Restricted cash</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2.3</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2"/>
                <w:szCs w:val="12"/>
                <w:color w:val="auto"/>
              </w:rPr>
              <w:t>Accounts receivable</w:t>
            </w:r>
          </w:p>
        </w:tc>
        <w:tc>
          <w:tcPr>
            <w:tcW w:w="90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spacing w:after="0"/>
              <w:rPr>
                <w:sz w:val="15"/>
                <w:szCs w:val="15"/>
                <w:color w:val="auto"/>
              </w:rPr>
            </w:pPr>
          </w:p>
        </w:tc>
        <w:tc>
          <w:tcPr>
            <w:tcW w:w="50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r>
      <w:tr>
        <w:trPr>
          <w:trHeight w:val="167"/>
        </w:trPr>
        <w:tc>
          <w:tcPr>
            <w:tcW w:w="7500" w:type="dxa"/>
            <w:vAlign w:val="bottom"/>
            <w:gridSpan w:val="2"/>
          </w:tcPr>
          <w:p>
            <w:pPr>
              <w:ind w:left="440"/>
              <w:spacing w:after="0"/>
              <w:rPr>
                <w:sz w:val="20"/>
                <w:szCs w:val="20"/>
                <w:color w:val="auto"/>
              </w:rPr>
            </w:pPr>
            <w:r>
              <w:rPr>
                <w:rFonts w:ascii="Arial" w:cs="Arial" w:eastAsia="Arial" w:hAnsi="Arial"/>
                <w:sz w:val="12"/>
                <w:szCs w:val="12"/>
                <w:color w:val="auto"/>
              </w:rPr>
              <w:t>Trade, net of allowances of $0.7 and $0.8, respectively</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113.6</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95.4</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DBDBDB"/>
            </w:tcBorders>
            <w:gridSpan w:val="2"/>
            <w:shd w:val="clear" w:color="auto" w:fill="DBDBDB"/>
          </w:tcPr>
          <w:p>
            <w:pPr>
              <w:ind w:left="440"/>
              <w:spacing w:after="0"/>
              <w:rPr>
                <w:sz w:val="20"/>
                <w:szCs w:val="20"/>
                <w:color w:val="auto"/>
              </w:rPr>
            </w:pPr>
            <w:r>
              <w:rPr>
                <w:rFonts w:ascii="Arial" w:cs="Arial" w:eastAsia="Arial" w:hAnsi="Arial"/>
                <w:sz w:val="12"/>
                <w:szCs w:val="12"/>
                <w:color w:val="auto"/>
              </w:rPr>
              <w:t>Grower and fruit advances</w:t>
            </w:r>
          </w:p>
        </w:tc>
        <w:tc>
          <w:tcPr>
            <w:tcW w:w="90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3.8</w:t>
            </w:r>
          </w:p>
        </w:tc>
        <w:tc>
          <w:tcPr>
            <w:tcW w:w="50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1.7</w:t>
            </w:r>
          </w:p>
        </w:tc>
      </w:tr>
      <w:tr>
        <w:trPr>
          <w:trHeight w:val="167"/>
        </w:trPr>
        <w:tc>
          <w:tcPr>
            <w:tcW w:w="780" w:type="dxa"/>
            <w:vAlign w:val="bottom"/>
          </w:tcPr>
          <w:p>
            <w:pPr>
              <w:ind w:left="440"/>
              <w:spacing w:after="0"/>
              <w:rPr>
                <w:sz w:val="20"/>
                <w:szCs w:val="20"/>
                <w:color w:val="auto"/>
              </w:rPr>
            </w:pPr>
            <w:r>
              <w:rPr>
                <w:rFonts w:ascii="Arial" w:cs="Arial" w:eastAsia="Arial" w:hAnsi="Arial"/>
                <w:sz w:val="12"/>
                <w:szCs w:val="12"/>
                <w:color w:val="auto"/>
              </w:rPr>
              <w:t>Other</w:t>
            </w:r>
          </w:p>
        </w:tc>
        <w:tc>
          <w:tcPr>
            <w:tcW w:w="6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13.1</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15.3</w:t>
            </w:r>
          </w:p>
        </w:tc>
      </w:tr>
      <w:tr>
        <w:trPr>
          <w:trHeight w:val="26"/>
        </w:trPr>
        <w:tc>
          <w:tcPr>
            <w:tcW w:w="7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2"/>
                <w:szCs w:val="12"/>
                <w:color w:val="auto"/>
              </w:rPr>
              <w:t>Inventory</w:t>
            </w:r>
          </w:p>
        </w:tc>
        <w:tc>
          <w:tcPr>
            <w:tcW w:w="672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112.8</w:t>
            </w:r>
          </w:p>
        </w:tc>
        <w:tc>
          <w:tcPr>
            <w:tcW w:w="50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91.2</w:t>
            </w:r>
          </w:p>
        </w:tc>
      </w:tr>
      <w:tr>
        <w:trPr>
          <w:trHeight w:val="167"/>
        </w:trPr>
        <w:tc>
          <w:tcPr>
            <w:tcW w:w="7500" w:type="dxa"/>
            <w:vAlign w:val="bottom"/>
            <w:gridSpan w:val="2"/>
          </w:tcPr>
          <w:p>
            <w:pPr>
              <w:ind w:left="220"/>
              <w:spacing w:after="0"/>
              <w:rPr>
                <w:sz w:val="20"/>
                <w:szCs w:val="20"/>
                <w:color w:val="auto"/>
              </w:rPr>
            </w:pPr>
            <w:r>
              <w:rPr>
                <w:rFonts w:ascii="Arial" w:cs="Arial" w:eastAsia="Arial" w:hAnsi="Arial"/>
                <w:sz w:val="12"/>
                <w:szCs w:val="12"/>
                <w:color w:val="auto"/>
              </w:rPr>
              <w:t>Prepaid expenses and other current assets</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8.1</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9.4</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8"/>
        </w:trPr>
        <w:tc>
          <w:tcPr>
            <w:tcW w:w="750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2"/>
                <w:szCs w:val="12"/>
                <w:color w:val="auto"/>
              </w:rPr>
              <w:t>Income taxes receivable</w:t>
            </w:r>
          </w:p>
        </w:tc>
        <w:tc>
          <w:tcPr>
            <w:tcW w:w="90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6.7</w:t>
            </w:r>
          </w:p>
        </w:tc>
        <w:tc>
          <w:tcPr>
            <w:tcW w:w="500" w:type="dxa"/>
            <w:vAlign w:val="bottom"/>
            <w:tcBorders>
              <w:bottom w:val="single" w:sz="8" w:color="DBDBDB"/>
            </w:tcBorders>
            <w:shd w:val="clear" w:color="auto" w:fill="DBDBDB"/>
          </w:tcPr>
          <w:p>
            <w:pPr>
              <w:spacing w:after="0"/>
              <w:rPr>
                <w:sz w:val="16"/>
                <w:szCs w:val="16"/>
                <w:color w:val="auto"/>
              </w:rPr>
            </w:pP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6.7</w:t>
            </w:r>
          </w:p>
        </w:tc>
      </w:tr>
      <w:tr>
        <w:trPr>
          <w:trHeight w:val="160"/>
        </w:trPr>
        <w:tc>
          <w:tcPr>
            <w:tcW w:w="7500" w:type="dxa"/>
            <w:vAlign w:val="bottom"/>
            <w:tcBorders>
              <w:top w:val="single" w:sz="8" w:color="auto"/>
            </w:tcBorders>
            <w:gridSpan w:val="2"/>
          </w:tcPr>
          <w:p>
            <w:pPr>
              <w:ind w:left="20"/>
              <w:spacing w:after="0"/>
              <w:rPr>
                <w:sz w:val="20"/>
                <w:szCs w:val="20"/>
                <w:color w:val="auto"/>
              </w:rPr>
            </w:pPr>
            <w:r>
              <w:rPr>
                <w:rFonts w:ascii="Arial" w:cs="Arial" w:eastAsia="Arial" w:hAnsi="Arial"/>
                <w:sz w:val="12"/>
                <w:szCs w:val="12"/>
                <w:color w:val="auto"/>
              </w:rPr>
              <w:t>Total current assets</w:t>
            </w:r>
          </w:p>
        </w:tc>
        <w:tc>
          <w:tcPr>
            <w:tcW w:w="9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rPr>
              <w:t>297.1</w:t>
            </w:r>
          </w:p>
        </w:tc>
        <w:tc>
          <w:tcPr>
            <w:tcW w:w="5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279.0</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color w:val="auto"/>
              </w:rPr>
              <w:t>Property, plant and equipment, net</w:t>
            </w:r>
          </w:p>
        </w:tc>
        <w:tc>
          <w:tcPr>
            <w:tcW w:w="90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535.8</w:t>
            </w:r>
          </w:p>
        </w:tc>
        <w:tc>
          <w:tcPr>
            <w:tcW w:w="50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523.4</w:t>
            </w:r>
          </w:p>
        </w:tc>
      </w:tr>
      <w:tr>
        <w:trPr>
          <w:trHeight w:val="167"/>
        </w:trPr>
        <w:tc>
          <w:tcPr>
            <w:tcW w:w="7500" w:type="dxa"/>
            <w:vAlign w:val="bottom"/>
            <w:gridSpan w:val="2"/>
          </w:tcPr>
          <w:p>
            <w:pPr>
              <w:ind w:left="20"/>
              <w:spacing w:after="0"/>
              <w:rPr>
                <w:sz w:val="20"/>
                <w:szCs w:val="20"/>
                <w:color w:val="auto"/>
              </w:rPr>
            </w:pPr>
            <w:r>
              <w:rPr>
                <w:rFonts w:ascii="Arial" w:cs="Arial" w:eastAsia="Arial" w:hAnsi="Arial"/>
                <w:sz w:val="12"/>
                <w:szCs w:val="12"/>
                <w:color w:val="auto"/>
              </w:rPr>
              <w:t>Operating lease right-of-use assets</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68.8</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67.8</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color w:val="auto"/>
              </w:rPr>
              <w:t>Equity method investees</w:t>
            </w:r>
          </w:p>
        </w:tc>
        <w:tc>
          <w:tcPr>
            <w:tcW w:w="90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32.9</w:t>
            </w:r>
          </w:p>
        </w:tc>
        <w:tc>
          <w:tcPr>
            <w:tcW w:w="50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33.0</w:t>
            </w:r>
          </w:p>
        </w:tc>
      </w:tr>
      <w:tr>
        <w:trPr>
          <w:trHeight w:val="167"/>
        </w:trPr>
        <w:tc>
          <w:tcPr>
            <w:tcW w:w="7500" w:type="dxa"/>
            <w:vAlign w:val="bottom"/>
            <w:gridSpan w:val="2"/>
          </w:tcPr>
          <w:p>
            <w:pPr>
              <w:ind w:left="20"/>
              <w:spacing w:after="0"/>
              <w:rPr>
                <w:sz w:val="20"/>
                <w:szCs w:val="20"/>
                <w:color w:val="auto"/>
              </w:rPr>
            </w:pPr>
            <w:r>
              <w:rPr>
                <w:rFonts w:ascii="Arial" w:cs="Arial" w:eastAsia="Arial" w:hAnsi="Arial"/>
                <w:sz w:val="12"/>
                <w:szCs w:val="12"/>
                <w:color w:val="auto"/>
              </w:rPr>
              <w:t>Deferred income tax assets, net</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9.6</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9.7</w:t>
            </w:r>
          </w:p>
        </w:tc>
      </w:tr>
      <w:tr>
        <w:trPr>
          <w:trHeight w:val="26"/>
        </w:trPr>
        <w:tc>
          <w:tcPr>
            <w:tcW w:w="7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Goodwill</w:t>
            </w:r>
          </w:p>
        </w:tc>
        <w:tc>
          <w:tcPr>
            <w:tcW w:w="672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39.4</w:t>
            </w:r>
          </w:p>
        </w:tc>
        <w:tc>
          <w:tcPr>
            <w:tcW w:w="50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39.4</w:t>
            </w:r>
          </w:p>
        </w:tc>
      </w:tr>
      <w:tr>
        <w:trPr>
          <w:trHeight w:val="167"/>
        </w:trPr>
        <w:tc>
          <w:tcPr>
            <w:tcW w:w="780" w:type="dxa"/>
            <w:vAlign w:val="bottom"/>
          </w:tcPr>
          <w:p>
            <w:pPr>
              <w:ind w:left="20"/>
              <w:spacing w:after="0"/>
              <w:rPr>
                <w:sz w:val="20"/>
                <w:szCs w:val="20"/>
                <w:color w:val="auto"/>
              </w:rPr>
            </w:pPr>
            <w:r>
              <w:rPr>
                <w:rFonts w:ascii="Arial" w:cs="Arial" w:eastAsia="Arial" w:hAnsi="Arial"/>
                <w:sz w:val="12"/>
                <w:szCs w:val="12"/>
                <w:color w:val="auto"/>
              </w:rPr>
              <w:t>Other assets</w:t>
            </w:r>
          </w:p>
        </w:tc>
        <w:tc>
          <w:tcPr>
            <w:tcW w:w="6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26.9</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19.2</w:t>
            </w:r>
          </w:p>
        </w:tc>
      </w:tr>
      <w:tr>
        <w:trPr>
          <w:trHeight w:val="26"/>
        </w:trPr>
        <w:tc>
          <w:tcPr>
            <w:tcW w:w="78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1"/>
        </w:trPr>
        <w:tc>
          <w:tcPr>
            <w:tcW w:w="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Total assets</w:t>
            </w:r>
          </w:p>
        </w:tc>
        <w:tc>
          <w:tcPr>
            <w:tcW w:w="672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ind w:right="60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1,010.5</w:t>
            </w:r>
          </w:p>
        </w:tc>
        <w:tc>
          <w:tcPr>
            <w:tcW w:w="500" w:type="dxa"/>
            <w:vAlign w:val="bottom"/>
            <w:tcBorders>
              <w:bottom w:val="single" w:sz="8" w:color="DBDBDB"/>
            </w:tcBorders>
            <w:shd w:val="clear" w:color="auto" w:fill="DBDBDB"/>
          </w:tcPr>
          <w:p>
            <w:pPr>
              <w:jc w:val="right"/>
              <w:ind w:right="240"/>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971.5</w:t>
            </w:r>
          </w:p>
        </w:tc>
      </w:tr>
      <w:tr>
        <w:trPr>
          <w:trHeight w:val="135"/>
        </w:trPr>
        <w:tc>
          <w:tcPr>
            <w:tcW w:w="780" w:type="dxa"/>
            <w:vAlign w:val="bottom"/>
            <w:tcBorders>
              <w:top w:val="single" w:sz="8" w:color="auto"/>
            </w:tcBorders>
          </w:tcPr>
          <w:p>
            <w:pPr>
              <w:spacing w:after="0"/>
              <w:rPr>
                <w:sz w:val="11"/>
                <w:szCs w:val="11"/>
                <w:color w:val="auto"/>
              </w:rPr>
            </w:pPr>
          </w:p>
        </w:tc>
        <w:tc>
          <w:tcPr>
            <w:tcW w:w="67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r>
      <w:tr>
        <w:trPr>
          <w:trHeight w:val="173"/>
        </w:trPr>
        <w:tc>
          <w:tcPr>
            <w:tcW w:w="75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b w:val="1"/>
                <w:bCs w:val="1"/>
                <w:color w:val="auto"/>
              </w:rPr>
              <w:t>Liabilities and Equity</w:t>
            </w:r>
          </w:p>
        </w:tc>
        <w:tc>
          <w:tcPr>
            <w:tcW w:w="90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spacing w:after="0"/>
              <w:rPr>
                <w:sz w:val="15"/>
                <w:szCs w:val="15"/>
                <w:color w:val="auto"/>
              </w:rPr>
            </w:pPr>
          </w:p>
        </w:tc>
        <w:tc>
          <w:tcPr>
            <w:tcW w:w="50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r>
      <w:tr>
        <w:trPr>
          <w:trHeight w:val="167"/>
        </w:trPr>
        <w:tc>
          <w:tcPr>
            <w:tcW w:w="7500" w:type="dxa"/>
            <w:vAlign w:val="bottom"/>
            <w:gridSpan w:val="2"/>
          </w:tcPr>
          <w:p>
            <w:pPr>
              <w:ind w:left="20"/>
              <w:spacing w:after="0"/>
              <w:rPr>
                <w:sz w:val="20"/>
                <w:szCs w:val="20"/>
                <w:color w:val="auto"/>
              </w:rPr>
            </w:pPr>
            <w:r>
              <w:rPr>
                <w:rFonts w:ascii="Arial" w:cs="Arial" w:eastAsia="Arial" w:hAnsi="Arial"/>
                <w:sz w:val="12"/>
                <w:szCs w:val="12"/>
                <w:color w:val="auto"/>
              </w:rPr>
              <w:t>Current liabilities:</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2"/>
                <w:szCs w:val="12"/>
                <w:color w:val="auto"/>
              </w:rPr>
              <w:t>Accounts payable</w:t>
            </w:r>
          </w:p>
        </w:tc>
        <w:tc>
          <w:tcPr>
            <w:tcW w:w="900" w:type="dxa"/>
            <w:vAlign w:val="bottom"/>
            <w:tcBorders>
              <w:bottom w:val="single" w:sz="8" w:color="DBDBDB"/>
            </w:tcBorders>
            <w:shd w:val="clear" w:color="auto" w:fill="DBDBDB"/>
          </w:tcPr>
          <w:p>
            <w:pPr>
              <w:jc w:val="right"/>
              <w:ind w:right="60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40.7</w:t>
            </w:r>
          </w:p>
        </w:tc>
        <w:tc>
          <w:tcPr>
            <w:tcW w:w="500" w:type="dxa"/>
            <w:vAlign w:val="bottom"/>
            <w:tcBorders>
              <w:bottom w:val="single" w:sz="8" w:color="DBDBDB"/>
            </w:tcBorders>
            <w:shd w:val="clear" w:color="auto" w:fill="DBDBDB"/>
          </w:tcPr>
          <w:p>
            <w:pPr>
              <w:jc w:val="right"/>
              <w:ind w:right="240"/>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35.3</w:t>
            </w:r>
          </w:p>
        </w:tc>
      </w:tr>
      <w:tr>
        <w:trPr>
          <w:trHeight w:val="167"/>
        </w:trPr>
        <w:tc>
          <w:tcPr>
            <w:tcW w:w="7500" w:type="dxa"/>
            <w:vAlign w:val="bottom"/>
            <w:gridSpan w:val="2"/>
          </w:tcPr>
          <w:p>
            <w:pPr>
              <w:ind w:left="220"/>
              <w:spacing w:after="0"/>
              <w:rPr>
                <w:sz w:val="20"/>
                <w:szCs w:val="20"/>
                <w:color w:val="auto"/>
              </w:rPr>
            </w:pPr>
            <w:r>
              <w:rPr>
                <w:rFonts w:ascii="Arial" w:cs="Arial" w:eastAsia="Arial" w:hAnsi="Arial"/>
                <w:sz w:val="12"/>
                <w:szCs w:val="12"/>
                <w:color w:val="auto"/>
              </w:rPr>
              <w:t>Accrued expenses</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37.5</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39.9</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2"/>
                <w:szCs w:val="12"/>
                <w:color w:val="auto"/>
              </w:rPr>
              <w:t>Income taxes payable</w:t>
            </w:r>
          </w:p>
        </w:tc>
        <w:tc>
          <w:tcPr>
            <w:tcW w:w="90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1.3</w:t>
            </w:r>
          </w:p>
        </w:tc>
        <w:tc>
          <w:tcPr>
            <w:tcW w:w="50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7.7</w:t>
            </w:r>
          </w:p>
        </w:tc>
      </w:tr>
      <w:tr>
        <w:trPr>
          <w:trHeight w:val="167"/>
        </w:trPr>
        <w:tc>
          <w:tcPr>
            <w:tcW w:w="7500" w:type="dxa"/>
            <w:vAlign w:val="bottom"/>
            <w:gridSpan w:val="2"/>
          </w:tcPr>
          <w:p>
            <w:pPr>
              <w:ind w:left="220"/>
              <w:spacing w:after="0"/>
              <w:rPr>
                <w:sz w:val="20"/>
                <w:szCs w:val="20"/>
                <w:color w:val="auto"/>
              </w:rPr>
            </w:pPr>
            <w:r>
              <w:rPr>
                <w:rFonts w:ascii="Arial" w:cs="Arial" w:eastAsia="Arial" w:hAnsi="Arial"/>
                <w:sz w:val="12"/>
                <w:szCs w:val="12"/>
                <w:color w:val="auto"/>
              </w:rPr>
              <w:t>Grower payables</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58.7</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50.3</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2"/>
                <w:szCs w:val="12"/>
                <w:color w:val="auto"/>
              </w:rPr>
              <w:t>Short-term borrowings</w:t>
            </w:r>
          </w:p>
        </w:tc>
        <w:tc>
          <w:tcPr>
            <w:tcW w:w="90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3.0</w:t>
            </w:r>
          </w:p>
        </w:tc>
      </w:tr>
      <w:tr>
        <w:trPr>
          <w:trHeight w:val="167"/>
        </w:trPr>
        <w:tc>
          <w:tcPr>
            <w:tcW w:w="7500" w:type="dxa"/>
            <w:vAlign w:val="bottom"/>
            <w:gridSpan w:val="2"/>
          </w:tcPr>
          <w:p>
            <w:pPr>
              <w:ind w:left="220"/>
              <w:spacing w:after="0"/>
              <w:rPr>
                <w:sz w:val="20"/>
                <w:szCs w:val="20"/>
                <w:color w:val="auto"/>
              </w:rPr>
            </w:pPr>
            <w:r>
              <w:rPr>
                <w:rFonts w:ascii="Arial" w:cs="Arial" w:eastAsia="Arial" w:hAnsi="Arial"/>
                <w:sz w:val="12"/>
                <w:szCs w:val="12"/>
                <w:color w:val="auto"/>
              </w:rPr>
              <w:t>Notes payable</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0.5</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2"/>
                <w:szCs w:val="12"/>
                <w:color w:val="auto"/>
              </w:rPr>
              <w:t>Loans from noncontrolling interest holders—current portion</w:t>
            </w:r>
          </w:p>
        </w:tc>
        <w:tc>
          <w:tcPr>
            <w:tcW w:w="90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0.2</w:t>
            </w:r>
          </w:p>
        </w:tc>
        <w:tc>
          <w:tcPr>
            <w:tcW w:w="50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0.1</w:t>
            </w:r>
          </w:p>
        </w:tc>
      </w:tr>
      <w:tr>
        <w:trPr>
          <w:trHeight w:val="167"/>
        </w:trPr>
        <w:tc>
          <w:tcPr>
            <w:tcW w:w="7500" w:type="dxa"/>
            <w:vAlign w:val="bottom"/>
            <w:gridSpan w:val="2"/>
          </w:tcPr>
          <w:p>
            <w:pPr>
              <w:ind w:left="220"/>
              <w:spacing w:after="0"/>
              <w:rPr>
                <w:sz w:val="20"/>
                <w:szCs w:val="20"/>
                <w:color w:val="auto"/>
              </w:rPr>
            </w:pPr>
            <w:r>
              <w:rPr>
                <w:rFonts w:ascii="Arial" w:cs="Arial" w:eastAsia="Arial" w:hAnsi="Arial"/>
                <w:sz w:val="12"/>
                <w:szCs w:val="12"/>
                <w:color w:val="auto"/>
              </w:rPr>
              <w:t>Long-term debt—current portion</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3.0</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2"/>
                <w:szCs w:val="12"/>
                <w:color w:val="auto"/>
              </w:rPr>
              <w:t>Operating leases—current portion</w:t>
            </w:r>
          </w:p>
        </w:tc>
        <w:tc>
          <w:tcPr>
            <w:tcW w:w="90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6.7</w:t>
            </w:r>
          </w:p>
        </w:tc>
        <w:tc>
          <w:tcPr>
            <w:tcW w:w="50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6.4</w:t>
            </w:r>
          </w:p>
        </w:tc>
      </w:tr>
      <w:tr>
        <w:trPr>
          <w:trHeight w:val="167"/>
        </w:trPr>
        <w:tc>
          <w:tcPr>
            <w:tcW w:w="7500" w:type="dxa"/>
            <w:vAlign w:val="bottom"/>
            <w:gridSpan w:val="2"/>
          </w:tcPr>
          <w:p>
            <w:pPr>
              <w:ind w:left="220"/>
              <w:spacing w:after="0"/>
              <w:rPr>
                <w:sz w:val="20"/>
                <w:szCs w:val="20"/>
                <w:color w:val="auto"/>
              </w:rPr>
            </w:pPr>
            <w:r>
              <w:rPr>
                <w:rFonts w:ascii="Arial" w:cs="Arial" w:eastAsia="Arial" w:hAnsi="Arial"/>
                <w:sz w:val="12"/>
                <w:szCs w:val="12"/>
                <w:color w:val="auto"/>
              </w:rPr>
              <w:t>Finance leases—current portion</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1.8</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2.9</w:t>
            </w:r>
          </w:p>
        </w:tc>
      </w:tr>
      <w:tr>
        <w:trPr>
          <w:trHeight w:val="26"/>
        </w:trPr>
        <w:tc>
          <w:tcPr>
            <w:tcW w:w="75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6"/>
        </w:trPr>
        <w:tc>
          <w:tcPr>
            <w:tcW w:w="75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color w:val="auto"/>
              </w:rPr>
              <w:t>Total current liabilities</w:t>
            </w:r>
          </w:p>
        </w:tc>
        <w:tc>
          <w:tcPr>
            <w:tcW w:w="900" w:type="dxa"/>
            <w:vAlign w:val="bottom"/>
            <w:tcBorders>
              <w:bottom w:val="single" w:sz="8" w:color="DBDBDB"/>
            </w:tcBorders>
            <w:shd w:val="clear" w:color="auto" w:fill="DBDBDB"/>
          </w:tcPr>
          <w:p>
            <w:pPr>
              <w:spacing w:after="0"/>
              <w:rPr>
                <w:sz w:val="14"/>
                <w:szCs w:val="14"/>
                <w:color w:val="auto"/>
              </w:rPr>
            </w:pPr>
          </w:p>
        </w:tc>
        <w:tc>
          <w:tcPr>
            <w:tcW w:w="106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149.9</w:t>
            </w:r>
          </w:p>
        </w:tc>
        <w:tc>
          <w:tcPr>
            <w:tcW w:w="500" w:type="dxa"/>
            <w:vAlign w:val="bottom"/>
            <w:tcBorders>
              <w:bottom w:val="single" w:sz="8" w:color="DBDBDB"/>
            </w:tcBorders>
            <w:shd w:val="clear" w:color="auto" w:fill="DBDBDB"/>
          </w:tcPr>
          <w:p>
            <w:pPr>
              <w:spacing w:after="0"/>
              <w:rPr>
                <w:sz w:val="14"/>
                <w:szCs w:val="14"/>
                <w:color w:val="auto"/>
              </w:rPr>
            </w:pP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149.1</w:t>
            </w:r>
          </w:p>
        </w:tc>
      </w:tr>
      <w:tr>
        <w:trPr>
          <w:trHeight w:val="167"/>
        </w:trPr>
        <w:tc>
          <w:tcPr>
            <w:tcW w:w="7500" w:type="dxa"/>
            <w:vAlign w:val="bottom"/>
            <w:gridSpan w:val="2"/>
          </w:tcPr>
          <w:p>
            <w:pPr>
              <w:ind w:left="20"/>
              <w:spacing w:after="0"/>
              <w:rPr>
                <w:sz w:val="20"/>
                <w:szCs w:val="20"/>
                <w:color w:val="auto"/>
              </w:rPr>
            </w:pPr>
            <w:r>
              <w:rPr>
                <w:rFonts w:ascii="Arial" w:cs="Arial" w:eastAsia="Arial" w:hAnsi="Arial"/>
                <w:sz w:val="12"/>
                <w:szCs w:val="12"/>
                <w:color w:val="auto"/>
              </w:rPr>
              <w:t>Long-term debt, net of current portion</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144.2</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110.7</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color w:val="auto"/>
              </w:rPr>
              <w:t>Loans from noncontrolling interest holders, net of current portion</w:t>
            </w:r>
          </w:p>
        </w:tc>
        <w:tc>
          <w:tcPr>
            <w:tcW w:w="90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0.9</w:t>
            </w:r>
          </w:p>
        </w:tc>
        <w:tc>
          <w:tcPr>
            <w:tcW w:w="50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1.8</w:t>
            </w:r>
          </w:p>
        </w:tc>
      </w:tr>
      <w:tr>
        <w:trPr>
          <w:trHeight w:val="167"/>
        </w:trPr>
        <w:tc>
          <w:tcPr>
            <w:tcW w:w="7500" w:type="dxa"/>
            <w:vAlign w:val="bottom"/>
            <w:gridSpan w:val="2"/>
          </w:tcPr>
          <w:p>
            <w:pPr>
              <w:ind w:left="20"/>
              <w:spacing w:after="0"/>
              <w:rPr>
                <w:sz w:val="20"/>
                <w:szCs w:val="20"/>
                <w:color w:val="auto"/>
              </w:rPr>
            </w:pPr>
            <w:r>
              <w:rPr>
                <w:rFonts w:ascii="Arial" w:cs="Arial" w:eastAsia="Arial" w:hAnsi="Arial"/>
                <w:sz w:val="12"/>
                <w:szCs w:val="12"/>
                <w:color w:val="auto"/>
              </w:rPr>
              <w:t>Operating leases, net of current portion</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68.3</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67.4</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color w:val="auto"/>
              </w:rPr>
              <w:t>Finance leases, net of current portion</w:t>
            </w:r>
          </w:p>
        </w:tc>
        <w:tc>
          <w:tcPr>
            <w:tcW w:w="90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21.7</w:t>
            </w:r>
          </w:p>
        </w:tc>
        <w:tc>
          <w:tcPr>
            <w:tcW w:w="50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21.5</w:t>
            </w:r>
          </w:p>
        </w:tc>
      </w:tr>
      <w:tr>
        <w:trPr>
          <w:trHeight w:val="167"/>
        </w:trPr>
        <w:tc>
          <w:tcPr>
            <w:tcW w:w="7500" w:type="dxa"/>
            <w:vAlign w:val="bottom"/>
            <w:gridSpan w:val="2"/>
          </w:tcPr>
          <w:p>
            <w:pPr>
              <w:ind w:left="20"/>
              <w:spacing w:after="0"/>
              <w:rPr>
                <w:sz w:val="20"/>
                <w:szCs w:val="20"/>
                <w:color w:val="auto"/>
              </w:rPr>
            </w:pPr>
            <w:r>
              <w:rPr>
                <w:rFonts w:ascii="Arial" w:cs="Arial" w:eastAsia="Arial" w:hAnsi="Arial"/>
                <w:sz w:val="12"/>
                <w:szCs w:val="12"/>
                <w:color w:val="auto"/>
              </w:rPr>
              <w:t>Income taxes payable</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color w:val="auto"/>
              </w:rPr>
              <w:t>Deferred income tax liabilities, net</w:t>
            </w:r>
          </w:p>
        </w:tc>
        <w:tc>
          <w:tcPr>
            <w:tcW w:w="90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16.5</w:t>
            </w:r>
          </w:p>
        </w:tc>
        <w:tc>
          <w:tcPr>
            <w:tcW w:w="50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16.6</w:t>
            </w:r>
          </w:p>
        </w:tc>
      </w:tr>
      <w:tr>
        <w:trPr>
          <w:trHeight w:val="167"/>
        </w:trPr>
        <w:tc>
          <w:tcPr>
            <w:tcW w:w="7500" w:type="dxa"/>
            <w:vAlign w:val="bottom"/>
            <w:gridSpan w:val="2"/>
          </w:tcPr>
          <w:p>
            <w:pPr>
              <w:ind w:left="20"/>
              <w:spacing w:after="0"/>
              <w:rPr>
                <w:sz w:val="20"/>
                <w:szCs w:val="20"/>
                <w:color w:val="auto"/>
              </w:rPr>
            </w:pPr>
            <w:r>
              <w:rPr>
                <w:rFonts w:ascii="Arial" w:cs="Arial" w:eastAsia="Arial" w:hAnsi="Arial"/>
                <w:sz w:val="12"/>
                <w:szCs w:val="12"/>
                <w:color w:val="auto"/>
              </w:rPr>
              <w:t>Other long-term liabilities</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24.7</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26.0</w:t>
            </w:r>
          </w:p>
        </w:tc>
      </w:tr>
      <w:tr>
        <w:trPr>
          <w:trHeight w:val="26"/>
        </w:trPr>
        <w:tc>
          <w:tcPr>
            <w:tcW w:w="78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6"/>
        </w:trPr>
        <w:tc>
          <w:tcPr>
            <w:tcW w:w="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w w:val="98"/>
              </w:rPr>
              <w:t>Total liabilities</w:t>
            </w:r>
          </w:p>
        </w:tc>
        <w:tc>
          <w:tcPr>
            <w:tcW w:w="672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106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426.2</w:t>
            </w:r>
          </w:p>
        </w:tc>
        <w:tc>
          <w:tcPr>
            <w:tcW w:w="500" w:type="dxa"/>
            <w:vAlign w:val="bottom"/>
            <w:tcBorders>
              <w:bottom w:val="single" w:sz="8" w:color="DBDBDB"/>
            </w:tcBorders>
            <w:shd w:val="clear" w:color="auto" w:fill="DBDBDB"/>
          </w:tcPr>
          <w:p>
            <w:pPr>
              <w:spacing w:after="0"/>
              <w:rPr>
                <w:sz w:val="14"/>
                <w:szCs w:val="14"/>
                <w:color w:val="auto"/>
              </w:rPr>
            </w:pP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394.4</w:t>
            </w:r>
          </w:p>
        </w:tc>
      </w:tr>
      <w:tr>
        <w:trPr>
          <w:trHeight w:val="167"/>
        </w:trPr>
        <w:tc>
          <w:tcPr>
            <w:tcW w:w="7500" w:type="dxa"/>
            <w:vAlign w:val="bottom"/>
            <w:gridSpan w:val="2"/>
          </w:tcPr>
          <w:p>
            <w:pPr>
              <w:ind w:left="20"/>
              <w:spacing w:after="0"/>
              <w:rPr>
                <w:sz w:val="20"/>
                <w:szCs w:val="20"/>
                <w:color w:val="auto"/>
              </w:rPr>
            </w:pPr>
            <w:r>
              <w:rPr>
                <w:rFonts w:ascii="Arial" w:cs="Arial" w:eastAsia="Arial" w:hAnsi="Arial"/>
                <w:sz w:val="12"/>
                <w:szCs w:val="12"/>
                <w:color w:val="auto"/>
              </w:rPr>
              <w:t>Commitments and contingencies (Note 7)</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color w:val="auto"/>
              </w:rPr>
              <w:t>Shareholders’ Equity</w:t>
            </w:r>
          </w:p>
        </w:tc>
        <w:tc>
          <w:tcPr>
            <w:tcW w:w="90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spacing w:after="0"/>
              <w:rPr>
                <w:sz w:val="15"/>
                <w:szCs w:val="15"/>
                <w:color w:val="auto"/>
              </w:rPr>
            </w:pPr>
          </w:p>
        </w:tc>
        <w:tc>
          <w:tcPr>
            <w:tcW w:w="50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r>
      <w:tr>
        <w:trPr>
          <w:trHeight w:val="150"/>
        </w:trPr>
        <w:tc>
          <w:tcPr>
            <w:tcW w:w="7500" w:type="dxa"/>
            <w:vAlign w:val="bottom"/>
            <w:gridSpan w:val="2"/>
          </w:tcPr>
          <w:p>
            <w:pPr>
              <w:ind w:left="220"/>
              <w:spacing w:after="0"/>
              <w:rPr>
                <w:sz w:val="20"/>
                <w:szCs w:val="20"/>
                <w:color w:val="auto"/>
              </w:rPr>
            </w:pPr>
            <w:r>
              <w:rPr>
                <w:rFonts w:ascii="Arial" w:cs="Arial" w:eastAsia="Arial" w:hAnsi="Arial"/>
                <w:sz w:val="12"/>
                <w:szCs w:val="12"/>
                <w:color w:val="auto"/>
              </w:rPr>
              <w:t>Common stock ($0.001 par value, 1,000,000,000 shares authorized; 70,617,951 and 70,914,767 shares issued and outstanding as of</w:t>
            </w:r>
          </w:p>
        </w:tc>
        <w:tc>
          <w:tcPr>
            <w:tcW w:w="900" w:type="dxa"/>
            <w:vAlign w:val="bottom"/>
          </w:tcPr>
          <w:p>
            <w:pPr>
              <w:spacing w:after="0"/>
              <w:rPr>
                <w:sz w:val="13"/>
                <w:szCs w:val="13"/>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0.1</w:t>
            </w:r>
          </w:p>
        </w:tc>
        <w:tc>
          <w:tcPr>
            <w:tcW w:w="5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0.1</w:t>
            </w:r>
          </w:p>
        </w:tc>
      </w:tr>
      <w:tr>
        <w:trPr>
          <w:trHeight w:val="159"/>
        </w:trPr>
        <w:tc>
          <w:tcPr>
            <w:tcW w:w="7500" w:type="dxa"/>
            <w:vAlign w:val="bottom"/>
            <w:gridSpan w:val="2"/>
          </w:tcPr>
          <w:p>
            <w:pPr>
              <w:ind w:left="380"/>
              <w:spacing w:after="0"/>
              <w:rPr>
                <w:sz w:val="20"/>
                <w:szCs w:val="20"/>
                <w:color w:val="auto"/>
              </w:rPr>
            </w:pPr>
            <w:r>
              <w:rPr>
                <w:rFonts w:ascii="Arial" w:cs="Arial" w:eastAsia="Arial" w:hAnsi="Arial"/>
                <w:sz w:val="12"/>
                <w:szCs w:val="12"/>
                <w:color w:val="auto"/>
              </w:rPr>
              <w:t>April 30, 2025 and October 31, 2024, respectively)</w:t>
            </w: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2"/>
                <w:szCs w:val="12"/>
                <w:color w:val="auto"/>
              </w:rPr>
              <w:t>Additional paid-in capital</w:t>
            </w:r>
          </w:p>
        </w:tc>
        <w:tc>
          <w:tcPr>
            <w:tcW w:w="90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242.4</w:t>
            </w:r>
          </w:p>
        </w:tc>
        <w:tc>
          <w:tcPr>
            <w:tcW w:w="50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239.7</w:t>
            </w:r>
          </w:p>
        </w:tc>
      </w:tr>
      <w:tr>
        <w:trPr>
          <w:trHeight w:val="167"/>
        </w:trPr>
        <w:tc>
          <w:tcPr>
            <w:tcW w:w="7500" w:type="dxa"/>
            <w:vAlign w:val="bottom"/>
            <w:gridSpan w:val="2"/>
          </w:tcPr>
          <w:p>
            <w:pPr>
              <w:ind w:left="220"/>
              <w:spacing w:after="0"/>
              <w:rPr>
                <w:sz w:val="20"/>
                <w:szCs w:val="20"/>
                <w:color w:val="auto"/>
              </w:rPr>
            </w:pPr>
            <w:r>
              <w:rPr>
                <w:rFonts w:ascii="Arial" w:cs="Arial" w:eastAsia="Arial" w:hAnsi="Arial"/>
                <w:sz w:val="12"/>
                <w:szCs w:val="12"/>
                <w:color w:val="auto"/>
              </w:rPr>
              <w:t>Accumulated other comprehensive income (loss)</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0.6</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(0.2)</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8"/>
        </w:trPr>
        <w:tc>
          <w:tcPr>
            <w:tcW w:w="750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2"/>
                <w:szCs w:val="12"/>
                <w:color w:val="auto"/>
              </w:rPr>
              <w:t>Retained earnings</w:t>
            </w:r>
          </w:p>
        </w:tc>
        <w:tc>
          <w:tcPr>
            <w:tcW w:w="90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309.2</w:t>
            </w:r>
          </w:p>
        </w:tc>
        <w:tc>
          <w:tcPr>
            <w:tcW w:w="500" w:type="dxa"/>
            <w:vAlign w:val="bottom"/>
            <w:tcBorders>
              <w:bottom w:val="single" w:sz="8" w:color="DBDBDB"/>
            </w:tcBorders>
            <w:shd w:val="clear" w:color="auto" w:fill="DBDBDB"/>
          </w:tcPr>
          <w:p>
            <w:pPr>
              <w:spacing w:after="0"/>
              <w:rPr>
                <w:sz w:val="16"/>
                <w:szCs w:val="16"/>
                <w:color w:val="auto"/>
              </w:rPr>
            </w:pP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307.7</w:t>
            </w:r>
          </w:p>
        </w:tc>
      </w:tr>
      <w:tr>
        <w:trPr>
          <w:trHeight w:val="160"/>
        </w:trPr>
        <w:tc>
          <w:tcPr>
            <w:tcW w:w="7500" w:type="dxa"/>
            <w:vAlign w:val="bottom"/>
            <w:tcBorders>
              <w:top w:val="single" w:sz="8" w:color="auto"/>
            </w:tcBorders>
            <w:gridSpan w:val="2"/>
          </w:tcPr>
          <w:p>
            <w:pPr>
              <w:ind w:left="20"/>
              <w:spacing w:after="0"/>
              <w:rPr>
                <w:sz w:val="20"/>
                <w:szCs w:val="20"/>
                <w:color w:val="auto"/>
              </w:rPr>
            </w:pPr>
            <w:r>
              <w:rPr>
                <w:rFonts w:ascii="Arial" w:cs="Arial" w:eastAsia="Arial" w:hAnsi="Arial"/>
                <w:sz w:val="12"/>
                <w:szCs w:val="12"/>
                <w:color w:val="auto"/>
              </w:rPr>
              <w:t>Mission Produce shareholders' equity</w:t>
            </w:r>
          </w:p>
        </w:tc>
        <w:tc>
          <w:tcPr>
            <w:tcW w:w="9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rPr>
              <w:t>552.3</w:t>
            </w:r>
          </w:p>
        </w:tc>
        <w:tc>
          <w:tcPr>
            <w:tcW w:w="5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547.3</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8"/>
        </w:trPr>
        <w:tc>
          <w:tcPr>
            <w:tcW w:w="75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color w:val="auto"/>
              </w:rPr>
              <w:t>Noncontrolling interest</w:t>
            </w:r>
          </w:p>
        </w:tc>
        <w:tc>
          <w:tcPr>
            <w:tcW w:w="90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32.0</w:t>
            </w:r>
          </w:p>
        </w:tc>
        <w:tc>
          <w:tcPr>
            <w:tcW w:w="500" w:type="dxa"/>
            <w:vAlign w:val="bottom"/>
            <w:tcBorders>
              <w:bottom w:val="single" w:sz="8" w:color="DBDBDB"/>
            </w:tcBorders>
            <w:shd w:val="clear" w:color="auto" w:fill="DBDBDB"/>
          </w:tcPr>
          <w:p>
            <w:pPr>
              <w:spacing w:after="0"/>
              <w:rPr>
                <w:sz w:val="16"/>
                <w:szCs w:val="16"/>
                <w:color w:val="auto"/>
              </w:rPr>
            </w:pP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29.8</w:t>
            </w:r>
          </w:p>
        </w:tc>
      </w:tr>
      <w:tr>
        <w:trPr>
          <w:trHeight w:val="160"/>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Total equity</w:t>
            </w:r>
          </w:p>
        </w:tc>
        <w:tc>
          <w:tcPr>
            <w:tcW w:w="67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rPr>
              <w:t>584.3</w:t>
            </w:r>
          </w:p>
        </w:tc>
        <w:tc>
          <w:tcPr>
            <w:tcW w:w="5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577.1</w:t>
            </w:r>
          </w:p>
        </w:tc>
      </w:tr>
      <w:tr>
        <w:trPr>
          <w:trHeight w:val="26"/>
        </w:trPr>
        <w:tc>
          <w:tcPr>
            <w:tcW w:w="75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6"/>
        </w:trPr>
        <w:tc>
          <w:tcPr>
            <w:tcW w:w="75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color w:val="auto"/>
              </w:rPr>
              <w:t>Total liabilities and equity</w:t>
            </w:r>
          </w:p>
        </w:tc>
        <w:tc>
          <w:tcPr>
            <w:tcW w:w="900" w:type="dxa"/>
            <w:vAlign w:val="bottom"/>
            <w:tcBorders>
              <w:bottom w:val="single" w:sz="8" w:color="DBDBDB"/>
            </w:tcBorders>
            <w:shd w:val="clear" w:color="auto" w:fill="DBDBDB"/>
          </w:tcPr>
          <w:p>
            <w:pPr>
              <w:jc w:val="right"/>
              <w:ind w:right="60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1,010.5</w:t>
            </w:r>
          </w:p>
        </w:tc>
        <w:tc>
          <w:tcPr>
            <w:tcW w:w="500" w:type="dxa"/>
            <w:vAlign w:val="bottom"/>
            <w:tcBorders>
              <w:bottom w:val="single" w:sz="8" w:color="DBDBDB"/>
            </w:tcBorders>
            <w:shd w:val="clear" w:color="auto" w:fill="DBDBDB"/>
          </w:tcPr>
          <w:p>
            <w:pPr>
              <w:jc w:val="right"/>
              <w:ind w:right="240"/>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971.5</w:t>
            </w:r>
          </w:p>
        </w:tc>
      </w:tr>
      <w:tr>
        <w:trPr>
          <w:trHeight w:val="20"/>
        </w:trPr>
        <w:tc>
          <w:tcPr>
            <w:tcW w:w="780" w:type="dxa"/>
            <w:vAlign w:val="bottom"/>
            <w:shd w:val="clear" w:color="auto" w:fill="000000"/>
          </w:tcPr>
          <w:p>
            <w:pPr>
              <w:spacing w:after="0" w:line="20" w:lineRule="exact"/>
              <w:rPr>
                <w:sz w:val="1"/>
                <w:szCs w:val="1"/>
                <w:color w:val="auto"/>
              </w:rPr>
            </w:pPr>
          </w:p>
        </w:tc>
        <w:tc>
          <w:tcPr>
            <w:tcW w:w="67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See accompanying notes to unaudited condensed consolidated financial statements.</w:t>
      </w:r>
    </w:p>
    <w:p>
      <w:pPr>
        <w:sectPr>
          <w:pgSz w:w="11900" w:h="16838" w:orient="portrait"/>
          <w:cols w:equalWidth="0" w:num="1">
            <w:col w:w="11240"/>
          </w:cols>
          <w:pgMar w:left="320" w:top="11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MISSION PRODUCE,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 (UNAUDITED)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gridSpan w:val="2"/>
          </w:tcPr>
          <w:p>
            <w:pPr>
              <w:jc w:val="right"/>
              <w:ind w:right="91"/>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gridSpan w:val="2"/>
          </w:tcPr>
          <w:p>
            <w:pPr>
              <w:jc w:val="right"/>
              <w:ind w:right="151"/>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Pr>
          <w:p>
            <w:pPr>
              <w:spacing w:after="0"/>
              <w:rPr>
                <w:sz w:val="14"/>
                <w:szCs w:val="14"/>
                <w:color w:val="auto"/>
              </w:rPr>
            </w:pPr>
          </w:p>
        </w:tc>
      </w:tr>
      <w:tr>
        <w:trPr>
          <w:trHeight w:val="196"/>
        </w:trPr>
        <w:tc>
          <w:tcPr>
            <w:tcW w:w="5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491"/>
              <w:spacing w:after="0"/>
              <w:rPr>
                <w:sz w:val="20"/>
                <w:szCs w:val="20"/>
                <w:color w:val="auto"/>
              </w:rPr>
            </w:pPr>
            <w:r>
              <w:rPr>
                <w:rFonts w:ascii="Arial" w:cs="Arial" w:eastAsia="Arial" w:hAnsi="Arial"/>
                <w:sz w:val="14"/>
                <w:szCs w:val="14"/>
                <w:b w:val="1"/>
                <w:bCs w:val="1"/>
                <w:color w:val="auto"/>
              </w:rPr>
              <w:t>April 30,</w:t>
            </w:r>
          </w:p>
        </w:tc>
        <w:tc>
          <w:tcPr>
            <w:tcW w:w="5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right"/>
              <w:ind w:right="471"/>
              <w:spacing w:after="0"/>
              <w:rPr>
                <w:sz w:val="20"/>
                <w:szCs w:val="20"/>
                <w:color w:val="auto"/>
              </w:rPr>
            </w:pPr>
            <w:r>
              <w:rPr>
                <w:rFonts w:ascii="Arial" w:cs="Arial" w:eastAsia="Arial" w:hAnsi="Arial"/>
                <w:sz w:val="14"/>
                <w:szCs w:val="14"/>
                <w:b w:val="1"/>
                <w:bCs w:val="1"/>
                <w:color w:val="auto"/>
              </w:rPr>
              <w:t>April 30,</w:t>
            </w:r>
          </w:p>
        </w:tc>
        <w:tc>
          <w:tcPr>
            <w:tcW w:w="620" w:type="dxa"/>
            <w:vAlign w:val="bottom"/>
            <w:tcBorders>
              <w:bottom w:val="single" w:sz="8" w:color="auto"/>
            </w:tcBorders>
          </w:tcPr>
          <w:p>
            <w:pPr>
              <w:spacing w:after="0"/>
              <w:rPr>
                <w:sz w:val="17"/>
                <w:szCs w:val="17"/>
                <w:color w:val="auto"/>
              </w:rPr>
            </w:pPr>
          </w:p>
        </w:tc>
      </w:tr>
      <w:tr>
        <w:trPr>
          <w:trHeight w:val="212"/>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for per share amounts)</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2025</w:t>
            </w:r>
          </w:p>
        </w:tc>
        <w:tc>
          <w:tcPr>
            <w:tcW w:w="8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2025</w:t>
            </w:r>
          </w:p>
        </w:tc>
        <w:tc>
          <w:tcPr>
            <w:tcW w:w="8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r>
      <w:tr>
        <w:trPr>
          <w:trHeight w:val="199"/>
        </w:trPr>
        <w:tc>
          <w:tcPr>
            <w:tcW w:w="5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380.3</w:t>
            </w:r>
          </w:p>
        </w:tc>
        <w:tc>
          <w:tcPr>
            <w:tcW w:w="840" w:type="dxa"/>
            <w:vAlign w:val="bottom"/>
            <w:tcBorders>
              <w:bottom w:val="single" w:sz="8" w:color="DBDBDB"/>
            </w:tcBorders>
            <w:shd w:val="clear" w:color="auto" w:fill="DBDBDB"/>
          </w:tcPr>
          <w:p>
            <w:pPr>
              <w:jc w:val="right"/>
              <w:ind w:right="59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297.6</w:t>
            </w:r>
          </w:p>
        </w:tc>
        <w:tc>
          <w:tcPr>
            <w:tcW w:w="260" w:type="dxa"/>
            <w:vAlign w:val="bottom"/>
            <w:tcBorders>
              <w:bottom w:val="single" w:sz="8" w:color="DBDBDB"/>
            </w:tcBorders>
            <w:shd w:val="clear" w:color="auto" w:fill="DBDBDB"/>
          </w:tcPr>
          <w:p>
            <w:pPr>
              <w:spacing w:after="0"/>
              <w:rPr>
                <w:sz w:val="17"/>
                <w:szCs w:val="17"/>
                <w:color w:val="auto"/>
              </w:rPr>
            </w:pPr>
          </w:p>
        </w:tc>
        <w:tc>
          <w:tcPr>
            <w:tcW w:w="460" w:type="dxa"/>
            <w:vAlign w:val="bottom"/>
            <w:tcBorders>
              <w:bottom w:val="single" w:sz="8" w:color="DBDBDB"/>
            </w:tcBorders>
            <w:shd w:val="clear" w:color="auto" w:fill="DBDBDB"/>
          </w:tcPr>
          <w:p>
            <w:pPr>
              <w:jc w:val="right"/>
              <w:ind w:right="29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714.5</w:t>
            </w:r>
          </w:p>
        </w:tc>
        <w:tc>
          <w:tcPr>
            <w:tcW w:w="820" w:type="dxa"/>
            <w:vAlign w:val="bottom"/>
            <w:tcBorders>
              <w:bottom w:val="single" w:sz="8" w:color="DBDBDB"/>
            </w:tcBorders>
            <w:shd w:val="clear" w:color="auto" w:fill="DBDBDB"/>
          </w:tcPr>
          <w:p>
            <w:pPr>
              <w:jc w:val="right"/>
              <w:ind w:right="571"/>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556.3</w:t>
            </w:r>
          </w:p>
        </w:tc>
      </w:tr>
      <w:tr>
        <w:trPr>
          <w:trHeight w:val="199"/>
        </w:trPr>
        <w:tc>
          <w:tcPr>
            <w:tcW w:w="528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420" w:type="dxa"/>
            <w:vAlign w:val="bottom"/>
          </w:tcPr>
          <w:p>
            <w:pPr>
              <w:spacing w:after="0"/>
              <w:rPr>
                <w:sz w:val="17"/>
                <w:szCs w:val="17"/>
                <w:color w:val="auto"/>
              </w:rPr>
            </w:pPr>
          </w:p>
        </w:tc>
        <w:tc>
          <w:tcPr>
            <w:tcW w:w="1000" w:type="dxa"/>
            <w:vAlign w:val="bottom"/>
          </w:tcPr>
          <w:p>
            <w:pPr>
              <w:jc w:val="right"/>
              <w:ind w:right="71"/>
              <w:spacing w:after="0"/>
              <w:rPr>
                <w:sz w:val="20"/>
                <w:szCs w:val="20"/>
                <w:color w:val="auto"/>
              </w:rPr>
            </w:pPr>
            <w:r>
              <w:rPr>
                <w:rFonts w:ascii="Arial" w:cs="Arial" w:eastAsia="Arial" w:hAnsi="Arial"/>
                <w:sz w:val="14"/>
                <w:szCs w:val="14"/>
                <w:color w:val="auto"/>
              </w:rPr>
              <w:t>351.9</w:t>
            </w: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266.6</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654.6</w:t>
            </w:r>
          </w:p>
        </w:tc>
        <w:tc>
          <w:tcPr>
            <w:tcW w:w="8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496.6</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2"/>
        </w:trPr>
        <w:tc>
          <w:tcPr>
            <w:tcW w:w="5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Gross profit</w:t>
            </w:r>
          </w:p>
        </w:tc>
        <w:tc>
          <w:tcPr>
            <w:tcW w:w="42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28.4</w:t>
            </w:r>
          </w:p>
        </w:tc>
        <w:tc>
          <w:tcPr>
            <w:tcW w:w="840" w:type="dxa"/>
            <w:vAlign w:val="bottom"/>
            <w:tcBorders>
              <w:bottom w:val="single" w:sz="8" w:color="DBDBDB"/>
            </w:tcBorders>
            <w:shd w:val="clear" w:color="auto" w:fill="DBDBDB"/>
          </w:tcPr>
          <w:p>
            <w:pPr>
              <w:spacing w:after="0"/>
              <w:rPr>
                <w:sz w:val="16"/>
                <w:szCs w:val="16"/>
                <w:color w:val="auto"/>
              </w:rPr>
            </w:pPr>
          </w:p>
        </w:tc>
        <w:tc>
          <w:tcPr>
            <w:tcW w:w="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31.0</w:t>
            </w:r>
          </w:p>
        </w:tc>
        <w:tc>
          <w:tcPr>
            <w:tcW w:w="260" w:type="dxa"/>
            <w:vAlign w:val="bottom"/>
            <w:tcBorders>
              <w:bottom w:val="single" w:sz="8" w:color="DBDBDB"/>
            </w:tcBorders>
            <w:shd w:val="clear" w:color="auto" w:fill="DBDBDB"/>
          </w:tcPr>
          <w:p>
            <w:pPr>
              <w:spacing w:after="0"/>
              <w:rPr>
                <w:sz w:val="16"/>
                <w:szCs w:val="16"/>
                <w:color w:val="auto"/>
              </w:rPr>
            </w:pPr>
          </w:p>
        </w:tc>
        <w:tc>
          <w:tcPr>
            <w:tcW w:w="46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59.9</w:t>
            </w:r>
          </w:p>
        </w:tc>
        <w:tc>
          <w:tcPr>
            <w:tcW w:w="820" w:type="dxa"/>
            <w:vAlign w:val="bottom"/>
            <w:tcBorders>
              <w:bottom w:val="single" w:sz="8" w:color="DBDBDB"/>
            </w:tcBorders>
            <w:shd w:val="clear" w:color="auto" w:fill="DBDBDB"/>
          </w:tcPr>
          <w:p>
            <w:pPr>
              <w:spacing w:after="0"/>
              <w:rPr>
                <w:sz w:val="16"/>
                <w:szCs w:val="16"/>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59.7</w:t>
            </w:r>
          </w:p>
        </w:tc>
      </w:tr>
      <w:tr>
        <w:trPr>
          <w:trHeight w:val="199"/>
        </w:trPr>
        <w:tc>
          <w:tcPr>
            <w:tcW w:w="528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420" w:type="dxa"/>
            <w:vAlign w:val="bottom"/>
          </w:tcPr>
          <w:p>
            <w:pPr>
              <w:spacing w:after="0"/>
              <w:rPr>
                <w:sz w:val="17"/>
                <w:szCs w:val="17"/>
                <w:color w:val="auto"/>
              </w:rPr>
            </w:pPr>
          </w:p>
        </w:tc>
        <w:tc>
          <w:tcPr>
            <w:tcW w:w="1000" w:type="dxa"/>
            <w:vAlign w:val="bottom"/>
          </w:tcPr>
          <w:p>
            <w:pPr>
              <w:jc w:val="right"/>
              <w:ind w:right="71"/>
              <w:spacing w:after="0"/>
              <w:rPr>
                <w:sz w:val="20"/>
                <w:szCs w:val="20"/>
                <w:color w:val="auto"/>
              </w:rPr>
            </w:pPr>
            <w:r>
              <w:rPr>
                <w:rFonts w:ascii="Arial" w:cs="Arial" w:eastAsia="Arial" w:hAnsi="Arial"/>
                <w:sz w:val="14"/>
                <w:szCs w:val="14"/>
                <w:color w:val="auto"/>
              </w:rPr>
              <w:t>21.5</w:t>
            </w: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18.7</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43.7</w:t>
            </w:r>
          </w:p>
        </w:tc>
        <w:tc>
          <w:tcPr>
            <w:tcW w:w="8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39.4</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2"/>
        </w:trPr>
        <w:tc>
          <w:tcPr>
            <w:tcW w:w="5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Operating income</w:t>
            </w:r>
          </w:p>
        </w:tc>
        <w:tc>
          <w:tcPr>
            <w:tcW w:w="42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6.9</w:t>
            </w:r>
          </w:p>
        </w:tc>
        <w:tc>
          <w:tcPr>
            <w:tcW w:w="840" w:type="dxa"/>
            <w:vAlign w:val="bottom"/>
            <w:tcBorders>
              <w:bottom w:val="single" w:sz="8" w:color="DBDBDB"/>
            </w:tcBorders>
            <w:shd w:val="clear" w:color="auto" w:fill="DBDBDB"/>
          </w:tcPr>
          <w:p>
            <w:pPr>
              <w:spacing w:after="0"/>
              <w:rPr>
                <w:sz w:val="16"/>
                <w:szCs w:val="16"/>
                <w:color w:val="auto"/>
              </w:rPr>
            </w:pPr>
          </w:p>
        </w:tc>
        <w:tc>
          <w:tcPr>
            <w:tcW w:w="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12.3</w:t>
            </w:r>
          </w:p>
        </w:tc>
        <w:tc>
          <w:tcPr>
            <w:tcW w:w="260" w:type="dxa"/>
            <w:vAlign w:val="bottom"/>
            <w:tcBorders>
              <w:bottom w:val="single" w:sz="8" w:color="DBDBDB"/>
            </w:tcBorders>
            <w:shd w:val="clear" w:color="auto" w:fill="DBDBDB"/>
          </w:tcPr>
          <w:p>
            <w:pPr>
              <w:spacing w:after="0"/>
              <w:rPr>
                <w:sz w:val="16"/>
                <w:szCs w:val="16"/>
                <w:color w:val="auto"/>
              </w:rPr>
            </w:pPr>
          </w:p>
        </w:tc>
        <w:tc>
          <w:tcPr>
            <w:tcW w:w="46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16.2</w:t>
            </w:r>
          </w:p>
        </w:tc>
        <w:tc>
          <w:tcPr>
            <w:tcW w:w="820" w:type="dxa"/>
            <w:vAlign w:val="bottom"/>
            <w:tcBorders>
              <w:bottom w:val="single" w:sz="8" w:color="DBDBDB"/>
            </w:tcBorders>
            <w:shd w:val="clear" w:color="auto" w:fill="DBDBDB"/>
          </w:tcPr>
          <w:p>
            <w:pPr>
              <w:spacing w:after="0"/>
              <w:rPr>
                <w:sz w:val="16"/>
                <w:szCs w:val="16"/>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20.3</w:t>
            </w:r>
          </w:p>
        </w:tc>
      </w:tr>
      <w:tr>
        <w:trPr>
          <w:trHeight w:val="199"/>
        </w:trPr>
        <w:tc>
          <w:tcPr>
            <w:tcW w:w="52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420" w:type="dxa"/>
            <w:vAlign w:val="bottom"/>
          </w:tcPr>
          <w:p>
            <w:pPr>
              <w:spacing w:after="0"/>
              <w:rPr>
                <w:sz w:val="17"/>
                <w:szCs w:val="17"/>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(2.5)</w:t>
            </w: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(4.7)</w:t>
            </w:r>
          </w:p>
        </w:tc>
        <w:tc>
          <w:tcPr>
            <w:tcW w:w="8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0"/>
        </w:trPr>
        <w:tc>
          <w:tcPr>
            <w:tcW w:w="5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9"/>
        </w:trPr>
        <w:tc>
          <w:tcPr>
            <w:tcW w:w="5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42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0.9</w:t>
            </w:r>
          </w:p>
        </w:tc>
        <w:tc>
          <w:tcPr>
            <w:tcW w:w="840" w:type="dxa"/>
            <w:vAlign w:val="bottom"/>
            <w:tcBorders>
              <w:bottom w:val="single" w:sz="8" w:color="DBDBDB"/>
            </w:tcBorders>
            <w:shd w:val="clear" w:color="auto" w:fill="DBDBDB"/>
          </w:tcPr>
          <w:p>
            <w:pPr>
              <w:spacing w:after="0"/>
              <w:rPr>
                <w:sz w:val="17"/>
                <w:szCs w:val="17"/>
                <w:color w:val="auto"/>
              </w:rPr>
            </w:pPr>
          </w:p>
        </w:tc>
        <w:tc>
          <w:tcPr>
            <w:tcW w:w="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0.5</w:t>
            </w:r>
          </w:p>
        </w:tc>
        <w:tc>
          <w:tcPr>
            <w:tcW w:w="260" w:type="dxa"/>
            <w:vAlign w:val="bottom"/>
            <w:tcBorders>
              <w:bottom w:val="single" w:sz="8" w:color="DBDBDB"/>
            </w:tcBorders>
            <w:shd w:val="clear" w:color="auto" w:fill="DBDBDB"/>
          </w:tcPr>
          <w:p>
            <w:pPr>
              <w:spacing w:after="0"/>
              <w:rPr>
                <w:sz w:val="17"/>
                <w:szCs w:val="17"/>
                <w:color w:val="auto"/>
              </w:rPr>
            </w:pPr>
          </w:p>
        </w:tc>
        <w:tc>
          <w:tcPr>
            <w:tcW w:w="46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1.7</w:t>
            </w:r>
          </w:p>
        </w:tc>
        <w:tc>
          <w:tcPr>
            <w:tcW w:w="82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0.9</w:t>
            </w:r>
          </w:p>
        </w:tc>
      </w:tr>
      <w:tr>
        <w:trPr>
          <w:trHeight w:val="199"/>
        </w:trPr>
        <w:tc>
          <w:tcPr>
            <w:tcW w:w="5280" w:type="dxa"/>
            <w:vAlign w:val="bottom"/>
          </w:tcPr>
          <w:p>
            <w:pPr>
              <w:ind w:left="20"/>
              <w:spacing w:after="0"/>
              <w:rPr>
                <w:sz w:val="20"/>
                <w:szCs w:val="20"/>
                <w:color w:val="auto"/>
              </w:rPr>
            </w:pPr>
            <w:r>
              <w:rPr>
                <w:rFonts w:ascii="Arial" w:cs="Arial" w:eastAsia="Arial" w:hAnsi="Arial"/>
                <w:sz w:val="14"/>
                <w:szCs w:val="14"/>
                <w:color w:val="auto"/>
              </w:rPr>
              <w:t>Other (expense) income, net</w:t>
            </w:r>
          </w:p>
        </w:tc>
        <w:tc>
          <w:tcPr>
            <w:tcW w:w="420" w:type="dxa"/>
            <w:vAlign w:val="bottom"/>
          </w:tcPr>
          <w:p>
            <w:pPr>
              <w:spacing w:after="0"/>
              <w:rPr>
                <w:sz w:val="17"/>
                <w:szCs w:val="17"/>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(0.6)</w:t>
            </w: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0.9</w:t>
            </w:r>
          </w:p>
        </w:tc>
        <w:tc>
          <w:tcPr>
            <w:tcW w:w="8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2"/>
        </w:trPr>
        <w:tc>
          <w:tcPr>
            <w:tcW w:w="5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Income before income taxes</w:t>
            </w:r>
          </w:p>
        </w:tc>
        <w:tc>
          <w:tcPr>
            <w:tcW w:w="42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4.7</w:t>
            </w:r>
          </w:p>
        </w:tc>
        <w:tc>
          <w:tcPr>
            <w:tcW w:w="840" w:type="dxa"/>
            <w:vAlign w:val="bottom"/>
            <w:tcBorders>
              <w:bottom w:val="single" w:sz="8" w:color="DBDBDB"/>
            </w:tcBorders>
            <w:shd w:val="clear" w:color="auto" w:fill="DBDBDB"/>
          </w:tcPr>
          <w:p>
            <w:pPr>
              <w:spacing w:after="0"/>
              <w:rPr>
                <w:sz w:val="16"/>
                <w:szCs w:val="16"/>
                <w:color w:val="auto"/>
              </w:rPr>
            </w:pPr>
          </w:p>
        </w:tc>
        <w:tc>
          <w:tcPr>
            <w:tcW w:w="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10.4</w:t>
            </w:r>
          </w:p>
        </w:tc>
        <w:tc>
          <w:tcPr>
            <w:tcW w:w="260" w:type="dxa"/>
            <w:vAlign w:val="bottom"/>
            <w:tcBorders>
              <w:bottom w:val="single" w:sz="8" w:color="DBDBDB"/>
            </w:tcBorders>
            <w:shd w:val="clear" w:color="auto" w:fill="DBDBDB"/>
          </w:tcPr>
          <w:p>
            <w:pPr>
              <w:spacing w:after="0"/>
              <w:rPr>
                <w:sz w:val="16"/>
                <w:szCs w:val="16"/>
                <w:color w:val="auto"/>
              </w:rPr>
            </w:pPr>
          </w:p>
        </w:tc>
        <w:tc>
          <w:tcPr>
            <w:tcW w:w="46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14.1</w:t>
            </w:r>
          </w:p>
        </w:tc>
        <w:tc>
          <w:tcPr>
            <w:tcW w:w="820" w:type="dxa"/>
            <w:vAlign w:val="bottom"/>
            <w:tcBorders>
              <w:bottom w:val="single" w:sz="8" w:color="DBDBDB"/>
            </w:tcBorders>
            <w:shd w:val="clear" w:color="auto" w:fill="DBDBDB"/>
          </w:tcPr>
          <w:p>
            <w:pPr>
              <w:spacing w:after="0"/>
              <w:rPr>
                <w:sz w:val="16"/>
                <w:szCs w:val="16"/>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14.5</w:t>
            </w:r>
          </w:p>
        </w:tc>
      </w:tr>
      <w:tr>
        <w:trPr>
          <w:trHeight w:val="199"/>
        </w:trPr>
        <w:tc>
          <w:tcPr>
            <w:tcW w:w="528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420" w:type="dxa"/>
            <w:vAlign w:val="bottom"/>
          </w:tcPr>
          <w:p>
            <w:pPr>
              <w:spacing w:after="0"/>
              <w:rPr>
                <w:sz w:val="17"/>
                <w:szCs w:val="17"/>
                <w:color w:val="auto"/>
              </w:rPr>
            </w:pPr>
          </w:p>
        </w:tc>
        <w:tc>
          <w:tcPr>
            <w:tcW w:w="1000" w:type="dxa"/>
            <w:vAlign w:val="bottom"/>
          </w:tcPr>
          <w:p>
            <w:pPr>
              <w:jc w:val="right"/>
              <w:ind w:right="71"/>
              <w:spacing w:after="0"/>
              <w:rPr>
                <w:sz w:val="20"/>
                <w:szCs w:val="20"/>
                <w:color w:val="auto"/>
              </w:rPr>
            </w:pPr>
            <w:r>
              <w:rPr>
                <w:rFonts w:ascii="Arial" w:cs="Arial" w:eastAsia="Arial" w:hAnsi="Arial"/>
                <w:sz w:val="14"/>
                <w:szCs w:val="14"/>
                <w:color w:val="auto"/>
              </w:rPr>
              <w:t>1.7</w:t>
            </w:r>
          </w:p>
        </w:tc>
        <w:tc>
          <w:tcPr>
            <w:tcW w:w="8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4.9</w:t>
            </w:r>
          </w:p>
        </w:tc>
        <w:tc>
          <w:tcPr>
            <w:tcW w:w="8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2"/>
        </w:trPr>
        <w:tc>
          <w:tcPr>
            <w:tcW w:w="5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w:t>
            </w:r>
          </w:p>
        </w:tc>
        <w:tc>
          <w:tcPr>
            <w:tcW w:w="42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3.0</w:t>
            </w:r>
          </w:p>
        </w:tc>
        <w:tc>
          <w:tcPr>
            <w:tcW w:w="840" w:type="dxa"/>
            <w:vAlign w:val="bottom"/>
            <w:tcBorders>
              <w:bottom w:val="single" w:sz="8" w:color="DBDBDB"/>
            </w:tcBorders>
            <w:shd w:val="clear" w:color="auto" w:fill="DBDBDB"/>
          </w:tcPr>
          <w:p>
            <w:pPr>
              <w:jc w:val="right"/>
              <w:ind w:right="59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7.0</w:t>
            </w:r>
          </w:p>
        </w:tc>
        <w:tc>
          <w:tcPr>
            <w:tcW w:w="260" w:type="dxa"/>
            <w:vAlign w:val="bottom"/>
            <w:tcBorders>
              <w:bottom w:val="single" w:sz="8" w:color="DBDBDB"/>
            </w:tcBorders>
            <w:shd w:val="clear" w:color="auto" w:fill="DBDBDB"/>
          </w:tcPr>
          <w:p>
            <w:pPr>
              <w:spacing w:after="0"/>
              <w:rPr>
                <w:sz w:val="16"/>
                <w:szCs w:val="16"/>
                <w:color w:val="auto"/>
              </w:rPr>
            </w:pPr>
          </w:p>
        </w:tc>
        <w:tc>
          <w:tcPr>
            <w:tcW w:w="460" w:type="dxa"/>
            <w:vAlign w:val="bottom"/>
            <w:tcBorders>
              <w:bottom w:val="single" w:sz="8" w:color="DBDBDB"/>
            </w:tcBorders>
            <w:shd w:val="clear" w:color="auto" w:fill="DBDBDB"/>
          </w:tcPr>
          <w:p>
            <w:pPr>
              <w:jc w:val="right"/>
              <w:ind w:right="29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9.2</w:t>
            </w:r>
          </w:p>
        </w:tc>
        <w:tc>
          <w:tcPr>
            <w:tcW w:w="820" w:type="dxa"/>
            <w:vAlign w:val="bottom"/>
            <w:tcBorders>
              <w:bottom w:val="single" w:sz="8" w:color="DBDBDB"/>
            </w:tcBorders>
            <w:shd w:val="clear" w:color="auto" w:fill="DBDBDB"/>
          </w:tcPr>
          <w:p>
            <w:pPr>
              <w:jc w:val="right"/>
              <w:ind w:right="571"/>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9.0</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Less:</w:t>
            </w: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0"/>
        </w:trPr>
        <w:tc>
          <w:tcPr>
            <w:tcW w:w="5280" w:type="dxa"/>
            <w:vAlign w:val="bottom"/>
          </w:tcPr>
          <w:p>
            <w:pPr>
              <w:ind w:left="140"/>
              <w:spacing w:after="0"/>
              <w:rPr>
                <w:sz w:val="20"/>
                <w:szCs w:val="20"/>
                <w:color w:val="auto"/>
              </w:rPr>
            </w:pPr>
            <w:r>
              <w:rPr>
                <w:rFonts w:ascii="Arial" w:cs="Arial" w:eastAsia="Arial" w:hAnsi="Arial"/>
                <w:sz w:val="14"/>
                <w:szCs w:val="14"/>
                <w:color w:val="auto"/>
              </w:rPr>
              <w:t>Net (loss) income attributable to noncontrolling interest</w:t>
            </w:r>
          </w:p>
        </w:tc>
        <w:tc>
          <w:tcPr>
            <w:tcW w:w="420" w:type="dxa"/>
            <w:vAlign w:val="bottom"/>
          </w:tcPr>
          <w:p>
            <w:pPr>
              <w:spacing w:after="0"/>
              <w:rPr>
                <w:sz w:val="15"/>
                <w:szCs w:val="15"/>
                <w:color w:val="auto"/>
              </w:rPr>
            </w:pP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(0.1)</w:t>
            </w:r>
          </w:p>
        </w:tc>
        <w:tc>
          <w:tcPr>
            <w:tcW w:w="84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2.2</w:t>
            </w:r>
          </w:p>
        </w:tc>
        <w:tc>
          <w:tcPr>
            <w:tcW w:w="8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2"/>
        </w:trPr>
        <w:tc>
          <w:tcPr>
            <w:tcW w:w="5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 attributable to Mission Produce</w:t>
            </w:r>
          </w:p>
        </w:tc>
        <w:tc>
          <w:tcPr>
            <w:tcW w:w="42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3.1</w:t>
            </w:r>
          </w:p>
        </w:tc>
        <w:tc>
          <w:tcPr>
            <w:tcW w:w="840" w:type="dxa"/>
            <w:vAlign w:val="bottom"/>
            <w:tcBorders>
              <w:bottom w:val="single" w:sz="8" w:color="DBDBDB"/>
            </w:tcBorders>
            <w:shd w:val="clear" w:color="auto" w:fill="DBDBDB"/>
          </w:tcPr>
          <w:p>
            <w:pPr>
              <w:jc w:val="right"/>
              <w:ind w:right="59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7.0</w:t>
            </w:r>
          </w:p>
        </w:tc>
        <w:tc>
          <w:tcPr>
            <w:tcW w:w="260" w:type="dxa"/>
            <w:vAlign w:val="bottom"/>
            <w:tcBorders>
              <w:bottom w:val="single" w:sz="8" w:color="DBDBDB"/>
            </w:tcBorders>
            <w:shd w:val="clear" w:color="auto" w:fill="DBDBDB"/>
          </w:tcPr>
          <w:p>
            <w:pPr>
              <w:spacing w:after="0"/>
              <w:rPr>
                <w:sz w:val="16"/>
                <w:szCs w:val="16"/>
                <w:color w:val="auto"/>
              </w:rPr>
            </w:pPr>
          </w:p>
        </w:tc>
        <w:tc>
          <w:tcPr>
            <w:tcW w:w="460" w:type="dxa"/>
            <w:vAlign w:val="bottom"/>
            <w:tcBorders>
              <w:bottom w:val="single" w:sz="8" w:color="DBDBDB"/>
            </w:tcBorders>
            <w:shd w:val="clear" w:color="auto" w:fill="DBDBDB"/>
          </w:tcPr>
          <w:p>
            <w:pPr>
              <w:jc w:val="right"/>
              <w:ind w:right="29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7.0</w:t>
            </w:r>
          </w:p>
        </w:tc>
        <w:tc>
          <w:tcPr>
            <w:tcW w:w="820" w:type="dxa"/>
            <w:vAlign w:val="bottom"/>
            <w:tcBorders>
              <w:bottom w:val="single" w:sz="8" w:color="DBDBDB"/>
            </w:tcBorders>
            <w:shd w:val="clear" w:color="auto" w:fill="DBDBDB"/>
          </w:tcPr>
          <w:p>
            <w:pPr>
              <w:jc w:val="right"/>
              <w:ind w:right="571"/>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7.0</w:t>
            </w:r>
          </w:p>
        </w:tc>
      </w:tr>
      <w:tr>
        <w:trPr>
          <w:trHeight w:val="258"/>
        </w:trPr>
        <w:tc>
          <w:tcPr>
            <w:tcW w:w="5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199"/>
        </w:trPr>
        <w:tc>
          <w:tcPr>
            <w:tcW w:w="5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 per share attributable to Mission Produce:</w:t>
            </w:r>
          </w:p>
        </w:tc>
        <w:tc>
          <w:tcPr>
            <w:tcW w:w="42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spacing w:after="0"/>
              <w:rPr>
                <w:sz w:val="17"/>
                <w:szCs w:val="17"/>
                <w:color w:val="auto"/>
              </w:rPr>
            </w:pPr>
          </w:p>
        </w:tc>
        <w:tc>
          <w:tcPr>
            <w:tcW w:w="58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DBDBDB"/>
            </w:tcBorders>
            <w:shd w:val="clear" w:color="auto" w:fill="DBDBDB"/>
          </w:tcPr>
          <w:p>
            <w:pPr>
              <w:spacing w:after="0"/>
              <w:rPr>
                <w:sz w:val="17"/>
                <w:szCs w:val="17"/>
                <w:color w:val="auto"/>
              </w:rPr>
            </w:pPr>
          </w:p>
        </w:tc>
        <w:tc>
          <w:tcPr>
            <w:tcW w:w="46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r>
      <w:tr>
        <w:trPr>
          <w:trHeight w:val="199"/>
        </w:trPr>
        <w:tc>
          <w:tcPr>
            <w:tcW w:w="5280" w:type="dxa"/>
            <w:vAlign w:val="bottom"/>
          </w:tcPr>
          <w:p>
            <w:pPr>
              <w:ind w:left="320"/>
              <w:spacing w:after="0"/>
              <w:rPr>
                <w:sz w:val="20"/>
                <w:szCs w:val="20"/>
                <w:color w:val="auto"/>
              </w:rPr>
            </w:pPr>
            <w:r>
              <w:rPr>
                <w:rFonts w:ascii="Arial" w:cs="Arial" w:eastAsia="Arial" w:hAnsi="Arial"/>
                <w:sz w:val="14"/>
                <w:szCs w:val="14"/>
                <w:color w:val="auto"/>
              </w:rPr>
              <w:t>Basic</w:t>
            </w:r>
          </w:p>
        </w:tc>
        <w:tc>
          <w:tcPr>
            <w:tcW w:w="420" w:type="dxa"/>
            <w:vAlign w:val="bottom"/>
          </w:tcPr>
          <w:p>
            <w:pPr>
              <w:jc w:val="right"/>
              <w:ind w:right="271"/>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71"/>
              <w:spacing w:after="0"/>
              <w:rPr>
                <w:sz w:val="20"/>
                <w:szCs w:val="20"/>
                <w:color w:val="auto"/>
              </w:rPr>
            </w:pPr>
            <w:r>
              <w:rPr>
                <w:rFonts w:ascii="Arial" w:cs="Arial" w:eastAsia="Arial" w:hAnsi="Arial"/>
                <w:sz w:val="14"/>
                <w:szCs w:val="14"/>
                <w:color w:val="auto"/>
              </w:rPr>
              <w:t>0.04</w:t>
            </w:r>
          </w:p>
        </w:tc>
        <w:tc>
          <w:tcPr>
            <w:tcW w:w="840" w:type="dxa"/>
            <w:vAlign w:val="bottom"/>
          </w:tcPr>
          <w:p>
            <w:pPr>
              <w:jc w:val="right"/>
              <w:ind w:right="591"/>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0.10</w:t>
            </w:r>
          </w:p>
        </w:tc>
        <w:tc>
          <w:tcPr>
            <w:tcW w:w="260" w:type="dxa"/>
            <w:vAlign w:val="bottom"/>
          </w:tcPr>
          <w:p>
            <w:pPr>
              <w:spacing w:after="0"/>
              <w:rPr>
                <w:sz w:val="17"/>
                <w:szCs w:val="17"/>
                <w:color w:val="auto"/>
              </w:rPr>
            </w:pPr>
          </w:p>
        </w:tc>
        <w:tc>
          <w:tcPr>
            <w:tcW w:w="46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0.10</w:t>
            </w:r>
          </w:p>
        </w:tc>
        <w:tc>
          <w:tcPr>
            <w:tcW w:w="820" w:type="dxa"/>
            <w:vAlign w:val="bottom"/>
          </w:tcPr>
          <w:p>
            <w:pPr>
              <w:jc w:val="right"/>
              <w:ind w:right="571"/>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0.10</w:t>
            </w:r>
          </w:p>
        </w:tc>
      </w:tr>
      <w:tr>
        <w:trPr>
          <w:trHeight w:val="20"/>
        </w:trPr>
        <w:tc>
          <w:tcPr>
            <w:tcW w:w="5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9"/>
        </w:trPr>
        <w:tc>
          <w:tcPr>
            <w:tcW w:w="528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4"/>
                <w:szCs w:val="14"/>
                <w:color w:val="auto"/>
              </w:rPr>
              <w:t>Diluted</w:t>
            </w:r>
          </w:p>
        </w:tc>
        <w:tc>
          <w:tcPr>
            <w:tcW w:w="42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0.04</w:t>
            </w:r>
          </w:p>
        </w:tc>
        <w:tc>
          <w:tcPr>
            <w:tcW w:w="840" w:type="dxa"/>
            <w:vAlign w:val="bottom"/>
            <w:tcBorders>
              <w:bottom w:val="single" w:sz="8" w:color="DBDBDB"/>
            </w:tcBorders>
            <w:shd w:val="clear" w:color="auto" w:fill="DBDBDB"/>
          </w:tcPr>
          <w:p>
            <w:pPr>
              <w:jc w:val="right"/>
              <w:ind w:right="59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0.10</w:t>
            </w:r>
          </w:p>
        </w:tc>
        <w:tc>
          <w:tcPr>
            <w:tcW w:w="260" w:type="dxa"/>
            <w:vAlign w:val="bottom"/>
            <w:tcBorders>
              <w:bottom w:val="single" w:sz="8" w:color="DBDBDB"/>
            </w:tcBorders>
            <w:shd w:val="clear" w:color="auto" w:fill="DBDBDB"/>
          </w:tcPr>
          <w:p>
            <w:pPr>
              <w:spacing w:after="0"/>
              <w:rPr>
                <w:sz w:val="17"/>
                <w:szCs w:val="17"/>
                <w:color w:val="auto"/>
              </w:rPr>
            </w:pPr>
          </w:p>
        </w:tc>
        <w:tc>
          <w:tcPr>
            <w:tcW w:w="460" w:type="dxa"/>
            <w:vAlign w:val="bottom"/>
            <w:tcBorders>
              <w:bottom w:val="single" w:sz="8" w:color="DBDBDB"/>
            </w:tcBorders>
            <w:shd w:val="clear" w:color="auto" w:fill="DBDBDB"/>
          </w:tcPr>
          <w:p>
            <w:pPr>
              <w:jc w:val="right"/>
              <w:ind w:right="29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0.10</w:t>
            </w:r>
          </w:p>
        </w:tc>
        <w:tc>
          <w:tcPr>
            <w:tcW w:w="820" w:type="dxa"/>
            <w:vAlign w:val="bottom"/>
            <w:tcBorders>
              <w:bottom w:val="single" w:sz="8" w:color="DBDBDB"/>
            </w:tcBorders>
            <w:shd w:val="clear" w:color="auto" w:fill="DBDBDB"/>
          </w:tcPr>
          <w:p>
            <w:pPr>
              <w:jc w:val="right"/>
              <w:ind w:right="571"/>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0.10</w:t>
            </w:r>
          </w:p>
        </w:tc>
      </w:tr>
      <w:tr>
        <w:trPr>
          <w:trHeight w:val="20"/>
        </w:trPr>
        <w:tc>
          <w:tcPr>
            <w:tcW w:w="5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6" w:name="page7"/>
    <w:bookmarkEnd w:id="6"/>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MISSION PRODUCE, INC.</w:t>
      </w:r>
    </w:p>
    <w:p>
      <w:pPr>
        <w:spacing w:after="0" w:line="62"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CONDENSED CONSOLIDATED STATEMENTS OF COMPREHENSIVE INCOME (UNAUDITED)</w:t>
      </w:r>
    </w:p>
    <w:p>
      <w:pPr>
        <w:spacing w:after="0" w:line="200" w:lineRule="exact"/>
        <w:rPr>
          <w:sz w:val="20"/>
          <w:szCs w:val="20"/>
          <w:color w:val="auto"/>
        </w:rPr>
      </w:pPr>
    </w:p>
    <w:p>
      <w:pPr>
        <w:spacing w:after="0" w:line="387" w:lineRule="exact"/>
        <w:rPr>
          <w:sz w:val="20"/>
          <w:szCs w:val="20"/>
          <w:color w:val="auto"/>
        </w:rPr>
      </w:pPr>
    </w:p>
    <w:tbl>
      <w:tblPr>
        <w:tblLayout w:type="fixed"/>
        <w:tblInd w:w="200" w:type="dxa"/>
        <w:tblCellMar>
          <w:top w:w="0" w:type="dxa"/>
          <w:left w:w="0" w:type="dxa"/>
          <w:bottom w:w="0" w:type="dxa"/>
          <w:right w:w="0" w:type="dxa"/>
        </w:tblCellMar>
      </w:tblPr>
      <w:tr>
        <w:trPr>
          <w:trHeight w:val="168"/>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2"/>
          </w:tcPr>
          <w:p>
            <w:pPr>
              <w:jc w:val="right"/>
              <w:ind w:right="71"/>
              <w:spacing w:after="0"/>
              <w:rPr>
                <w:sz w:val="20"/>
                <w:szCs w:val="20"/>
                <w:color w:val="auto"/>
              </w:rPr>
            </w:pPr>
            <w:r>
              <w:rPr>
                <w:rFonts w:ascii="Arial" w:cs="Arial" w:eastAsia="Arial" w:hAnsi="Arial"/>
                <w:sz w:val="14"/>
                <w:szCs w:val="14"/>
                <w:b w:val="1"/>
                <w:bCs w:val="1"/>
                <w:color w:val="auto"/>
              </w:rPr>
              <w:t>Six Months Ended</w:t>
            </w:r>
          </w:p>
        </w:tc>
        <w:tc>
          <w:tcPr>
            <w:tcW w:w="600" w:type="dxa"/>
            <w:vAlign w:val="bottom"/>
          </w:tcPr>
          <w:p>
            <w:pPr>
              <w:spacing w:after="0"/>
              <w:rPr>
                <w:sz w:val="14"/>
                <w:szCs w:val="14"/>
                <w:color w:val="auto"/>
              </w:rPr>
            </w:pPr>
          </w:p>
        </w:tc>
      </w:tr>
      <w:tr>
        <w:trPr>
          <w:trHeight w:val="196"/>
        </w:trPr>
        <w:tc>
          <w:tcPr>
            <w:tcW w:w="5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right"/>
              <w:ind w:right="451"/>
              <w:spacing w:after="0"/>
              <w:rPr>
                <w:sz w:val="20"/>
                <w:szCs w:val="20"/>
                <w:color w:val="auto"/>
              </w:rPr>
            </w:pPr>
            <w:r>
              <w:rPr>
                <w:rFonts w:ascii="Arial" w:cs="Arial" w:eastAsia="Arial" w:hAnsi="Arial"/>
                <w:sz w:val="14"/>
                <w:szCs w:val="14"/>
                <w:b w:val="1"/>
                <w:bCs w:val="1"/>
                <w:color w:val="auto"/>
              </w:rPr>
              <w:t>April 30,</w:t>
            </w:r>
          </w:p>
        </w:tc>
        <w:tc>
          <w:tcPr>
            <w:tcW w:w="5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391"/>
              <w:spacing w:after="0"/>
              <w:rPr>
                <w:sz w:val="20"/>
                <w:szCs w:val="20"/>
                <w:color w:val="auto"/>
              </w:rPr>
            </w:pPr>
            <w:r>
              <w:rPr>
                <w:rFonts w:ascii="Arial" w:cs="Arial" w:eastAsia="Arial" w:hAnsi="Arial"/>
                <w:sz w:val="14"/>
                <w:szCs w:val="14"/>
                <w:b w:val="1"/>
                <w:bCs w:val="1"/>
                <w:color w:val="auto"/>
              </w:rPr>
              <w:t>April 30,</w:t>
            </w:r>
          </w:p>
        </w:tc>
        <w:tc>
          <w:tcPr>
            <w:tcW w:w="600" w:type="dxa"/>
            <w:vAlign w:val="bottom"/>
            <w:tcBorders>
              <w:bottom w:val="single" w:sz="8" w:color="auto"/>
            </w:tcBorders>
          </w:tcPr>
          <w:p>
            <w:pPr>
              <w:spacing w:after="0"/>
              <w:rPr>
                <w:sz w:val="17"/>
                <w:szCs w:val="17"/>
                <w:color w:val="auto"/>
              </w:rPr>
            </w:pPr>
          </w:p>
        </w:tc>
      </w:tr>
      <w:tr>
        <w:trPr>
          <w:trHeight w:val="212"/>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2025</w:t>
            </w:r>
          </w:p>
        </w:tc>
        <w:tc>
          <w:tcPr>
            <w:tcW w:w="7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2024</w:t>
            </w:r>
          </w:p>
        </w:tc>
      </w:tr>
      <w:tr>
        <w:trPr>
          <w:trHeight w:val="199"/>
        </w:trPr>
        <w:tc>
          <w:tcPr>
            <w:tcW w:w="5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w:t>
            </w:r>
          </w:p>
        </w:tc>
        <w:tc>
          <w:tcPr>
            <w:tcW w:w="36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DBDBDB"/>
            </w:tcBorders>
            <w:shd w:val="clear" w:color="auto" w:fill="DBDBDB"/>
          </w:tcPr>
          <w:p>
            <w:pPr>
              <w:jc w:val="center"/>
              <w:ind w:left="411"/>
              <w:spacing w:after="0"/>
              <w:rPr>
                <w:sz w:val="20"/>
                <w:szCs w:val="20"/>
                <w:color w:val="auto"/>
              </w:rPr>
            </w:pPr>
            <w:r>
              <w:rPr>
                <w:rFonts w:ascii="Arial" w:cs="Arial" w:eastAsia="Arial" w:hAnsi="Arial"/>
                <w:sz w:val="14"/>
                <w:szCs w:val="14"/>
                <w:color w:val="auto"/>
                <w:w w:val="92"/>
              </w:rPr>
              <w:t>3.0</w:t>
            </w:r>
          </w:p>
        </w:tc>
        <w:tc>
          <w:tcPr>
            <w:tcW w:w="800" w:type="dxa"/>
            <w:vAlign w:val="bottom"/>
            <w:tcBorders>
              <w:bottom w:val="single" w:sz="8" w:color="DBDBDB"/>
            </w:tcBorders>
            <w:shd w:val="clear" w:color="auto" w:fill="DBDBDB"/>
          </w:tcPr>
          <w:p>
            <w:pPr>
              <w:jc w:val="right"/>
              <w:ind w:right="551"/>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7.0</w:t>
            </w:r>
          </w:p>
        </w:tc>
        <w:tc>
          <w:tcPr>
            <w:tcW w:w="240" w:type="dxa"/>
            <w:vAlign w:val="bottom"/>
            <w:tcBorders>
              <w:bottom w:val="single" w:sz="8" w:color="DBDBDB"/>
            </w:tcBorders>
            <w:shd w:val="clear" w:color="auto" w:fill="DBDBDB"/>
          </w:tcPr>
          <w:p>
            <w:pPr>
              <w:spacing w:after="0"/>
              <w:rPr>
                <w:sz w:val="17"/>
                <w:szCs w:val="17"/>
                <w:color w:val="auto"/>
              </w:rPr>
            </w:pPr>
          </w:p>
        </w:tc>
        <w:tc>
          <w:tcPr>
            <w:tcW w:w="420" w:type="dxa"/>
            <w:vAlign w:val="bottom"/>
            <w:tcBorders>
              <w:bottom w:val="single" w:sz="8" w:color="DBDBDB"/>
            </w:tcBorders>
            <w:shd w:val="clear" w:color="auto" w:fill="DBDBDB"/>
          </w:tcPr>
          <w:p>
            <w:pPr>
              <w:jc w:val="right"/>
              <w:ind w:right="25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9.2</w:t>
            </w:r>
          </w:p>
        </w:tc>
        <w:tc>
          <w:tcPr>
            <w:tcW w:w="76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9.0</w:t>
            </w:r>
          </w:p>
        </w:tc>
      </w:tr>
      <w:tr>
        <w:trPr>
          <w:trHeight w:val="199"/>
        </w:trPr>
        <w:tc>
          <w:tcPr>
            <w:tcW w:w="532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9"/>
        </w:trPr>
        <w:tc>
          <w:tcPr>
            <w:tcW w:w="532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4"/>
                <w:szCs w:val="14"/>
                <w:color w:val="auto"/>
              </w:rPr>
              <w:t>Changes in foreign currency translation adjustments:</w:t>
            </w:r>
          </w:p>
        </w:tc>
        <w:tc>
          <w:tcPr>
            <w:tcW w:w="36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spacing w:after="0"/>
              <w:rPr>
                <w:sz w:val="17"/>
                <w:szCs w:val="17"/>
                <w:color w:val="auto"/>
              </w:rPr>
            </w:pPr>
          </w:p>
        </w:tc>
        <w:tc>
          <w:tcPr>
            <w:tcW w:w="54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DBDBDB"/>
            </w:tcBorders>
            <w:shd w:val="clear" w:color="auto" w:fill="DBDBDB"/>
          </w:tcPr>
          <w:p>
            <w:pPr>
              <w:spacing w:after="0"/>
              <w:rPr>
                <w:sz w:val="17"/>
                <w:szCs w:val="17"/>
                <w:color w:val="auto"/>
              </w:rPr>
            </w:pPr>
          </w:p>
        </w:tc>
        <w:tc>
          <w:tcPr>
            <w:tcW w:w="42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spacing w:after="0"/>
              <w:rPr>
                <w:sz w:val="17"/>
                <w:szCs w:val="17"/>
                <w:color w:val="auto"/>
              </w:rPr>
            </w:pPr>
          </w:p>
        </w:tc>
      </w:tr>
      <w:tr>
        <w:trPr>
          <w:trHeight w:val="199"/>
        </w:trPr>
        <w:tc>
          <w:tcPr>
            <w:tcW w:w="5320" w:type="dxa"/>
            <w:vAlign w:val="bottom"/>
          </w:tcPr>
          <w:p>
            <w:pPr>
              <w:ind w:left="540"/>
              <w:spacing w:after="0"/>
              <w:rPr>
                <w:sz w:val="20"/>
                <w:szCs w:val="20"/>
                <w:color w:val="auto"/>
              </w:rPr>
            </w:pPr>
            <w:r>
              <w:rPr>
                <w:rFonts w:ascii="Arial" w:cs="Arial" w:eastAsia="Arial" w:hAnsi="Arial"/>
                <w:sz w:val="14"/>
                <w:szCs w:val="14"/>
                <w:color w:val="auto"/>
              </w:rPr>
              <w:t>Foreign currency translation adjustments</w:t>
            </w:r>
          </w:p>
        </w:tc>
        <w:tc>
          <w:tcPr>
            <w:tcW w:w="360" w:type="dxa"/>
            <w:vAlign w:val="bottom"/>
          </w:tcPr>
          <w:p>
            <w:pPr>
              <w:spacing w:after="0"/>
              <w:rPr>
                <w:sz w:val="17"/>
                <w:szCs w:val="17"/>
                <w:color w:val="auto"/>
              </w:rPr>
            </w:pPr>
          </w:p>
        </w:tc>
        <w:tc>
          <w:tcPr>
            <w:tcW w:w="940" w:type="dxa"/>
            <w:vAlign w:val="bottom"/>
          </w:tcPr>
          <w:p>
            <w:pPr>
              <w:jc w:val="center"/>
              <w:ind w:left="411"/>
              <w:spacing w:after="0"/>
              <w:rPr>
                <w:sz w:val="20"/>
                <w:szCs w:val="20"/>
                <w:color w:val="auto"/>
              </w:rPr>
            </w:pPr>
            <w:r>
              <w:rPr>
                <w:rFonts w:ascii="Arial" w:cs="Arial" w:eastAsia="Arial" w:hAnsi="Arial"/>
                <w:sz w:val="14"/>
                <w:szCs w:val="14"/>
                <w:color w:val="auto"/>
                <w:w w:val="92"/>
              </w:rPr>
              <w:t>1.6</w:t>
            </w:r>
          </w:p>
        </w:tc>
        <w:tc>
          <w:tcPr>
            <w:tcW w:w="8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(0.3)</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0.5</w:t>
            </w:r>
          </w:p>
        </w:tc>
        <w:tc>
          <w:tcPr>
            <w:tcW w:w="760" w:type="dxa"/>
            <w:vAlign w:val="bottom"/>
          </w:tcPr>
          <w:p>
            <w:pPr>
              <w:spacing w:after="0"/>
              <w:rPr>
                <w:sz w:val="17"/>
                <w:szCs w:val="17"/>
                <w:color w:val="auto"/>
              </w:rPr>
            </w:pPr>
          </w:p>
        </w:tc>
        <w:tc>
          <w:tcPr>
            <w:tcW w:w="600" w:type="dxa"/>
            <w:vAlign w:val="bottom"/>
          </w:tcPr>
          <w:p>
            <w:pPr>
              <w:jc w:val="right"/>
              <w:ind w:right="11"/>
              <w:spacing w:after="0"/>
              <w:rPr>
                <w:sz w:val="20"/>
                <w:szCs w:val="20"/>
                <w:color w:val="auto"/>
              </w:rPr>
            </w:pPr>
            <w:r>
              <w:rPr>
                <w:rFonts w:ascii="Arial" w:cs="Arial" w:eastAsia="Arial" w:hAnsi="Arial"/>
                <w:sz w:val="14"/>
                <w:szCs w:val="14"/>
                <w:color w:val="auto"/>
              </w:rPr>
              <w:t>0.5</w:t>
            </w:r>
          </w:p>
        </w:tc>
      </w:tr>
      <w:tr>
        <w:trPr>
          <w:trHeight w:val="20"/>
        </w:trPr>
        <w:tc>
          <w:tcPr>
            <w:tcW w:w="5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4"/>
        </w:trPr>
        <w:tc>
          <w:tcPr>
            <w:tcW w:w="5320" w:type="dxa"/>
            <w:vAlign w:val="bottom"/>
            <w:tcBorders>
              <w:bottom w:val="single" w:sz="8" w:color="DBDBDB"/>
            </w:tcBorders>
            <w:shd w:val="clear" w:color="auto" w:fill="DBDBDB"/>
          </w:tcPr>
          <w:p>
            <w:pPr>
              <w:ind w:left="540"/>
              <w:spacing w:after="0"/>
              <w:rPr>
                <w:sz w:val="20"/>
                <w:szCs w:val="20"/>
                <w:color w:val="auto"/>
              </w:rPr>
            </w:pPr>
            <w:r>
              <w:rPr>
                <w:rFonts w:ascii="Arial" w:cs="Arial" w:eastAsia="Arial" w:hAnsi="Arial"/>
                <w:sz w:val="14"/>
                <w:szCs w:val="14"/>
                <w:color w:val="auto"/>
              </w:rPr>
              <w:t>Amounts reclassified to earnings</w:t>
            </w:r>
          </w:p>
        </w:tc>
        <w:tc>
          <w:tcPr>
            <w:tcW w:w="360" w:type="dxa"/>
            <w:vAlign w:val="bottom"/>
            <w:tcBorders>
              <w:bottom w:val="single" w:sz="8" w:color="DBDBDB"/>
            </w:tcBorders>
            <w:shd w:val="clear" w:color="auto" w:fill="DBDBDB"/>
          </w:tcPr>
          <w:p>
            <w:pPr>
              <w:spacing w:after="0"/>
              <w:rPr>
                <w:sz w:val="19"/>
                <w:szCs w:val="19"/>
                <w:color w:val="auto"/>
              </w:rPr>
            </w:pPr>
          </w:p>
        </w:tc>
        <w:tc>
          <w:tcPr>
            <w:tcW w:w="940" w:type="dxa"/>
            <w:vAlign w:val="bottom"/>
            <w:tcBorders>
              <w:bottom w:val="single" w:sz="8" w:color="DBDBDB"/>
            </w:tcBorders>
            <w:shd w:val="clear" w:color="auto" w:fill="DBDBDB"/>
          </w:tcPr>
          <w:p>
            <w:pPr>
              <w:jc w:val="center"/>
              <w:ind w:left="411"/>
              <w:spacing w:after="0"/>
              <w:rPr>
                <w:sz w:val="20"/>
                <w:szCs w:val="20"/>
                <w:color w:val="auto"/>
              </w:rPr>
            </w:pPr>
            <w:r>
              <w:rPr>
                <w:rFonts w:ascii="Arial" w:cs="Arial" w:eastAsia="Arial" w:hAnsi="Arial"/>
                <w:sz w:val="14"/>
                <w:szCs w:val="14"/>
                <w:color w:val="auto"/>
                <w:w w:val="92"/>
              </w:rPr>
              <w:t>0.3</w:t>
            </w:r>
          </w:p>
        </w:tc>
        <w:tc>
          <w:tcPr>
            <w:tcW w:w="800" w:type="dxa"/>
            <w:vAlign w:val="bottom"/>
            <w:tcBorders>
              <w:bottom w:val="single" w:sz="8" w:color="DBDBDB"/>
            </w:tcBorders>
            <w:shd w:val="clear" w:color="auto" w:fill="DBDBDB"/>
          </w:tcPr>
          <w:p>
            <w:pPr>
              <w:spacing w:after="0"/>
              <w:rPr>
                <w:sz w:val="19"/>
                <w:szCs w:val="19"/>
                <w:color w:val="auto"/>
              </w:rPr>
            </w:pPr>
          </w:p>
        </w:tc>
        <w:tc>
          <w:tcPr>
            <w:tcW w:w="780" w:type="dxa"/>
            <w:vAlign w:val="bottom"/>
            <w:tcBorders>
              <w:bottom w:val="single" w:sz="8" w:color="DBDBDB"/>
            </w:tcBorders>
            <w:gridSpan w:val="2"/>
            <w:shd w:val="clear" w:color="auto" w:fill="DBDBDB"/>
          </w:tcPr>
          <w:p>
            <w:pPr>
              <w:jc w:val="right"/>
              <w:ind w:right="3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BDBDB"/>
            </w:tcBorders>
            <w:shd w:val="clear" w:color="auto" w:fill="DBDBDB"/>
          </w:tcPr>
          <w:p>
            <w:pPr>
              <w:spacing w:after="0"/>
              <w:rPr>
                <w:sz w:val="19"/>
                <w:szCs w:val="19"/>
                <w:color w:val="auto"/>
              </w:rPr>
            </w:pPr>
          </w:p>
        </w:tc>
        <w:tc>
          <w:tcPr>
            <w:tcW w:w="88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0.3</w:t>
            </w:r>
          </w:p>
        </w:tc>
        <w:tc>
          <w:tcPr>
            <w:tcW w:w="760" w:type="dxa"/>
            <w:vAlign w:val="bottom"/>
            <w:tcBorders>
              <w:bottom w:val="single" w:sz="8" w:color="DBDBDB"/>
            </w:tcBorders>
            <w:shd w:val="clear" w:color="auto" w:fill="DBDBDB"/>
          </w:tcPr>
          <w:p>
            <w:pPr>
              <w:spacing w:after="0"/>
              <w:rPr>
                <w:sz w:val="19"/>
                <w:szCs w:val="19"/>
                <w:color w:val="auto"/>
              </w:rPr>
            </w:pPr>
          </w:p>
        </w:tc>
        <w:tc>
          <w:tcPr>
            <w:tcW w:w="60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w:t>
            </w:r>
          </w:p>
        </w:tc>
      </w:tr>
      <w:tr>
        <w:trPr>
          <w:trHeight w:val="192"/>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comprehensive income, net of tax</w:t>
            </w:r>
          </w:p>
        </w:tc>
        <w:tc>
          <w:tcPr>
            <w:tcW w:w="3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left="411"/>
              <w:spacing w:after="0"/>
              <w:rPr>
                <w:sz w:val="20"/>
                <w:szCs w:val="20"/>
                <w:color w:val="auto"/>
              </w:rPr>
            </w:pPr>
            <w:r>
              <w:rPr>
                <w:rFonts w:ascii="Arial" w:cs="Arial" w:eastAsia="Arial" w:hAnsi="Arial"/>
                <w:sz w:val="14"/>
                <w:szCs w:val="14"/>
                <w:color w:val="auto"/>
                <w:w w:val="92"/>
              </w:rPr>
              <w:t>4.9</w:t>
            </w:r>
          </w:p>
        </w:tc>
        <w:tc>
          <w:tcPr>
            <w:tcW w:w="8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6.7</w:t>
            </w: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10.0</w:t>
            </w:r>
          </w:p>
        </w:tc>
        <w:tc>
          <w:tcPr>
            <w:tcW w:w="7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9.5</w:t>
            </w:r>
          </w:p>
        </w:tc>
      </w:tr>
      <w:tr>
        <w:trPr>
          <w:trHeight w:val="20"/>
        </w:trPr>
        <w:tc>
          <w:tcPr>
            <w:tcW w:w="5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6"/>
        </w:trPr>
        <w:tc>
          <w:tcPr>
            <w:tcW w:w="5320" w:type="dxa"/>
            <w:vAlign w:val="bottom"/>
            <w:shd w:val="clear" w:color="auto" w:fill="DBDBDB"/>
          </w:tcPr>
          <w:p>
            <w:pPr>
              <w:ind w:left="20"/>
              <w:spacing w:after="0"/>
              <w:rPr>
                <w:sz w:val="20"/>
                <w:szCs w:val="20"/>
                <w:color w:val="auto"/>
              </w:rPr>
            </w:pPr>
            <w:r>
              <w:rPr>
                <w:rFonts w:ascii="Arial" w:cs="Arial" w:eastAsia="Arial" w:hAnsi="Arial"/>
                <w:sz w:val="14"/>
                <w:szCs w:val="14"/>
                <w:color w:val="auto"/>
              </w:rPr>
              <w:t>Less:</w:t>
            </w:r>
          </w:p>
        </w:tc>
        <w:tc>
          <w:tcPr>
            <w:tcW w:w="36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54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r>
      <w:tr>
        <w:trPr>
          <w:trHeight w:val="206"/>
        </w:trPr>
        <w:tc>
          <w:tcPr>
            <w:tcW w:w="532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rPr>
              <w:t>Comprehensive (loss) income attributable to noncontrolling interest</w:t>
            </w:r>
          </w:p>
        </w:tc>
        <w:tc>
          <w:tcPr>
            <w:tcW w:w="36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jc w:val="center"/>
              <w:ind w:left="391"/>
              <w:spacing w:after="0"/>
              <w:rPr>
                <w:sz w:val="20"/>
                <w:szCs w:val="20"/>
                <w:color w:val="auto"/>
              </w:rPr>
            </w:pPr>
            <w:r>
              <w:rPr>
                <w:rFonts w:ascii="Arial" w:cs="Arial" w:eastAsia="Arial" w:hAnsi="Arial"/>
                <w:sz w:val="14"/>
                <w:szCs w:val="14"/>
                <w:color w:val="auto"/>
                <w:w w:val="97"/>
              </w:rPr>
              <w:t>(0.1)</w:t>
            </w:r>
          </w:p>
        </w:tc>
        <w:tc>
          <w:tcPr>
            <w:tcW w:w="8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gridSpan w:val="2"/>
            <w:shd w:val="clear" w:color="auto" w:fill="DBDBDB"/>
          </w:tcPr>
          <w:p>
            <w:pPr>
              <w:jc w:val="right"/>
              <w:ind w:right="3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2.2</w:t>
            </w:r>
          </w:p>
        </w:tc>
        <w:tc>
          <w:tcPr>
            <w:tcW w:w="76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2.0</w:t>
            </w:r>
          </w:p>
        </w:tc>
      </w:tr>
      <w:tr>
        <w:trPr>
          <w:trHeight w:val="192"/>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Comprehensive income</w:t>
            </w:r>
          </w:p>
        </w:tc>
        <w:tc>
          <w:tcPr>
            <w:tcW w:w="360" w:type="dxa"/>
            <w:vAlign w:val="bottom"/>
            <w:tcBorders>
              <w:top w:val="single" w:sz="8" w:color="auto"/>
            </w:tcBorders>
          </w:tcPr>
          <w:p>
            <w:pPr>
              <w:jc w:val="right"/>
              <w:ind w:right="211"/>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center"/>
              <w:ind w:left="411"/>
              <w:spacing w:after="0"/>
              <w:rPr>
                <w:sz w:val="20"/>
                <w:szCs w:val="20"/>
                <w:color w:val="auto"/>
              </w:rPr>
            </w:pPr>
            <w:r>
              <w:rPr>
                <w:rFonts w:ascii="Arial" w:cs="Arial" w:eastAsia="Arial" w:hAnsi="Arial"/>
                <w:sz w:val="14"/>
                <w:szCs w:val="14"/>
                <w:color w:val="auto"/>
                <w:w w:val="92"/>
              </w:rPr>
              <w:t>5.0</w:t>
            </w:r>
          </w:p>
        </w:tc>
        <w:tc>
          <w:tcPr>
            <w:tcW w:w="800" w:type="dxa"/>
            <w:vAlign w:val="bottom"/>
            <w:tcBorders>
              <w:top w:val="single" w:sz="8" w:color="auto"/>
            </w:tcBorders>
          </w:tcPr>
          <w:p>
            <w:pPr>
              <w:jc w:val="right"/>
              <w:ind w:right="551"/>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6.7</w:t>
            </w:r>
          </w:p>
        </w:tc>
        <w:tc>
          <w:tcPr>
            <w:tcW w:w="2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ind w:right="25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7.8</w:t>
            </w:r>
          </w:p>
        </w:tc>
        <w:tc>
          <w:tcPr>
            <w:tcW w:w="760" w:type="dxa"/>
            <w:vAlign w:val="bottom"/>
            <w:tcBorders>
              <w:top w:val="single" w:sz="8" w:color="auto"/>
            </w:tcBorders>
          </w:tcPr>
          <w:p>
            <w:pPr>
              <w:jc w:val="right"/>
              <w:ind w:right="511"/>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7.5</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MISSION PRODUCE,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EQUITY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60" w:type="dxa"/>
            <w:vAlign w:val="bottom"/>
          </w:tcPr>
          <w:p>
            <w:pPr>
              <w:spacing w:after="0"/>
              <w:rPr>
                <w:sz w:val="12"/>
                <w:szCs w:val="12"/>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Common stock</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Additional paid-in</w:t>
            </w:r>
          </w:p>
        </w:tc>
        <w:tc>
          <w:tcPr>
            <w:tcW w:w="1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b w:val="1"/>
                <w:bCs w:val="1"/>
                <w:color w:val="auto"/>
              </w:rPr>
              <w:t>Accumulated other</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66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jc w:val="right"/>
              <w:spacing w:after="0" w:line="65" w:lineRule="exact"/>
              <w:rPr>
                <w:sz w:val="20"/>
                <w:szCs w:val="20"/>
                <w:color w:val="auto"/>
              </w:rPr>
            </w:pPr>
            <w:r>
              <w:rPr>
                <w:rFonts w:ascii="Arial" w:cs="Arial" w:eastAsia="Arial" w:hAnsi="Arial"/>
                <w:sz w:val="7"/>
                <w:szCs w:val="7"/>
                <w:b w:val="1"/>
                <w:bCs w:val="1"/>
                <w:color w:val="auto"/>
              </w:rPr>
              <w:t>comprehensive (loss)</w:t>
            </w: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 millions, except for shares)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Shares</w:t>
            </w:r>
          </w:p>
        </w:tc>
        <w:tc>
          <w:tcPr>
            <w:tcW w:w="4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capital</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income</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Retained earnings</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Noncontrolling interest</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 equity</w:t>
            </w:r>
          </w:p>
        </w:tc>
        <w:tc>
          <w:tcPr>
            <w:tcW w:w="0" w:type="dxa"/>
            <w:vAlign w:val="bottom"/>
          </w:tcPr>
          <w:p>
            <w:pPr>
              <w:spacing w:after="0"/>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Balance at October 31, 2023</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70,728,404</w:t>
            </w:r>
          </w:p>
        </w:tc>
        <w:tc>
          <w:tcPr>
            <w:tcW w:w="460" w:type="dxa"/>
            <w:vAlign w:val="bottom"/>
            <w:tcBorders>
              <w:bottom w:val="single" w:sz="8" w:color="DBDBDB"/>
            </w:tcBorders>
            <w:shd w:val="clear" w:color="auto" w:fill="DBDBDB"/>
          </w:tcPr>
          <w:p>
            <w:pPr>
              <w:jc w:val="right"/>
              <w:ind w:right="320"/>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233.4</w:t>
            </w:r>
          </w:p>
        </w:tc>
        <w:tc>
          <w:tcPr>
            <w:tcW w:w="160" w:type="dxa"/>
            <w:vAlign w:val="bottom"/>
            <w:tcBorders>
              <w:bottom w:val="single" w:sz="8" w:color="DBDBDB"/>
            </w:tcBorders>
            <w:shd w:val="clear" w:color="auto" w:fill="DBDBDB"/>
          </w:tcPr>
          <w:p>
            <w:pPr>
              <w:jc w:val="right"/>
              <w:ind w:right="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(0.9)</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271.0</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24.7</w:t>
            </w:r>
          </w:p>
        </w:tc>
        <w:tc>
          <w:tcPr>
            <w:tcW w:w="300" w:type="dxa"/>
            <w:vAlign w:val="bottom"/>
            <w:tcBorders>
              <w:bottom w:val="single" w:sz="8" w:color="DBDBDB"/>
            </w:tcBorders>
            <w:shd w:val="clear" w:color="auto" w:fill="DBDBDB"/>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528.3</w:t>
            </w: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w:t>
            </w:r>
          </w:p>
        </w:tc>
        <w:tc>
          <w:tcPr>
            <w:tcW w:w="16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660" w:type="dxa"/>
            <w:vAlign w:val="bottom"/>
            <w:shd w:val="clear" w:color="auto" w:fill="DBDBDB"/>
          </w:tcPr>
          <w:p>
            <w:pPr>
              <w:ind w:left="20"/>
              <w:spacing w:after="0"/>
              <w:rPr>
                <w:sz w:val="20"/>
                <w:szCs w:val="20"/>
                <w:color w:val="auto"/>
              </w:rPr>
            </w:pPr>
            <w:r>
              <w:rPr>
                <w:rFonts w:ascii="Arial" w:cs="Arial" w:eastAsia="Arial" w:hAnsi="Arial"/>
                <w:sz w:val="12"/>
                <w:szCs w:val="12"/>
                <w:color w:val="auto"/>
              </w:rPr>
              <w:t>Issuance of common stock for equity awards, net</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112,899</w:t>
            </w:r>
          </w:p>
        </w:tc>
        <w:tc>
          <w:tcPr>
            <w:tcW w:w="460" w:type="dxa"/>
            <w:vAlign w:val="bottom"/>
            <w:shd w:val="clear" w:color="auto" w:fill="DBDBDB"/>
          </w:tcPr>
          <w:p>
            <w:pPr>
              <w:spacing w:after="0"/>
              <w:rPr>
                <w:sz w:val="13"/>
                <w:szCs w:val="13"/>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(0.7)</w:t>
            </w:r>
          </w:p>
        </w:tc>
        <w:tc>
          <w:tcPr>
            <w:tcW w:w="160" w:type="dxa"/>
            <w:vAlign w:val="bottom"/>
            <w:shd w:val="clear" w:color="auto" w:fill="DBDBDB"/>
          </w:tcPr>
          <w:p>
            <w:pPr>
              <w:spacing w:after="0"/>
              <w:rPr>
                <w:sz w:val="13"/>
                <w:szCs w:val="13"/>
                <w:color w:val="auto"/>
              </w:rPr>
            </w:pPr>
          </w:p>
        </w:tc>
        <w:tc>
          <w:tcPr>
            <w:tcW w:w="114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shd w:val="clear" w:color="auto" w:fill="DBDBDB"/>
          </w:tcPr>
          <w:p>
            <w:pPr>
              <w:spacing w:after="0"/>
              <w:rPr>
                <w:sz w:val="13"/>
                <w:szCs w:val="13"/>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DBDBDB"/>
          </w:tcPr>
          <w:p>
            <w:pPr>
              <w:spacing w:after="0"/>
              <w:rPr>
                <w:sz w:val="13"/>
                <w:szCs w:val="13"/>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DBDBDB"/>
          </w:tcPr>
          <w:p>
            <w:pPr>
              <w:spacing w:after="0"/>
              <w:rPr>
                <w:sz w:val="13"/>
                <w:szCs w:val="13"/>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65"/>
        </w:trPr>
        <w:tc>
          <w:tcPr>
            <w:tcW w:w="26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2"/>
                <w:szCs w:val="12"/>
                <w:color w:val="auto"/>
              </w:rPr>
              <w:t>of shares withheld for the settlement of taxes</w:t>
            </w:r>
          </w:p>
        </w:tc>
        <w:tc>
          <w:tcPr>
            <w:tcW w:w="1200" w:type="dxa"/>
            <w:vAlign w:val="bottom"/>
            <w:tcBorders>
              <w:bottom w:val="single" w:sz="8" w:color="DBDBDB"/>
            </w:tcBorders>
            <w:shd w:val="clear" w:color="auto" w:fill="DBDBDB"/>
          </w:tcPr>
          <w:p>
            <w:pPr>
              <w:spacing w:after="0"/>
              <w:rPr>
                <w:sz w:val="14"/>
                <w:szCs w:val="14"/>
                <w:color w:val="auto"/>
              </w:rPr>
            </w:pPr>
          </w:p>
        </w:tc>
        <w:tc>
          <w:tcPr>
            <w:tcW w:w="460" w:type="dxa"/>
            <w:vAlign w:val="bottom"/>
            <w:tcBorders>
              <w:bottom w:val="single" w:sz="8" w:color="DBDBDB"/>
            </w:tcBorders>
            <w:shd w:val="clear" w:color="auto" w:fill="DBDBDB"/>
          </w:tcPr>
          <w:p>
            <w:pPr>
              <w:spacing w:after="0"/>
              <w:rPr>
                <w:sz w:val="14"/>
                <w:szCs w:val="14"/>
                <w:color w:val="auto"/>
              </w:rPr>
            </w:pPr>
          </w:p>
        </w:tc>
        <w:tc>
          <w:tcPr>
            <w:tcW w:w="560" w:type="dxa"/>
            <w:vAlign w:val="bottom"/>
            <w:tcBorders>
              <w:bottom w:val="single" w:sz="8" w:color="DBDBDB"/>
            </w:tcBorders>
            <w:shd w:val="clear" w:color="auto" w:fill="DBDBDB"/>
          </w:tcPr>
          <w:p>
            <w:pPr>
              <w:spacing w:after="0"/>
              <w:rPr>
                <w:sz w:val="14"/>
                <w:szCs w:val="14"/>
                <w:color w:val="auto"/>
              </w:rPr>
            </w:pPr>
          </w:p>
        </w:tc>
        <w:tc>
          <w:tcPr>
            <w:tcW w:w="260" w:type="dxa"/>
            <w:vAlign w:val="bottom"/>
            <w:tcBorders>
              <w:bottom w:val="single" w:sz="8" w:color="DBDBDB"/>
            </w:tcBorders>
            <w:shd w:val="clear" w:color="auto" w:fill="DBDBDB"/>
          </w:tcPr>
          <w:p>
            <w:pPr>
              <w:spacing w:after="0"/>
              <w:rPr>
                <w:sz w:val="14"/>
                <w:szCs w:val="14"/>
                <w:color w:val="auto"/>
              </w:rPr>
            </w:pPr>
          </w:p>
        </w:tc>
        <w:tc>
          <w:tcPr>
            <w:tcW w:w="1080" w:type="dxa"/>
            <w:vAlign w:val="bottom"/>
            <w:tcBorders>
              <w:bottom w:val="single" w:sz="8" w:color="DBDBDB"/>
            </w:tcBorders>
            <w:shd w:val="clear" w:color="auto" w:fill="DBDBDB"/>
          </w:tcPr>
          <w:p>
            <w:pPr>
              <w:spacing w:after="0"/>
              <w:rPr>
                <w:sz w:val="14"/>
                <w:szCs w:val="14"/>
                <w:color w:val="auto"/>
              </w:rPr>
            </w:pPr>
          </w:p>
        </w:tc>
        <w:tc>
          <w:tcPr>
            <w:tcW w:w="160" w:type="dxa"/>
            <w:vAlign w:val="bottom"/>
            <w:tcBorders>
              <w:bottom w:val="single" w:sz="8" w:color="DBDBDB"/>
            </w:tcBorders>
            <w:shd w:val="clear" w:color="auto" w:fill="DBDBDB"/>
          </w:tcPr>
          <w:p>
            <w:pPr>
              <w:spacing w:after="0"/>
              <w:rPr>
                <w:sz w:val="14"/>
                <w:szCs w:val="14"/>
                <w:color w:val="auto"/>
              </w:rPr>
            </w:pPr>
          </w:p>
        </w:tc>
        <w:tc>
          <w:tcPr>
            <w:tcW w:w="1140" w:type="dxa"/>
            <w:vAlign w:val="bottom"/>
            <w:tcBorders>
              <w:bottom w:val="single" w:sz="8" w:color="DBDBDB"/>
            </w:tcBorders>
            <w:shd w:val="clear" w:color="auto" w:fill="DBDBDB"/>
          </w:tcPr>
          <w:p>
            <w:pPr>
              <w:spacing w:after="0"/>
              <w:rPr>
                <w:sz w:val="14"/>
                <w:szCs w:val="14"/>
                <w:color w:val="auto"/>
              </w:rPr>
            </w:pPr>
          </w:p>
        </w:tc>
        <w:tc>
          <w:tcPr>
            <w:tcW w:w="120" w:type="dxa"/>
            <w:vAlign w:val="bottom"/>
            <w:tcBorders>
              <w:bottom w:val="single" w:sz="8" w:color="DBDBDB"/>
            </w:tcBorders>
            <w:shd w:val="clear" w:color="auto" w:fill="DBDBDB"/>
          </w:tcPr>
          <w:p>
            <w:pPr>
              <w:spacing w:after="0"/>
              <w:rPr>
                <w:sz w:val="14"/>
                <w:szCs w:val="14"/>
                <w:color w:val="auto"/>
              </w:rPr>
            </w:pPr>
          </w:p>
        </w:tc>
        <w:tc>
          <w:tcPr>
            <w:tcW w:w="110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1200" w:type="dxa"/>
            <w:vAlign w:val="bottom"/>
            <w:tcBorders>
              <w:bottom w:val="single" w:sz="8" w:color="DBDBDB"/>
            </w:tcBorders>
            <w:shd w:val="clear" w:color="auto" w:fill="DBDBDB"/>
          </w:tcPr>
          <w:p>
            <w:pPr>
              <w:spacing w:after="0"/>
              <w:rPr>
                <w:sz w:val="14"/>
                <w:szCs w:val="14"/>
                <w:color w:val="auto"/>
              </w:rPr>
            </w:pPr>
          </w:p>
        </w:tc>
        <w:tc>
          <w:tcPr>
            <w:tcW w:w="30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2.0</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Other comprehensive income</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DBDBDB"/>
            </w:tcBorders>
            <w:shd w:val="clear" w:color="auto" w:fill="DBDBDB"/>
          </w:tcPr>
          <w:p>
            <w:pPr>
              <w:spacing w:after="0"/>
              <w:rPr>
                <w:sz w:val="16"/>
                <w:szCs w:val="16"/>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ind w:right="1"/>
              <w:spacing w:after="0"/>
              <w:rPr>
                <w:sz w:val="20"/>
                <w:szCs w:val="20"/>
                <w:color w:val="auto"/>
              </w:rPr>
            </w:pPr>
            <w:r>
              <w:rPr>
                <w:rFonts w:ascii="Arial" w:cs="Arial" w:eastAsia="Arial" w:hAnsi="Arial"/>
                <w:sz w:val="12"/>
                <w:szCs w:val="12"/>
                <w:color w:val="auto"/>
              </w:rPr>
              <w:t>0.8</w:t>
            </w:r>
          </w:p>
        </w:tc>
        <w:tc>
          <w:tcPr>
            <w:tcW w:w="1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6"/>
                <w:szCs w:val="16"/>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0.8</w:t>
            </w:r>
          </w:p>
        </w:tc>
        <w:tc>
          <w:tcPr>
            <w:tcW w:w="0" w:type="dxa"/>
            <w:vAlign w:val="bottom"/>
          </w:tcPr>
          <w:p>
            <w:pPr>
              <w:spacing w:after="0"/>
              <w:rPr>
                <w:sz w:val="1"/>
                <w:szCs w:val="1"/>
                <w:color w:val="auto"/>
              </w:rPr>
            </w:pPr>
          </w:p>
        </w:tc>
      </w:tr>
      <w:tr>
        <w:trPr>
          <w:trHeight w:val="160"/>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Balance at January 31, 2024</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70,841,303</w:t>
            </w:r>
          </w:p>
        </w:tc>
        <w:tc>
          <w:tcPr>
            <w:tcW w:w="460" w:type="dxa"/>
            <w:vAlign w:val="bottom"/>
            <w:tcBorders>
              <w:top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234.1</w:t>
            </w:r>
          </w:p>
        </w:tc>
        <w:tc>
          <w:tcPr>
            <w:tcW w:w="1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271.0</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26.7</w:t>
            </w:r>
          </w:p>
        </w:tc>
        <w:tc>
          <w:tcPr>
            <w:tcW w:w="300" w:type="dxa"/>
            <w:vAlign w:val="bottom"/>
            <w:tcBorders>
              <w:top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531.8</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Stock-based compensation</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DBDBDB"/>
            </w:tcBorders>
            <w:shd w:val="clear" w:color="auto" w:fill="DBDBDB"/>
          </w:tcPr>
          <w:p>
            <w:pPr>
              <w:spacing w:after="0"/>
              <w:rPr>
                <w:sz w:val="15"/>
                <w:szCs w:val="15"/>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1.6</w:t>
            </w:r>
          </w:p>
        </w:tc>
        <w:tc>
          <w:tcPr>
            <w:tcW w:w="160" w:type="dxa"/>
            <w:vAlign w:val="bottom"/>
            <w:tcBorders>
              <w:bottom w:val="single" w:sz="8" w:color="DBDBDB"/>
            </w:tcBorders>
            <w:shd w:val="clear" w:color="auto" w:fill="DBDBDB"/>
          </w:tcPr>
          <w:p>
            <w:pPr>
              <w:spacing w:after="0"/>
              <w:rPr>
                <w:sz w:val="15"/>
                <w:szCs w:val="15"/>
                <w:color w:val="auto"/>
              </w:rPr>
            </w:pPr>
          </w:p>
        </w:tc>
        <w:tc>
          <w:tcPr>
            <w:tcW w:w="1140" w:type="dxa"/>
            <w:vAlign w:val="bottom"/>
            <w:tcBorders>
              <w:bottom w:val="single" w:sz="8" w:color="DBDBDB"/>
            </w:tcBorders>
            <w:shd w:val="clear" w:color="auto" w:fill="DBDBDB"/>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50"/>
        </w:trPr>
        <w:tc>
          <w:tcPr>
            <w:tcW w:w="2660" w:type="dxa"/>
            <w:vAlign w:val="bottom"/>
          </w:tcPr>
          <w:p>
            <w:pPr>
              <w:ind w:left="20"/>
              <w:spacing w:after="0"/>
              <w:rPr>
                <w:sz w:val="20"/>
                <w:szCs w:val="20"/>
                <w:color w:val="auto"/>
              </w:rPr>
            </w:pPr>
            <w:r>
              <w:rPr>
                <w:rFonts w:ascii="Arial" w:cs="Arial" w:eastAsia="Arial" w:hAnsi="Arial"/>
                <w:sz w:val="12"/>
                <w:szCs w:val="12"/>
                <w:color w:val="auto"/>
              </w:rPr>
              <w:t>Issuance of common stock for equity awards, net</w:t>
            </w:r>
          </w:p>
        </w:tc>
        <w:tc>
          <w:tcPr>
            <w:tcW w:w="1200" w:type="dxa"/>
            <w:vAlign w:val="bottom"/>
          </w:tcPr>
          <w:p>
            <w:pPr>
              <w:jc w:val="right"/>
              <w:spacing w:after="0"/>
              <w:rPr>
                <w:sz w:val="20"/>
                <w:szCs w:val="20"/>
                <w:color w:val="auto"/>
              </w:rPr>
            </w:pPr>
            <w:r>
              <w:rPr>
                <w:rFonts w:ascii="Arial" w:cs="Arial" w:eastAsia="Arial" w:hAnsi="Arial"/>
                <w:sz w:val="12"/>
                <w:szCs w:val="12"/>
                <w:color w:val="auto"/>
              </w:rPr>
              <w:t>68,164</w:t>
            </w:r>
          </w:p>
        </w:tc>
        <w:tc>
          <w:tcPr>
            <w:tcW w:w="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(0.1)</w:t>
            </w:r>
          </w:p>
        </w:tc>
        <w:tc>
          <w:tcPr>
            <w:tcW w:w="1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59"/>
        </w:trPr>
        <w:tc>
          <w:tcPr>
            <w:tcW w:w="2660" w:type="dxa"/>
            <w:vAlign w:val="bottom"/>
          </w:tcPr>
          <w:p>
            <w:pPr>
              <w:ind w:left="180"/>
              <w:spacing w:after="0"/>
              <w:rPr>
                <w:sz w:val="20"/>
                <w:szCs w:val="20"/>
                <w:color w:val="auto"/>
              </w:rPr>
            </w:pPr>
            <w:r>
              <w:rPr>
                <w:rFonts w:ascii="Arial" w:cs="Arial" w:eastAsia="Arial" w:hAnsi="Arial"/>
                <w:sz w:val="12"/>
                <w:szCs w:val="12"/>
                <w:color w:val="auto"/>
              </w:rPr>
              <w:t>of shares withheld for the settlement of taxes</w:t>
            </w: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Net income</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DBDBDB"/>
            </w:tcBorders>
            <w:shd w:val="clear" w:color="auto" w:fill="DBDBDB"/>
          </w:tcPr>
          <w:p>
            <w:pPr>
              <w:spacing w:after="0"/>
              <w:rPr>
                <w:sz w:val="15"/>
                <w:szCs w:val="15"/>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1140" w:type="dxa"/>
            <w:vAlign w:val="bottom"/>
            <w:tcBorders>
              <w:bottom w:val="single" w:sz="8" w:color="DBDBDB"/>
            </w:tcBorders>
            <w:shd w:val="clear" w:color="auto" w:fill="DBDBDB"/>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7.0</w:t>
            </w:r>
          </w:p>
        </w:tc>
        <w:tc>
          <w:tcPr>
            <w:tcW w:w="10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Other comprehensive loss</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(0.3)</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Balance at April 30, 2024</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70,909,467</w:t>
            </w:r>
          </w:p>
        </w:tc>
        <w:tc>
          <w:tcPr>
            <w:tcW w:w="460" w:type="dxa"/>
            <w:vAlign w:val="bottom"/>
            <w:tcBorders>
              <w:bottom w:val="single" w:sz="8" w:color="DBDBDB"/>
            </w:tcBorders>
            <w:shd w:val="clear" w:color="auto" w:fill="DBDBDB"/>
          </w:tcPr>
          <w:p>
            <w:pPr>
              <w:jc w:val="right"/>
              <w:ind w:right="320"/>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235.6</w:t>
            </w:r>
          </w:p>
        </w:tc>
        <w:tc>
          <w:tcPr>
            <w:tcW w:w="160" w:type="dxa"/>
            <w:vAlign w:val="bottom"/>
            <w:tcBorders>
              <w:bottom w:val="single" w:sz="8" w:color="DBDBDB"/>
            </w:tcBorders>
            <w:shd w:val="clear" w:color="auto" w:fill="DBDBDB"/>
          </w:tcPr>
          <w:p>
            <w:pPr>
              <w:jc w:val="right"/>
              <w:ind w:right="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(0.4)</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278.0</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26.7</w:t>
            </w:r>
          </w:p>
        </w:tc>
        <w:tc>
          <w:tcPr>
            <w:tcW w:w="300" w:type="dxa"/>
            <w:vAlign w:val="bottom"/>
            <w:tcBorders>
              <w:bottom w:val="single" w:sz="8" w:color="DBDBDB"/>
            </w:tcBorders>
            <w:shd w:val="clear" w:color="auto" w:fill="DBDBDB"/>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540.0</w:t>
            </w:r>
          </w:p>
        </w:tc>
        <w:tc>
          <w:tcPr>
            <w:tcW w:w="0" w:type="dxa"/>
            <w:vAlign w:val="bottom"/>
          </w:tcPr>
          <w:p>
            <w:pPr>
              <w:spacing w:after="0"/>
              <w:rPr>
                <w:sz w:val="1"/>
                <w:szCs w:val="1"/>
                <w:color w:val="auto"/>
              </w:rPr>
            </w:pPr>
          </w:p>
        </w:tc>
      </w:tr>
      <w:tr>
        <w:trPr>
          <w:trHeight w:val="193"/>
        </w:trPr>
        <w:tc>
          <w:tcPr>
            <w:tcW w:w="2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Balance at October 31, 2024</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70,914,767</w:t>
            </w:r>
          </w:p>
        </w:tc>
        <w:tc>
          <w:tcPr>
            <w:tcW w:w="460" w:type="dxa"/>
            <w:vAlign w:val="bottom"/>
            <w:tcBorders>
              <w:bottom w:val="single" w:sz="8" w:color="DBDBDB"/>
            </w:tcBorders>
            <w:shd w:val="clear" w:color="auto" w:fill="DBDBDB"/>
          </w:tcPr>
          <w:p>
            <w:pPr>
              <w:jc w:val="right"/>
              <w:ind w:right="320"/>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239.7</w:t>
            </w:r>
          </w:p>
        </w:tc>
        <w:tc>
          <w:tcPr>
            <w:tcW w:w="160" w:type="dxa"/>
            <w:vAlign w:val="bottom"/>
            <w:tcBorders>
              <w:bottom w:val="single" w:sz="8" w:color="DBDBDB"/>
            </w:tcBorders>
            <w:shd w:val="clear" w:color="auto" w:fill="DBDBDB"/>
          </w:tcPr>
          <w:p>
            <w:pPr>
              <w:jc w:val="right"/>
              <w:ind w:right="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(0.2)</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307.7</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29.8</w:t>
            </w:r>
          </w:p>
        </w:tc>
        <w:tc>
          <w:tcPr>
            <w:tcW w:w="300" w:type="dxa"/>
            <w:vAlign w:val="bottom"/>
            <w:tcBorders>
              <w:bottom w:val="single" w:sz="8" w:color="DBDBDB"/>
            </w:tcBorders>
            <w:shd w:val="clear" w:color="auto" w:fill="DBDBDB"/>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577.1</w:t>
            </w: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2.0</w:t>
            </w:r>
          </w:p>
        </w:tc>
        <w:tc>
          <w:tcPr>
            <w:tcW w:w="16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660" w:type="dxa"/>
            <w:vAlign w:val="bottom"/>
            <w:shd w:val="clear" w:color="auto" w:fill="DBDBDB"/>
          </w:tcPr>
          <w:p>
            <w:pPr>
              <w:ind w:left="20"/>
              <w:spacing w:after="0"/>
              <w:rPr>
                <w:sz w:val="20"/>
                <w:szCs w:val="20"/>
                <w:color w:val="auto"/>
              </w:rPr>
            </w:pPr>
            <w:r>
              <w:rPr>
                <w:rFonts w:ascii="Arial" w:cs="Arial" w:eastAsia="Arial" w:hAnsi="Arial"/>
                <w:sz w:val="12"/>
                <w:szCs w:val="12"/>
                <w:color w:val="auto"/>
              </w:rPr>
              <w:t>Issuance of common stock for equity awards, net</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153,856</w:t>
            </w:r>
          </w:p>
        </w:tc>
        <w:tc>
          <w:tcPr>
            <w:tcW w:w="460" w:type="dxa"/>
            <w:vAlign w:val="bottom"/>
            <w:shd w:val="clear" w:color="auto" w:fill="DBDBDB"/>
          </w:tcPr>
          <w:p>
            <w:pPr>
              <w:spacing w:after="0"/>
              <w:rPr>
                <w:sz w:val="13"/>
                <w:szCs w:val="13"/>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w:t>
            </w:r>
          </w:p>
        </w:tc>
        <w:tc>
          <w:tcPr>
            <w:tcW w:w="160" w:type="dxa"/>
            <w:vAlign w:val="bottom"/>
            <w:shd w:val="clear" w:color="auto" w:fill="DBDBDB"/>
          </w:tcPr>
          <w:p>
            <w:pPr>
              <w:spacing w:after="0"/>
              <w:rPr>
                <w:sz w:val="13"/>
                <w:szCs w:val="13"/>
                <w:color w:val="auto"/>
              </w:rPr>
            </w:pPr>
          </w:p>
        </w:tc>
        <w:tc>
          <w:tcPr>
            <w:tcW w:w="114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shd w:val="clear" w:color="auto" w:fill="DBDBDB"/>
          </w:tcPr>
          <w:p>
            <w:pPr>
              <w:spacing w:after="0"/>
              <w:rPr>
                <w:sz w:val="13"/>
                <w:szCs w:val="13"/>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DBDBDB"/>
          </w:tcPr>
          <w:p>
            <w:pPr>
              <w:spacing w:after="0"/>
              <w:rPr>
                <w:sz w:val="13"/>
                <w:szCs w:val="13"/>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DBDBDB"/>
          </w:tcPr>
          <w:p>
            <w:pPr>
              <w:spacing w:after="0"/>
              <w:rPr>
                <w:sz w:val="13"/>
                <w:szCs w:val="13"/>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65"/>
        </w:trPr>
        <w:tc>
          <w:tcPr>
            <w:tcW w:w="266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2"/>
                <w:szCs w:val="12"/>
                <w:color w:val="auto"/>
              </w:rPr>
              <w:t>of shares withheld for the settlement of taxes</w:t>
            </w:r>
          </w:p>
        </w:tc>
        <w:tc>
          <w:tcPr>
            <w:tcW w:w="1200" w:type="dxa"/>
            <w:vAlign w:val="bottom"/>
            <w:tcBorders>
              <w:bottom w:val="single" w:sz="8" w:color="DBDBDB"/>
            </w:tcBorders>
            <w:shd w:val="clear" w:color="auto" w:fill="DBDBDB"/>
          </w:tcPr>
          <w:p>
            <w:pPr>
              <w:spacing w:after="0"/>
              <w:rPr>
                <w:sz w:val="14"/>
                <w:szCs w:val="14"/>
                <w:color w:val="auto"/>
              </w:rPr>
            </w:pPr>
          </w:p>
        </w:tc>
        <w:tc>
          <w:tcPr>
            <w:tcW w:w="460" w:type="dxa"/>
            <w:vAlign w:val="bottom"/>
            <w:tcBorders>
              <w:bottom w:val="single" w:sz="8" w:color="DBDBDB"/>
            </w:tcBorders>
            <w:shd w:val="clear" w:color="auto" w:fill="DBDBDB"/>
          </w:tcPr>
          <w:p>
            <w:pPr>
              <w:spacing w:after="0"/>
              <w:rPr>
                <w:sz w:val="14"/>
                <w:szCs w:val="14"/>
                <w:color w:val="auto"/>
              </w:rPr>
            </w:pPr>
          </w:p>
        </w:tc>
        <w:tc>
          <w:tcPr>
            <w:tcW w:w="560" w:type="dxa"/>
            <w:vAlign w:val="bottom"/>
            <w:tcBorders>
              <w:bottom w:val="single" w:sz="8" w:color="DBDBDB"/>
            </w:tcBorders>
            <w:shd w:val="clear" w:color="auto" w:fill="DBDBDB"/>
          </w:tcPr>
          <w:p>
            <w:pPr>
              <w:spacing w:after="0"/>
              <w:rPr>
                <w:sz w:val="14"/>
                <w:szCs w:val="14"/>
                <w:color w:val="auto"/>
              </w:rPr>
            </w:pPr>
          </w:p>
        </w:tc>
        <w:tc>
          <w:tcPr>
            <w:tcW w:w="260" w:type="dxa"/>
            <w:vAlign w:val="bottom"/>
            <w:tcBorders>
              <w:bottom w:val="single" w:sz="8" w:color="DBDBDB"/>
            </w:tcBorders>
            <w:shd w:val="clear" w:color="auto" w:fill="DBDBDB"/>
          </w:tcPr>
          <w:p>
            <w:pPr>
              <w:spacing w:after="0"/>
              <w:rPr>
                <w:sz w:val="14"/>
                <w:szCs w:val="14"/>
                <w:color w:val="auto"/>
              </w:rPr>
            </w:pPr>
          </w:p>
        </w:tc>
        <w:tc>
          <w:tcPr>
            <w:tcW w:w="1080" w:type="dxa"/>
            <w:vAlign w:val="bottom"/>
            <w:tcBorders>
              <w:bottom w:val="single" w:sz="8" w:color="DBDBDB"/>
            </w:tcBorders>
            <w:shd w:val="clear" w:color="auto" w:fill="DBDBDB"/>
          </w:tcPr>
          <w:p>
            <w:pPr>
              <w:spacing w:after="0"/>
              <w:rPr>
                <w:sz w:val="14"/>
                <w:szCs w:val="14"/>
                <w:color w:val="auto"/>
              </w:rPr>
            </w:pPr>
          </w:p>
        </w:tc>
        <w:tc>
          <w:tcPr>
            <w:tcW w:w="160" w:type="dxa"/>
            <w:vAlign w:val="bottom"/>
            <w:tcBorders>
              <w:bottom w:val="single" w:sz="8" w:color="DBDBDB"/>
            </w:tcBorders>
            <w:shd w:val="clear" w:color="auto" w:fill="DBDBDB"/>
          </w:tcPr>
          <w:p>
            <w:pPr>
              <w:spacing w:after="0"/>
              <w:rPr>
                <w:sz w:val="14"/>
                <w:szCs w:val="14"/>
                <w:color w:val="auto"/>
              </w:rPr>
            </w:pPr>
          </w:p>
        </w:tc>
        <w:tc>
          <w:tcPr>
            <w:tcW w:w="1140" w:type="dxa"/>
            <w:vAlign w:val="bottom"/>
            <w:tcBorders>
              <w:bottom w:val="single" w:sz="8" w:color="DBDBDB"/>
            </w:tcBorders>
            <w:shd w:val="clear" w:color="auto" w:fill="DBDBDB"/>
          </w:tcPr>
          <w:p>
            <w:pPr>
              <w:spacing w:after="0"/>
              <w:rPr>
                <w:sz w:val="14"/>
                <w:szCs w:val="14"/>
                <w:color w:val="auto"/>
              </w:rPr>
            </w:pPr>
          </w:p>
        </w:tc>
        <w:tc>
          <w:tcPr>
            <w:tcW w:w="120" w:type="dxa"/>
            <w:vAlign w:val="bottom"/>
            <w:tcBorders>
              <w:bottom w:val="single" w:sz="8" w:color="DBDBDB"/>
            </w:tcBorders>
            <w:shd w:val="clear" w:color="auto" w:fill="DBDBDB"/>
          </w:tcPr>
          <w:p>
            <w:pPr>
              <w:spacing w:after="0"/>
              <w:rPr>
                <w:sz w:val="14"/>
                <w:szCs w:val="14"/>
                <w:color w:val="auto"/>
              </w:rPr>
            </w:pPr>
          </w:p>
        </w:tc>
        <w:tc>
          <w:tcPr>
            <w:tcW w:w="110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1200" w:type="dxa"/>
            <w:vAlign w:val="bottom"/>
            <w:tcBorders>
              <w:bottom w:val="single" w:sz="8" w:color="DBDBDB"/>
            </w:tcBorders>
            <w:shd w:val="clear" w:color="auto" w:fill="DBDBDB"/>
          </w:tcPr>
          <w:p>
            <w:pPr>
              <w:spacing w:after="0"/>
              <w:rPr>
                <w:sz w:val="14"/>
                <w:szCs w:val="14"/>
                <w:color w:val="auto"/>
              </w:rPr>
            </w:pPr>
          </w:p>
        </w:tc>
        <w:tc>
          <w:tcPr>
            <w:tcW w:w="30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Exercise of stock options</w:t>
            </w:r>
          </w:p>
        </w:tc>
        <w:tc>
          <w:tcPr>
            <w:tcW w:w="1200" w:type="dxa"/>
            <w:vAlign w:val="bottom"/>
          </w:tcPr>
          <w:p>
            <w:pPr>
              <w:jc w:val="right"/>
              <w:spacing w:after="0"/>
              <w:rPr>
                <w:sz w:val="20"/>
                <w:szCs w:val="20"/>
                <w:color w:val="auto"/>
              </w:rPr>
            </w:pPr>
            <w:r>
              <w:rPr>
                <w:rFonts w:ascii="Arial" w:cs="Arial" w:eastAsia="Arial" w:hAnsi="Arial"/>
                <w:sz w:val="12"/>
                <w:szCs w:val="12"/>
                <w:color w:val="auto"/>
              </w:rPr>
              <w:t>21,929</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0.3</w:t>
            </w:r>
          </w:p>
        </w:tc>
        <w:tc>
          <w:tcPr>
            <w:tcW w:w="16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Purchase and retirement of common stock</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(25,000)</w:t>
            </w:r>
          </w:p>
        </w:tc>
        <w:tc>
          <w:tcPr>
            <w:tcW w:w="460" w:type="dxa"/>
            <w:vAlign w:val="bottom"/>
            <w:tcBorders>
              <w:bottom w:val="single" w:sz="8" w:color="DBDBDB"/>
            </w:tcBorders>
            <w:shd w:val="clear" w:color="auto" w:fill="DBDBDB"/>
          </w:tcPr>
          <w:p>
            <w:pPr>
              <w:spacing w:after="0"/>
              <w:rPr>
                <w:sz w:val="15"/>
                <w:szCs w:val="15"/>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1140" w:type="dxa"/>
            <w:vAlign w:val="bottom"/>
            <w:tcBorders>
              <w:bottom w:val="single" w:sz="8" w:color="DBDBDB"/>
            </w:tcBorders>
            <w:shd w:val="clear" w:color="auto" w:fill="DBDBDB"/>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(0.3)</w:t>
            </w:r>
          </w:p>
        </w:tc>
        <w:tc>
          <w:tcPr>
            <w:tcW w:w="10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2.3</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Other comprehensive loss</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DBDBDB"/>
            </w:tcBorders>
            <w:shd w:val="clear" w:color="auto" w:fill="DBDBDB"/>
          </w:tcPr>
          <w:p>
            <w:pPr>
              <w:spacing w:after="0"/>
              <w:rPr>
                <w:sz w:val="16"/>
                <w:szCs w:val="16"/>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(1.1)</w:t>
            </w:r>
          </w:p>
        </w:tc>
        <w:tc>
          <w:tcPr>
            <w:tcW w:w="1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6"/>
                <w:szCs w:val="16"/>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60"/>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Balance at January 31, 2025</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71,065,552</w:t>
            </w:r>
          </w:p>
        </w:tc>
        <w:tc>
          <w:tcPr>
            <w:tcW w:w="460" w:type="dxa"/>
            <w:vAlign w:val="bottom"/>
            <w:tcBorders>
              <w:top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240.7</w:t>
            </w:r>
          </w:p>
        </w:tc>
        <w:tc>
          <w:tcPr>
            <w:tcW w:w="1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311.3</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32.1</w:t>
            </w:r>
          </w:p>
        </w:tc>
        <w:tc>
          <w:tcPr>
            <w:tcW w:w="300" w:type="dxa"/>
            <w:vAlign w:val="bottom"/>
            <w:tcBorders>
              <w:top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582.9</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Stock-based compensation</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DBDBDB"/>
            </w:tcBorders>
            <w:shd w:val="clear" w:color="auto" w:fill="DBDBDB"/>
          </w:tcPr>
          <w:p>
            <w:pPr>
              <w:spacing w:after="0"/>
              <w:rPr>
                <w:sz w:val="15"/>
                <w:szCs w:val="15"/>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1.9</w:t>
            </w:r>
          </w:p>
        </w:tc>
        <w:tc>
          <w:tcPr>
            <w:tcW w:w="160" w:type="dxa"/>
            <w:vAlign w:val="bottom"/>
            <w:tcBorders>
              <w:bottom w:val="single" w:sz="8" w:color="DBDBDB"/>
            </w:tcBorders>
            <w:shd w:val="clear" w:color="auto" w:fill="DBDBDB"/>
          </w:tcPr>
          <w:p>
            <w:pPr>
              <w:spacing w:after="0"/>
              <w:rPr>
                <w:sz w:val="15"/>
                <w:szCs w:val="15"/>
                <w:color w:val="auto"/>
              </w:rPr>
            </w:pPr>
          </w:p>
        </w:tc>
        <w:tc>
          <w:tcPr>
            <w:tcW w:w="1140" w:type="dxa"/>
            <w:vAlign w:val="bottom"/>
            <w:tcBorders>
              <w:bottom w:val="single" w:sz="8" w:color="DBDBDB"/>
            </w:tcBorders>
            <w:shd w:val="clear" w:color="auto" w:fill="DBDBDB"/>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50"/>
        </w:trPr>
        <w:tc>
          <w:tcPr>
            <w:tcW w:w="2660" w:type="dxa"/>
            <w:vAlign w:val="bottom"/>
          </w:tcPr>
          <w:p>
            <w:pPr>
              <w:ind w:left="20"/>
              <w:spacing w:after="0"/>
              <w:rPr>
                <w:sz w:val="20"/>
                <w:szCs w:val="20"/>
                <w:color w:val="auto"/>
              </w:rPr>
            </w:pPr>
            <w:r>
              <w:rPr>
                <w:rFonts w:ascii="Arial" w:cs="Arial" w:eastAsia="Arial" w:hAnsi="Arial"/>
                <w:sz w:val="12"/>
                <w:szCs w:val="12"/>
                <w:color w:val="auto"/>
              </w:rPr>
              <w:t>Issuance of common stock for equity awards, net</w:t>
            </w:r>
          </w:p>
        </w:tc>
        <w:tc>
          <w:tcPr>
            <w:tcW w:w="1200" w:type="dxa"/>
            <w:vAlign w:val="bottom"/>
          </w:tcPr>
          <w:p>
            <w:pPr>
              <w:jc w:val="right"/>
              <w:spacing w:after="0"/>
              <w:rPr>
                <w:sz w:val="20"/>
                <w:szCs w:val="20"/>
                <w:color w:val="auto"/>
              </w:rPr>
            </w:pPr>
            <w:r>
              <w:rPr>
                <w:rFonts w:ascii="Arial" w:cs="Arial" w:eastAsia="Arial" w:hAnsi="Arial"/>
                <w:sz w:val="12"/>
                <w:szCs w:val="12"/>
                <w:color w:val="auto"/>
              </w:rPr>
              <w:t>70,200</w:t>
            </w:r>
          </w:p>
        </w:tc>
        <w:tc>
          <w:tcPr>
            <w:tcW w:w="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(0.2)</w:t>
            </w:r>
          </w:p>
        </w:tc>
        <w:tc>
          <w:tcPr>
            <w:tcW w:w="1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59"/>
        </w:trPr>
        <w:tc>
          <w:tcPr>
            <w:tcW w:w="2660" w:type="dxa"/>
            <w:vAlign w:val="bottom"/>
          </w:tcPr>
          <w:p>
            <w:pPr>
              <w:ind w:left="180"/>
              <w:spacing w:after="0"/>
              <w:rPr>
                <w:sz w:val="20"/>
                <w:szCs w:val="20"/>
                <w:color w:val="auto"/>
              </w:rPr>
            </w:pPr>
            <w:r>
              <w:rPr>
                <w:rFonts w:ascii="Arial" w:cs="Arial" w:eastAsia="Arial" w:hAnsi="Arial"/>
                <w:sz w:val="12"/>
                <w:szCs w:val="12"/>
                <w:color w:val="auto"/>
              </w:rPr>
              <w:t>of shares withheld for the settlement of taxes</w:t>
            </w: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Purchase and retirement of common stock</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(517,801)</w:t>
            </w:r>
          </w:p>
        </w:tc>
        <w:tc>
          <w:tcPr>
            <w:tcW w:w="460" w:type="dxa"/>
            <w:vAlign w:val="bottom"/>
            <w:tcBorders>
              <w:bottom w:val="single" w:sz="8" w:color="DBDBDB"/>
            </w:tcBorders>
            <w:shd w:val="clear" w:color="auto" w:fill="DBDBDB"/>
          </w:tcPr>
          <w:p>
            <w:pPr>
              <w:spacing w:after="0"/>
              <w:rPr>
                <w:sz w:val="15"/>
                <w:szCs w:val="15"/>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1140" w:type="dxa"/>
            <w:vAlign w:val="bottom"/>
            <w:tcBorders>
              <w:bottom w:val="single" w:sz="8" w:color="DBDBDB"/>
            </w:tcBorders>
            <w:shd w:val="clear" w:color="auto" w:fill="DBDBDB"/>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(5.2)</w:t>
            </w:r>
          </w:p>
        </w:tc>
        <w:tc>
          <w:tcPr>
            <w:tcW w:w="100" w:type="dxa"/>
            <w:vAlign w:val="bottom"/>
            <w:tcBorders>
              <w:bottom w:val="single" w:sz="8" w:color="DBDBDB"/>
            </w:tcBorders>
            <w:shd w:val="clear" w:color="auto" w:fill="DBDBDB"/>
          </w:tcPr>
          <w:p>
            <w:pPr>
              <w:spacing w:after="0"/>
              <w:rPr>
                <w:sz w:val="15"/>
                <w:szCs w:val="15"/>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(0.1)</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Other comprehensive income</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DBDBDB"/>
            </w:tcBorders>
            <w:shd w:val="clear" w:color="auto" w:fill="DBDBDB"/>
          </w:tcPr>
          <w:p>
            <w:pPr>
              <w:spacing w:after="0"/>
              <w:rPr>
                <w:sz w:val="16"/>
                <w:szCs w:val="16"/>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ind w:right="1"/>
              <w:spacing w:after="0"/>
              <w:rPr>
                <w:sz w:val="20"/>
                <w:szCs w:val="20"/>
                <w:color w:val="auto"/>
              </w:rPr>
            </w:pPr>
            <w:r>
              <w:rPr>
                <w:rFonts w:ascii="Arial" w:cs="Arial" w:eastAsia="Arial" w:hAnsi="Arial"/>
                <w:sz w:val="12"/>
                <w:szCs w:val="12"/>
                <w:color w:val="auto"/>
              </w:rPr>
              <w:t>1.9</w:t>
            </w:r>
          </w:p>
        </w:tc>
        <w:tc>
          <w:tcPr>
            <w:tcW w:w="1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6"/>
                <w:szCs w:val="16"/>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60"/>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Balance at April 30, 2025</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70,617,951</w:t>
            </w:r>
          </w:p>
        </w:tc>
        <w:tc>
          <w:tcPr>
            <w:tcW w:w="460" w:type="dxa"/>
            <w:vAlign w:val="bottom"/>
            <w:tcBorders>
              <w:top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242.4</w:t>
            </w:r>
          </w:p>
        </w:tc>
        <w:tc>
          <w:tcPr>
            <w:tcW w:w="1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0.6</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309.2</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32.0</w:t>
            </w:r>
          </w:p>
        </w:tc>
        <w:tc>
          <w:tcPr>
            <w:tcW w:w="300" w:type="dxa"/>
            <w:vAlign w:val="bottom"/>
            <w:tcBorders>
              <w:top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584.3</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8" w:name="page9"/>
    <w:bookmarkEnd w:id="8"/>
    <w:p>
      <w:pPr>
        <w:jc w:val="center"/>
        <w:ind w:right="-119"/>
        <w:spacing w:after="0"/>
        <w:rPr>
          <w:sz w:val="20"/>
          <w:szCs w:val="20"/>
          <w:color w:val="auto"/>
        </w:rPr>
      </w:pPr>
      <w:r>
        <w:rPr>
          <w:rFonts w:ascii="Arial" w:cs="Arial" w:eastAsia="Arial" w:hAnsi="Arial"/>
          <w:sz w:val="17"/>
          <w:szCs w:val="17"/>
          <w:b w:val="1"/>
          <w:bCs w:val="1"/>
          <w:color w:val="auto"/>
        </w:rPr>
        <w:t>MISSION PRODUCE, INC.</w:t>
      </w:r>
    </w:p>
    <w:p>
      <w:pPr>
        <w:spacing w:after="0" w:line="6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CONDENSED CONSOLIDATED STATEMENTS OF CASH FLOW (UNAUDITED)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0" w:type="dxa"/>
            <w:vAlign w:val="bottom"/>
            <w:gridSpan w:val="2"/>
          </w:tcPr>
          <w:p>
            <w:pPr>
              <w:jc w:val="right"/>
              <w:ind w:right="351"/>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6"/>
        </w:trPr>
        <w:tc>
          <w:tcPr>
            <w:tcW w:w="74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jc w:val="right"/>
              <w:ind w:right="671"/>
              <w:spacing w:after="0"/>
              <w:rPr>
                <w:sz w:val="20"/>
                <w:szCs w:val="20"/>
                <w:color w:val="auto"/>
              </w:rPr>
            </w:pPr>
            <w:r>
              <w:rPr>
                <w:rFonts w:ascii="Arial" w:cs="Arial" w:eastAsia="Arial" w:hAnsi="Arial"/>
                <w:sz w:val="14"/>
                <w:szCs w:val="14"/>
                <w:b w:val="1"/>
                <w:bCs w:val="1"/>
                <w:color w:val="auto"/>
              </w:rPr>
              <w:t>April 30,</w:t>
            </w:r>
          </w:p>
        </w:tc>
        <w:tc>
          <w:tcPr>
            <w:tcW w:w="840" w:type="dxa"/>
            <w:vAlign w:val="bottom"/>
            <w:tcBorders>
              <w:bottom w:val="single" w:sz="8" w:color="auto"/>
            </w:tcBorders>
          </w:tcPr>
          <w:p>
            <w:pPr>
              <w:spacing w:after="0"/>
              <w:rPr>
                <w:sz w:val="17"/>
                <w:szCs w:val="17"/>
                <w:color w:val="auto"/>
              </w:rPr>
            </w:pPr>
          </w:p>
        </w:tc>
      </w:tr>
      <w:tr>
        <w:trPr>
          <w:trHeight w:val="215"/>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2025</w:t>
            </w:r>
          </w:p>
        </w:tc>
        <w:tc>
          <w:tcPr>
            <w:tcW w:w="10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r>
      <w:tr>
        <w:trPr>
          <w:trHeight w:val="216"/>
        </w:trPr>
        <w:tc>
          <w:tcPr>
            <w:tcW w:w="740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68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680" w:type="dxa"/>
            <w:vAlign w:val="bottom"/>
          </w:tcPr>
          <w:p>
            <w:pPr>
              <w:jc w:val="right"/>
              <w:ind w:right="511"/>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71"/>
              <w:spacing w:after="0"/>
              <w:rPr>
                <w:sz w:val="20"/>
                <w:szCs w:val="20"/>
                <w:color w:val="auto"/>
              </w:rPr>
            </w:pPr>
            <w:r>
              <w:rPr>
                <w:rFonts w:ascii="Arial" w:cs="Arial" w:eastAsia="Arial" w:hAnsi="Arial"/>
                <w:sz w:val="14"/>
                <w:szCs w:val="14"/>
                <w:color w:val="auto"/>
              </w:rPr>
              <w:t>9.2</w:t>
            </w:r>
          </w:p>
        </w:tc>
        <w:tc>
          <w:tcPr>
            <w:tcW w:w="1020" w:type="dxa"/>
            <w:vAlign w:val="bottom"/>
          </w:tcPr>
          <w:p>
            <w:pPr>
              <w:jc w:val="right"/>
              <w:ind w:right="67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Adjustments to reconcile net income to net cash (used in) provided by operating activities:</w:t>
            </w:r>
          </w:p>
        </w:tc>
        <w:tc>
          <w:tcPr>
            <w:tcW w:w="6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spacing w:after="0"/>
              <w:rPr>
                <w:sz w:val="17"/>
                <w:szCs w:val="17"/>
                <w:color w:val="auto"/>
              </w:rPr>
            </w:pPr>
          </w:p>
        </w:tc>
      </w:tr>
      <w:tr>
        <w:trPr>
          <w:trHeight w:val="199"/>
        </w:trPr>
        <w:tc>
          <w:tcPr>
            <w:tcW w:w="7400" w:type="dxa"/>
            <w:vAlign w:val="bottom"/>
          </w:tcPr>
          <w:p>
            <w:pPr>
              <w:ind w:left="440"/>
              <w:spacing w:after="0"/>
              <w:rPr>
                <w:sz w:val="20"/>
                <w:szCs w:val="20"/>
                <w:color w:val="auto"/>
              </w:rPr>
            </w:pPr>
            <w:r>
              <w:rPr>
                <w:rFonts w:ascii="Arial" w:cs="Arial" w:eastAsia="Arial" w:hAnsi="Arial"/>
                <w:sz w:val="14"/>
                <w:szCs w:val="14"/>
                <w:color w:val="auto"/>
              </w:rPr>
              <w:t>Depreciation and amortization</w:t>
            </w:r>
          </w:p>
        </w:tc>
        <w:tc>
          <w:tcPr>
            <w:tcW w:w="680" w:type="dxa"/>
            <w:vAlign w:val="bottom"/>
          </w:tcPr>
          <w:p>
            <w:pPr>
              <w:spacing w:after="0"/>
              <w:rPr>
                <w:sz w:val="17"/>
                <w:szCs w:val="17"/>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color w:val="auto"/>
              </w:rPr>
              <w:t>15.7</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18.6</w:t>
            </w: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4"/>
                <w:szCs w:val="14"/>
                <w:color w:val="auto"/>
              </w:rPr>
              <w:t>Amortization of debt issuance costs</w:t>
            </w:r>
          </w:p>
        </w:tc>
        <w:tc>
          <w:tcPr>
            <w:tcW w:w="6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0.1</w:t>
            </w:r>
          </w:p>
        </w:tc>
        <w:tc>
          <w:tcPr>
            <w:tcW w:w="10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0.1</w:t>
            </w:r>
          </w:p>
        </w:tc>
      </w:tr>
      <w:tr>
        <w:trPr>
          <w:trHeight w:val="199"/>
        </w:trPr>
        <w:tc>
          <w:tcPr>
            <w:tcW w:w="7400" w:type="dxa"/>
            <w:vAlign w:val="bottom"/>
          </w:tcPr>
          <w:p>
            <w:pPr>
              <w:ind w:left="440"/>
              <w:spacing w:after="0"/>
              <w:rPr>
                <w:sz w:val="20"/>
                <w:szCs w:val="20"/>
                <w:color w:val="auto"/>
              </w:rPr>
            </w:pPr>
            <w:r>
              <w:rPr>
                <w:rFonts w:ascii="Arial" w:cs="Arial" w:eastAsia="Arial" w:hAnsi="Arial"/>
                <w:sz w:val="14"/>
                <w:szCs w:val="14"/>
                <w:color w:val="auto"/>
              </w:rPr>
              <w:t>Equity method income</w:t>
            </w:r>
          </w:p>
        </w:tc>
        <w:tc>
          <w:tcPr>
            <w:tcW w:w="680" w:type="dxa"/>
            <w:vAlign w:val="bottom"/>
          </w:tcPr>
          <w:p>
            <w:pPr>
              <w:spacing w:after="0"/>
              <w:rPr>
                <w:sz w:val="17"/>
                <w:szCs w:val="17"/>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(1.7)</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4"/>
                <w:szCs w:val="14"/>
                <w:color w:val="auto"/>
              </w:rPr>
              <w:t>Noncash lease expense</w:t>
            </w:r>
          </w:p>
        </w:tc>
        <w:tc>
          <w:tcPr>
            <w:tcW w:w="6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3.7</w:t>
            </w:r>
          </w:p>
        </w:tc>
        <w:tc>
          <w:tcPr>
            <w:tcW w:w="10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3.1</w:t>
            </w:r>
          </w:p>
        </w:tc>
      </w:tr>
      <w:tr>
        <w:trPr>
          <w:trHeight w:val="199"/>
        </w:trPr>
        <w:tc>
          <w:tcPr>
            <w:tcW w:w="7400" w:type="dxa"/>
            <w:vAlign w:val="bottom"/>
          </w:tcPr>
          <w:p>
            <w:pPr>
              <w:ind w:left="440"/>
              <w:spacing w:after="0"/>
              <w:rPr>
                <w:sz w:val="20"/>
                <w:szCs w:val="20"/>
                <w:color w:val="auto"/>
              </w:rPr>
            </w:pPr>
            <w:r>
              <w:rPr>
                <w:rFonts w:ascii="Arial" w:cs="Arial" w:eastAsia="Arial" w:hAnsi="Arial"/>
                <w:sz w:val="14"/>
                <w:szCs w:val="14"/>
                <w:color w:val="auto"/>
              </w:rPr>
              <w:t>Stock-based compensation</w:t>
            </w:r>
          </w:p>
        </w:tc>
        <w:tc>
          <w:tcPr>
            <w:tcW w:w="680" w:type="dxa"/>
            <w:vAlign w:val="bottom"/>
          </w:tcPr>
          <w:p>
            <w:pPr>
              <w:spacing w:after="0"/>
              <w:rPr>
                <w:sz w:val="17"/>
                <w:szCs w:val="17"/>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color w:val="auto"/>
              </w:rPr>
              <w:t>3.9</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4"/>
                <w:szCs w:val="14"/>
                <w:color w:val="auto"/>
              </w:rPr>
              <w:t>Dividends received from equity method investees</w:t>
            </w:r>
          </w:p>
        </w:tc>
        <w:tc>
          <w:tcPr>
            <w:tcW w:w="6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2.2</w:t>
            </w:r>
          </w:p>
        </w:tc>
        <w:tc>
          <w:tcPr>
            <w:tcW w:w="10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3.2</w:t>
            </w:r>
          </w:p>
        </w:tc>
      </w:tr>
      <w:tr>
        <w:trPr>
          <w:trHeight w:val="199"/>
        </w:trPr>
        <w:tc>
          <w:tcPr>
            <w:tcW w:w="7400" w:type="dxa"/>
            <w:vAlign w:val="bottom"/>
          </w:tcPr>
          <w:p>
            <w:pPr>
              <w:ind w:left="440"/>
              <w:spacing w:after="0"/>
              <w:rPr>
                <w:sz w:val="20"/>
                <w:szCs w:val="20"/>
                <w:color w:val="auto"/>
              </w:rPr>
            </w:pPr>
            <w:r>
              <w:rPr>
                <w:rFonts w:ascii="Arial" w:cs="Arial" w:eastAsia="Arial" w:hAnsi="Arial"/>
                <w:sz w:val="14"/>
                <w:szCs w:val="14"/>
                <w:color w:val="auto"/>
              </w:rPr>
              <w:t>Losses on asset impairment, disposals and sales</w:t>
            </w:r>
          </w:p>
        </w:tc>
        <w:tc>
          <w:tcPr>
            <w:tcW w:w="680" w:type="dxa"/>
            <w:vAlign w:val="bottom"/>
          </w:tcPr>
          <w:p>
            <w:pPr>
              <w:spacing w:after="0"/>
              <w:rPr>
                <w:sz w:val="17"/>
                <w:szCs w:val="17"/>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color w:val="auto"/>
              </w:rPr>
              <w:t>1.8</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4"/>
                <w:szCs w:val="14"/>
                <w:color w:val="auto"/>
              </w:rPr>
              <w:t>Deferred income taxes</w:t>
            </w:r>
          </w:p>
        </w:tc>
        <w:tc>
          <w:tcPr>
            <w:tcW w:w="6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(0.2)</w:t>
            </w:r>
          </w:p>
        </w:tc>
        <w:tc>
          <w:tcPr>
            <w:tcW w:w="10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w:t>
            </w:r>
          </w:p>
        </w:tc>
      </w:tr>
      <w:tr>
        <w:trPr>
          <w:trHeight w:val="199"/>
        </w:trPr>
        <w:tc>
          <w:tcPr>
            <w:tcW w:w="7400" w:type="dxa"/>
            <w:vAlign w:val="bottom"/>
          </w:tcPr>
          <w:p>
            <w:pPr>
              <w:ind w:left="440"/>
              <w:spacing w:after="0"/>
              <w:rPr>
                <w:sz w:val="20"/>
                <w:szCs w:val="20"/>
                <w:color w:val="auto"/>
              </w:rPr>
            </w:pPr>
            <w:r>
              <w:rPr>
                <w:rFonts w:ascii="Arial" w:cs="Arial" w:eastAsia="Arial" w:hAnsi="Arial"/>
                <w:sz w:val="14"/>
                <w:szCs w:val="14"/>
                <w:color w:val="auto"/>
              </w:rPr>
              <w:t>Unrealized gain on derivative financial instruments</w:t>
            </w:r>
          </w:p>
        </w:tc>
        <w:tc>
          <w:tcPr>
            <w:tcW w:w="680" w:type="dxa"/>
            <w:vAlign w:val="bottom"/>
          </w:tcPr>
          <w:p>
            <w:pPr>
              <w:spacing w:after="0"/>
              <w:rPr>
                <w:sz w:val="17"/>
                <w:szCs w:val="17"/>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color w:val="auto"/>
              </w:rPr>
              <w:t>0.1</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4"/>
                <w:szCs w:val="14"/>
                <w:color w:val="auto"/>
              </w:rPr>
              <w:t>Other</w:t>
            </w:r>
          </w:p>
        </w:tc>
        <w:tc>
          <w:tcPr>
            <w:tcW w:w="6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0.2</w:t>
            </w:r>
          </w:p>
        </w:tc>
        <w:tc>
          <w:tcPr>
            <w:tcW w:w="10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w:t>
            </w: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Effect on cash of changes in operating assets and liabilities:</w:t>
            </w:r>
          </w:p>
        </w:tc>
        <w:tc>
          <w:tcPr>
            <w:tcW w:w="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4"/>
                <w:szCs w:val="14"/>
                <w:color w:val="auto"/>
              </w:rPr>
              <w:t>Trade accounts receivable</w:t>
            </w:r>
          </w:p>
        </w:tc>
        <w:tc>
          <w:tcPr>
            <w:tcW w:w="6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(18.3)</w:t>
            </w:r>
          </w:p>
        </w:tc>
        <w:tc>
          <w:tcPr>
            <w:tcW w:w="10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(25.2)</w:t>
            </w:r>
          </w:p>
        </w:tc>
      </w:tr>
      <w:tr>
        <w:trPr>
          <w:trHeight w:val="199"/>
        </w:trPr>
        <w:tc>
          <w:tcPr>
            <w:tcW w:w="7400" w:type="dxa"/>
            <w:vAlign w:val="bottom"/>
          </w:tcPr>
          <w:p>
            <w:pPr>
              <w:ind w:left="440"/>
              <w:spacing w:after="0"/>
              <w:rPr>
                <w:sz w:val="20"/>
                <w:szCs w:val="20"/>
                <w:color w:val="auto"/>
              </w:rPr>
            </w:pPr>
            <w:r>
              <w:rPr>
                <w:rFonts w:ascii="Arial" w:cs="Arial" w:eastAsia="Arial" w:hAnsi="Arial"/>
                <w:sz w:val="14"/>
                <w:szCs w:val="14"/>
                <w:color w:val="auto"/>
              </w:rPr>
              <w:t>Grower fruit advances</w:t>
            </w:r>
          </w:p>
        </w:tc>
        <w:tc>
          <w:tcPr>
            <w:tcW w:w="680" w:type="dxa"/>
            <w:vAlign w:val="bottom"/>
          </w:tcPr>
          <w:p>
            <w:pPr>
              <w:spacing w:after="0"/>
              <w:rPr>
                <w:sz w:val="17"/>
                <w:szCs w:val="17"/>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(2.1)</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4"/>
                <w:szCs w:val="14"/>
                <w:color w:val="auto"/>
              </w:rPr>
              <w:t>Other receivables</w:t>
            </w:r>
          </w:p>
        </w:tc>
        <w:tc>
          <w:tcPr>
            <w:tcW w:w="6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2.3</w:t>
            </w:r>
          </w:p>
        </w:tc>
        <w:tc>
          <w:tcPr>
            <w:tcW w:w="10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(0.5)</w:t>
            </w:r>
          </w:p>
        </w:tc>
      </w:tr>
      <w:tr>
        <w:trPr>
          <w:trHeight w:val="199"/>
        </w:trPr>
        <w:tc>
          <w:tcPr>
            <w:tcW w:w="7400" w:type="dxa"/>
            <w:vAlign w:val="bottom"/>
          </w:tcPr>
          <w:p>
            <w:pPr>
              <w:ind w:left="440"/>
              <w:spacing w:after="0"/>
              <w:rPr>
                <w:sz w:val="20"/>
                <w:szCs w:val="20"/>
                <w:color w:val="auto"/>
              </w:rPr>
            </w:pPr>
            <w:r>
              <w:rPr>
                <w:rFonts w:ascii="Arial" w:cs="Arial" w:eastAsia="Arial" w:hAnsi="Arial"/>
                <w:sz w:val="14"/>
                <w:szCs w:val="14"/>
                <w:color w:val="auto"/>
              </w:rPr>
              <w:t>Inventory</w:t>
            </w:r>
          </w:p>
        </w:tc>
        <w:tc>
          <w:tcPr>
            <w:tcW w:w="680" w:type="dxa"/>
            <w:vAlign w:val="bottom"/>
          </w:tcPr>
          <w:p>
            <w:pPr>
              <w:spacing w:after="0"/>
              <w:rPr>
                <w:sz w:val="17"/>
                <w:szCs w:val="17"/>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(19.3)</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w:t>
            </w: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4"/>
                <w:szCs w:val="14"/>
                <w:color w:val="auto"/>
              </w:rPr>
              <w:t>Prepaid expenses and other current assets</w:t>
            </w:r>
          </w:p>
        </w:tc>
        <w:tc>
          <w:tcPr>
            <w:tcW w:w="6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1.2</w:t>
            </w:r>
          </w:p>
        </w:tc>
        <w:tc>
          <w:tcPr>
            <w:tcW w:w="10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0.9</w:t>
            </w:r>
          </w:p>
        </w:tc>
      </w:tr>
      <w:tr>
        <w:trPr>
          <w:trHeight w:val="199"/>
        </w:trPr>
        <w:tc>
          <w:tcPr>
            <w:tcW w:w="7400" w:type="dxa"/>
            <w:vAlign w:val="bottom"/>
          </w:tcPr>
          <w:p>
            <w:pPr>
              <w:ind w:left="440"/>
              <w:spacing w:after="0"/>
              <w:rPr>
                <w:sz w:val="20"/>
                <w:szCs w:val="20"/>
                <w:color w:val="auto"/>
              </w:rPr>
            </w:pPr>
            <w:r>
              <w:rPr>
                <w:rFonts w:ascii="Arial" w:cs="Arial" w:eastAsia="Arial" w:hAnsi="Arial"/>
                <w:sz w:val="14"/>
                <w:szCs w:val="14"/>
                <w:color w:val="auto"/>
              </w:rPr>
              <w:t>Income taxes receivable</w:t>
            </w:r>
          </w:p>
        </w:tc>
        <w:tc>
          <w:tcPr>
            <w:tcW w:w="680" w:type="dxa"/>
            <w:vAlign w:val="bottom"/>
          </w:tcPr>
          <w:p>
            <w:pPr>
              <w:spacing w:after="0"/>
              <w:rPr>
                <w:sz w:val="17"/>
                <w:szCs w:val="17"/>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color w:val="auto"/>
              </w:rPr>
              <w:t>0.2</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4"/>
                <w:szCs w:val="14"/>
                <w:color w:val="auto"/>
              </w:rPr>
              <w:t>Other assets</w:t>
            </w:r>
          </w:p>
        </w:tc>
        <w:tc>
          <w:tcPr>
            <w:tcW w:w="6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(7.7)</w:t>
            </w:r>
          </w:p>
        </w:tc>
        <w:tc>
          <w:tcPr>
            <w:tcW w:w="10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0.3</w:t>
            </w:r>
          </w:p>
        </w:tc>
      </w:tr>
      <w:tr>
        <w:trPr>
          <w:trHeight w:val="199"/>
        </w:trPr>
        <w:tc>
          <w:tcPr>
            <w:tcW w:w="7400" w:type="dxa"/>
            <w:vAlign w:val="bottom"/>
          </w:tcPr>
          <w:p>
            <w:pPr>
              <w:ind w:left="440"/>
              <w:spacing w:after="0"/>
              <w:rPr>
                <w:sz w:val="20"/>
                <w:szCs w:val="20"/>
                <w:color w:val="auto"/>
              </w:rPr>
            </w:pPr>
            <w:r>
              <w:rPr>
                <w:rFonts w:ascii="Arial" w:cs="Arial" w:eastAsia="Arial" w:hAnsi="Arial"/>
                <w:sz w:val="14"/>
                <w:szCs w:val="14"/>
                <w:color w:val="auto"/>
              </w:rPr>
              <w:t>Accounts payable and accrued expenses</w:t>
            </w:r>
          </w:p>
        </w:tc>
        <w:tc>
          <w:tcPr>
            <w:tcW w:w="680" w:type="dxa"/>
            <w:vAlign w:val="bottom"/>
          </w:tcPr>
          <w:p>
            <w:pPr>
              <w:spacing w:after="0"/>
              <w:rPr>
                <w:sz w:val="17"/>
                <w:szCs w:val="17"/>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color w:val="auto"/>
              </w:rPr>
              <w:t>1.5</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4"/>
                <w:szCs w:val="14"/>
                <w:color w:val="auto"/>
              </w:rPr>
              <w:t>Income taxes payable</w:t>
            </w:r>
          </w:p>
        </w:tc>
        <w:tc>
          <w:tcPr>
            <w:tcW w:w="6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(7.7)</w:t>
            </w:r>
          </w:p>
        </w:tc>
        <w:tc>
          <w:tcPr>
            <w:tcW w:w="10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(0.9)</w:t>
            </w:r>
          </w:p>
        </w:tc>
      </w:tr>
      <w:tr>
        <w:trPr>
          <w:trHeight w:val="199"/>
        </w:trPr>
        <w:tc>
          <w:tcPr>
            <w:tcW w:w="7400" w:type="dxa"/>
            <w:vAlign w:val="bottom"/>
          </w:tcPr>
          <w:p>
            <w:pPr>
              <w:ind w:left="440"/>
              <w:spacing w:after="0"/>
              <w:rPr>
                <w:sz w:val="20"/>
                <w:szCs w:val="20"/>
                <w:color w:val="auto"/>
              </w:rPr>
            </w:pPr>
            <w:r>
              <w:rPr>
                <w:rFonts w:ascii="Arial" w:cs="Arial" w:eastAsia="Arial" w:hAnsi="Arial"/>
                <w:sz w:val="14"/>
                <w:szCs w:val="14"/>
                <w:color w:val="auto"/>
              </w:rPr>
              <w:t>Grower payables</w:t>
            </w:r>
          </w:p>
        </w:tc>
        <w:tc>
          <w:tcPr>
            <w:tcW w:w="680" w:type="dxa"/>
            <w:vAlign w:val="bottom"/>
          </w:tcPr>
          <w:p>
            <w:pPr>
              <w:spacing w:after="0"/>
              <w:rPr>
                <w:sz w:val="17"/>
                <w:szCs w:val="17"/>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color w:val="auto"/>
              </w:rPr>
              <w:t>8.3</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22.5</w:t>
            </w: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4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4"/>
                <w:szCs w:val="14"/>
                <w:color w:val="auto"/>
              </w:rPr>
              <w:t>Operating lease liabilities</w:t>
            </w:r>
          </w:p>
        </w:tc>
        <w:tc>
          <w:tcPr>
            <w:tcW w:w="6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(3.6)</w:t>
            </w:r>
          </w:p>
        </w:tc>
        <w:tc>
          <w:tcPr>
            <w:tcW w:w="10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(3.0)</w:t>
            </w:r>
          </w:p>
        </w:tc>
      </w:tr>
      <w:tr>
        <w:trPr>
          <w:trHeight w:val="199"/>
        </w:trPr>
        <w:tc>
          <w:tcPr>
            <w:tcW w:w="7400" w:type="dxa"/>
            <w:vAlign w:val="bottom"/>
          </w:tcPr>
          <w:p>
            <w:pPr>
              <w:ind w:left="440"/>
              <w:spacing w:after="0"/>
              <w:rPr>
                <w:sz w:val="20"/>
                <w:szCs w:val="20"/>
                <w:color w:val="auto"/>
              </w:rPr>
            </w:pPr>
            <w:r>
              <w:rPr>
                <w:rFonts w:ascii="Arial" w:cs="Arial" w:eastAsia="Arial" w:hAnsi="Arial"/>
                <w:sz w:val="14"/>
                <w:szCs w:val="14"/>
                <w:color w:val="auto"/>
              </w:rPr>
              <w:t>Other long-term liabilities</w:t>
            </w:r>
          </w:p>
        </w:tc>
        <w:tc>
          <w:tcPr>
            <w:tcW w:w="680" w:type="dxa"/>
            <w:vAlign w:val="bottom"/>
          </w:tcPr>
          <w:p>
            <w:pPr>
              <w:spacing w:after="0"/>
              <w:rPr>
                <w:sz w:val="17"/>
                <w:szCs w:val="17"/>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(2.8)</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2"/>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68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(13.0)</w:t>
            </w:r>
          </w:p>
        </w:tc>
        <w:tc>
          <w:tcPr>
            <w:tcW w:w="1020" w:type="dxa"/>
            <w:vAlign w:val="bottom"/>
            <w:tcBorders>
              <w:bottom w:val="single" w:sz="8" w:color="DBDBDB"/>
            </w:tcBorders>
            <w:shd w:val="clear" w:color="auto" w:fill="DBDBDB"/>
          </w:tcPr>
          <w:p>
            <w:pPr>
              <w:jc w:val="right"/>
              <w:ind w:right="67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12.9</w:t>
            </w:r>
          </w:p>
        </w:tc>
      </w:tr>
      <w:tr>
        <w:trPr>
          <w:trHeight w:val="212"/>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6"/>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6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(28.0)</w:t>
            </w:r>
          </w:p>
        </w:tc>
        <w:tc>
          <w:tcPr>
            <w:tcW w:w="10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(17.7)</w:t>
            </w: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Investment in equity method investees</w:t>
            </w:r>
          </w:p>
        </w:tc>
        <w:tc>
          <w:tcPr>
            <w:tcW w:w="680" w:type="dxa"/>
            <w:vAlign w:val="bottom"/>
          </w:tcPr>
          <w:p>
            <w:pPr>
              <w:spacing w:after="0"/>
              <w:rPr>
                <w:sz w:val="17"/>
                <w:szCs w:val="17"/>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4"/>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w:t>
            </w:r>
          </w:p>
        </w:tc>
        <w:tc>
          <w:tcPr>
            <w:tcW w:w="680" w:type="dxa"/>
            <w:vAlign w:val="bottom"/>
            <w:tcBorders>
              <w:bottom w:val="single" w:sz="8" w:color="DBDBDB"/>
            </w:tcBorders>
            <w:shd w:val="clear" w:color="auto" w:fill="DBDBDB"/>
          </w:tcPr>
          <w:p>
            <w:pPr>
              <w:spacing w:after="0"/>
              <w:rPr>
                <w:sz w:val="19"/>
                <w:szCs w:val="19"/>
                <w:color w:val="auto"/>
              </w:rPr>
            </w:pPr>
          </w:p>
        </w:tc>
        <w:tc>
          <w:tcPr>
            <w:tcW w:w="11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(0.2)</w:t>
            </w:r>
          </w:p>
        </w:tc>
        <w:tc>
          <w:tcPr>
            <w:tcW w:w="1020" w:type="dxa"/>
            <w:vAlign w:val="bottom"/>
            <w:tcBorders>
              <w:bottom w:val="single" w:sz="8" w:color="DBDBDB"/>
            </w:tcBorders>
            <w:shd w:val="clear" w:color="auto" w:fill="DBDBDB"/>
          </w:tcPr>
          <w:p>
            <w:pPr>
              <w:spacing w:after="0"/>
              <w:rPr>
                <w:sz w:val="19"/>
                <w:szCs w:val="19"/>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cash used in investing activities</w:t>
            </w:r>
          </w:p>
        </w:tc>
        <w:tc>
          <w:tcPr>
            <w:tcW w:w="680" w:type="dxa"/>
            <w:vAlign w:val="bottom"/>
            <w:tcBorders>
              <w:top w:val="single" w:sz="8" w:color="auto"/>
            </w:tcBorders>
          </w:tcPr>
          <w:p>
            <w:pPr>
              <w:jc w:val="right"/>
              <w:ind w:right="511"/>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(28.2)</w:t>
            </w:r>
          </w:p>
        </w:tc>
        <w:tc>
          <w:tcPr>
            <w:tcW w:w="1020" w:type="dxa"/>
            <w:vAlign w:val="bottom"/>
            <w:tcBorders>
              <w:top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(18.3)</w:t>
            </w: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9"/>
        </w:trPr>
        <w:tc>
          <w:tcPr>
            <w:tcW w:w="740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6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Borrowings on revolving credit facility</w:t>
            </w:r>
          </w:p>
        </w:tc>
        <w:tc>
          <w:tcPr>
            <w:tcW w:w="680" w:type="dxa"/>
            <w:vAlign w:val="bottom"/>
          </w:tcPr>
          <w:p>
            <w:pPr>
              <w:spacing w:after="0"/>
              <w:rPr>
                <w:sz w:val="17"/>
                <w:szCs w:val="17"/>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color w:val="auto"/>
              </w:rPr>
              <w:t>55.0</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Payments on revolving credit facility</w:t>
            </w:r>
          </w:p>
        </w:tc>
        <w:tc>
          <w:tcPr>
            <w:tcW w:w="6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(20.0)</w:t>
            </w:r>
          </w:p>
        </w:tc>
        <w:tc>
          <w:tcPr>
            <w:tcW w:w="10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(20.0)</w:t>
            </w: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Repayment of short-term borrowings</w:t>
            </w:r>
          </w:p>
        </w:tc>
        <w:tc>
          <w:tcPr>
            <w:tcW w:w="680" w:type="dxa"/>
            <w:vAlign w:val="bottom"/>
          </w:tcPr>
          <w:p>
            <w:pPr>
              <w:spacing w:after="0"/>
              <w:rPr>
                <w:sz w:val="17"/>
                <w:szCs w:val="17"/>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(3.5)</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Principal payments on long-term debt obligations</w:t>
            </w:r>
          </w:p>
        </w:tc>
        <w:tc>
          <w:tcPr>
            <w:tcW w:w="6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(1.5)</w:t>
            </w:r>
          </w:p>
        </w:tc>
        <w:tc>
          <w:tcPr>
            <w:tcW w:w="10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(1.8)</w:t>
            </w: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Principal payments on finance lease obligations</w:t>
            </w:r>
          </w:p>
        </w:tc>
        <w:tc>
          <w:tcPr>
            <w:tcW w:w="680" w:type="dxa"/>
            <w:vAlign w:val="bottom"/>
          </w:tcPr>
          <w:p>
            <w:pPr>
              <w:spacing w:after="0"/>
              <w:rPr>
                <w:sz w:val="17"/>
                <w:szCs w:val="17"/>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(0.5)</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Payments for long-term supplier financing</w:t>
            </w:r>
          </w:p>
        </w:tc>
        <w:tc>
          <w:tcPr>
            <w:tcW w:w="6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(0.3)</w:t>
            </w:r>
          </w:p>
        </w:tc>
        <w:tc>
          <w:tcPr>
            <w:tcW w:w="10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(0.3)</w:t>
            </w: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Payments to noncontrolling interest holder for long-term supply financing</w:t>
            </w:r>
          </w:p>
        </w:tc>
        <w:tc>
          <w:tcPr>
            <w:tcW w:w="680" w:type="dxa"/>
            <w:vAlign w:val="bottom"/>
          </w:tcPr>
          <w:p>
            <w:pPr>
              <w:spacing w:after="0"/>
              <w:rPr>
                <w:sz w:val="17"/>
                <w:szCs w:val="17"/>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(1.4)</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Principal payments on loans due to noncontrolling interest holder</w:t>
            </w:r>
          </w:p>
        </w:tc>
        <w:tc>
          <w:tcPr>
            <w:tcW w:w="6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(0.5)</w:t>
            </w: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Payments of minimum withholding taxes on net share settlement of equity awards</w:t>
            </w:r>
          </w:p>
        </w:tc>
        <w:tc>
          <w:tcPr>
            <w:tcW w:w="680" w:type="dxa"/>
            <w:vAlign w:val="bottom"/>
          </w:tcPr>
          <w:p>
            <w:pPr>
              <w:spacing w:after="0"/>
              <w:rPr>
                <w:sz w:val="17"/>
                <w:szCs w:val="17"/>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(1.5)</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Exercise of stock options</w:t>
            </w:r>
          </w:p>
        </w:tc>
        <w:tc>
          <w:tcPr>
            <w:tcW w:w="6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0.3</w:t>
            </w:r>
          </w:p>
        </w:tc>
        <w:tc>
          <w:tcPr>
            <w:tcW w:w="10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Purchase and retirement of common stock</w:t>
            </w:r>
          </w:p>
        </w:tc>
        <w:tc>
          <w:tcPr>
            <w:tcW w:w="680" w:type="dxa"/>
            <w:vAlign w:val="bottom"/>
          </w:tcPr>
          <w:p>
            <w:pPr>
              <w:spacing w:after="0"/>
              <w:rPr>
                <w:sz w:val="17"/>
                <w:szCs w:val="17"/>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(5.5)</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2"/>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68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21.1</w:t>
            </w:r>
          </w:p>
        </w:tc>
        <w:tc>
          <w:tcPr>
            <w:tcW w:w="1020" w:type="dxa"/>
            <w:vAlign w:val="bottom"/>
            <w:tcBorders>
              <w:bottom w:val="single" w:sz="8" w:color="DBDBDB"/>
            </w:tcBorders>
            <w:shd w:val="clear" w:color="auto" w:fill="DBDBDB"/>
          </w:tcPr>
          <w:p>
            <w:pPr>
              <w:jc w:val="right"/>
              <w:ind w:right="67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9.3</w:t>
            </w: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680" w:type="dxa"/>
            <w:vAlign w:val="bottom"/>
          </w:tcPr>
          <w:p>
            <w:pPr>
              <w:spacing w:after="0"/>
              <w:rPr>
                <w:sz w:val="17"/>
                <w:szCs w:val="17"/>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(0.2)</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2"/>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68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(20.3)</w:t>
            </w:r>
          </w:p>
        </w:tc>
        <w:tc>
          <w:tcPr>
            <w:tcW w:w="102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4.0</w:t>
            </w: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680" w:type="dxa"/>
            <w:vAlign w:val="bottom"/>
          </w:tcPr>
          <w:p>
            <w:pPr>
              <w:spacing w:after="0"/>
              <w:rPr>
                <w:sz w:val="17"/>
                <w:szCs w:val="17"/>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color w:val="auto"/>
              </w:rPr>
              <w:t>59.3</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43.2</w:t>
            </w: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2"/>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68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39.0</w:t>
            </w:r>
          </w:p>
        </w:tc>
        <w:tc>
          <w:tcPr>
            <w:tcW w:w="1020" w:type="dxa"/>
            <w:vAlign w:val="bottom"/>
            <w:tcBorders>
              <w:bottom w:val="single" w:sz="8" w:color="DBDBDB"/>
            </w:tcBorders>
            <w:shd w:val="clear" w:color="auto" w:fill="DBDBDB"/>
          </w:tcPr>
          <w:p>
            <w:pPr>
              <w:jc w:val="right"/>
              <w:ind w:right="67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47.2</w:t>
            </w:r>
          </w:p>
        </w:tc>
      </w:tr>
      <w:tr>
        <w:trPr>
          <w:trHeight w:val="20"/>
        </w:trPr>
        <w:tc>
          <w:tcPr>
            <w:tcW w:w="7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20" w:top="1358"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358" w:right="45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68"/>
        </w:trPr>
        <w:tc>
          <w:tcPr>
            <w:tcW w:w="7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0" w:type="dxa"/>
            <w:vAlign w:val="bottom"/>
            <w:gridSpan w:val="2"/>
          </w:tcPr>
          <w:p>
            <w:pPr>
              <w:jc w:val="right"/>
              <w:ind w:right="351"/>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6"/>
        </w:trPr>
        <w:tc>
          <w:tcPr>
            <w:tcW w:w="74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jc w:val="right"/>
              <w:ind w:right="671"/>
              <w:spacing w:after="0"/>
              <w:rPr>
                <w:sz w:val="20"/>
                <w:szCs w:val="20"/>
                <w:color w:val="auto"/>
              </w:rPr>
            </w:pPr>
            <w:r>
              <w:rPr>
                <w:rFonts w:ascii="Arial" w:cs="Arial" w:eastAsia="Arial" w:hAnsi="Arial"/>
                <w:sz w:val="14"/>
                <w:szCs w:val="14"/>
                <w:b w:val="1"/>
                <w:bCs w:val="1"/>
                <w:color w:val="auto"/>
              </w:rPr>
              <w:t>April 30,</w:t>
            </w:r>
          </w:p>
        </w:tc>
        <w:tc>
          <w:tcPr>
            <w:tcW w:w="840" w:type="dxa"/>
            <w:vAlign w:val="bottom"/>
            <w:tcBorders>
              <w:bottom w:val="single" w:sz="8" w:color="auto"/>
            </w:tcBorders>
          </w:tcPr>
          <w:p>
            <w:pPr>
              <w:spacing w:after="0"/>
              <w:rPr>
                <w:sz w:val="17"/>
                <w:szCs w:val="17"/>
                <w:color w:val="auto"/>
              </w:rPr>
            </w:pPr>
          </w:p>
        </w:tc>
      </w:tr>
      <w:tr>
        <w:trPr>
          <w:trHeight w:val="215"/>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2025</w:t>
            </w:r>
          </w:p>
        </w:tc>
        <w:tc>
          <w:tcPr>
            <w:tcW w:w="10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r>
      <w:tr>
        <w:trPr>
          <w:trHeight w:val="242"/>
        </w:trPr>
        <w:tc>
          <w:tcPr>
            <w:tcW w:w="7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184"/>
        </w:trPr>
        <w:tc>
          <w:tcPr>
            <w:tcW w:w="740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Summary of cash, cash equivalents and restricted cash reported within the condensed consolidated balance</w:t>
            </w:r>
          </w:p>
        </w:tc>
        <w:tc>
          <w:tcPr>
            <w:tcW w:w="68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r>
      <w:tr>
        <w:trPr>
          <w:trHeight w:val="203"/>
        </w:trPr>
        <w:tc>
          <w:tcPr>
            <w:tcW w:w="740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sheets:</w:t>
            </w:r>
          </w:p>
        </w:tc>
        <w:tc>
          <w:tcPr>
            <w:tcW w:w="68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680" w:type="dxa"/>
            <w:vAlign w:val="bottom"/>
          </w:tcPr>
          <w:p>
            <w:pPr>
              <w:jc w:val="right"/>
              <w:ind w:right="511"/>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51"/>
              <w:spacing w:after="0"/>
              <w:rPr>
                <w:sz w:val="20"/>
                <w:szCs w:val="20"/>
                <w:color w:val="auto"/>
              </w:rPr>
            </w:pPr>
            <w:r>
              <w:rPr>
                <w:rFonts w:ascii="Arial" w:cs="Arial" w:eastAsia="Arial" w:hAnsi="Arial"/>
                <w:sz w:val="14"/>
                <w:szCs w:val="14"/>
                <w:color w:val="auto"/>
              </w:rPr>
              <w:t>36.7</w:t>
            </w:r>
          </w:p>
        </w:tc>
        <w:tc>
          <w:tcPr>
            <w:tcW w:w="1040" w:type="dxa"/>
            <w:vAlign w:val="bottom"/>
          </w:tcPr>
          <w:p>
            <w:pPr>
              <w:jc w:val="right"/>
              <w:ind w:right="67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46.2</w:t>
            </w: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4"/>
        </w:trPr>
        <w:tc>
          <w:tcPr>
            <w:tcW w:w="7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Restricted cash</w:t>
            </w:r>
          </w:p>
        </w:tc>
        <w:tc>
          <w:tcPr>
            <w:tcW w:w="68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151"/>
              <w:spacing w:after="0"/>
              <w:rPr>
                <w:sz w:val="20"/>
                <w:szCs w:val="20"/>
                <w:color w:val="auto"/>
              </w:rPr>
            </w:pPr>
            <w:r>
              <w:rPr>
                <w:rFonts w:ascii="Arial" w:cs="Arial" w:eastAsia="Arial" w:hAnsi="Arial"/>
                <w:sz w:val="14"/>
                <w:szCs w:val="14"/>
                <w:color w:val="auto"/>
              </w:rPr>
              <w:t>2.3</w:t>
            </w:r>
          </w:p>
        </w:tc>
        <w:tc>
          <w:tcPr>
            <w:tcW w:w="1040" w:type="dxa"/>
            <w:vAlign w:val="bottom"/>
            <w:tcBorders>
              <w:bottom w:val="single" w:sz="8" w:color="DBDBDB"/>
            </w:tcBorders>
            <w:shd w:val="clear" w:color="auto" w:fill="DBDBDB"/>
          </w:tcPr>
          <w:p>
            <w:pPr>
              <w:spacing w:after="0"/>
              <w:rPr>
                <w:sz w:val="19"/>
                <w:szCs w:val="19"/>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w:t>
            </w:r>
          </w:p>
        </w:tc>
      </w:tr>
      <w:tr>
        <w:trPr>
          <w:trHeight w:val="192"/>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cash, cash equivalents, and restricted cash shown in the condensed consolidated statements of cash flows</w:t>
            </w:r>
          </w:p>
        </w:tc>
        <w:tc>
          <w:tcPr>
            <w:tcW w:w="680" w:type="dxa"/>
            <w:vAlign w:val="bottom"/>
            <w:tcBorders>
              <w:top w:val="single" w:sz="8" w:color="auto"/>
            </w:tcBorders>
          </w:tcPr>
          <w:p>
            <w:pPr>
              <w:jc w:val="right"/>
              <w:ind w:right="511"/>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rPr>
              <w:t>39.0</w:t>
            </w:r>
          </w:p>
        </w:tc>
        <w:tc>
          <w:tcPr>
            <w:tcW w:w="1040" w:type="dxa"/>
            <w:vAlign w:val="bottom"/>
            <w:tcBorders>
              <w:top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47.2</w:t>
            </w: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419" w:right="459" w:bottom="1440" w:gutter="0" w:footer="0" w:header="0"/>
        </w:sectPr>
      </w:pPr>
    </w:p>
    <w:bookmarkStart w:id="10" w:name="page11"/>
    <w:bookmarkEnd w:id="10"/>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 w:hanging="377"/>
        <w:spacing w:after="0"/>
        <w:tabs>
          <w:tab w:leader="none" w:pos="3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General</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21" w:lineRule="exact"/>
        <w:rPr>
          <w:sz w:val="20"/>
          <w:szCs w:val="20"/>
          <w:color w:val="auto"/>
        </w:rPr>
      </w:pPr>
    </w:p>
    <w:p>
      <w:pPr>
        <w:ind w:right="220" w:firstLine="619"/>
        <w:spacing w:after="0" w:line="285" w:lineRule="auto"/>
        <w:rPr>
          <w:sz w:val="20"/>
          <w:szCs w:val="20"/>
          <w:color w:val="auto"/>
        </w:rPr>
      </w:pPr>
      <w:r>
        <w:rPr>
          <w:rFonts w:ascii="Arial" w:cs="Arial" w:eastAsia="Arial" w:hAnsi="Arial"/>
          <w:sz w:val="13"/>
          <w:szCs w:val="13"/>
          <w:color w:val="auto"/>
        </w:rPr>
        <w:t>Mission Produce, Inc. together with its consolidated subsidiaries (“Mission,” “the Company,” “we,” “us” or “our”), is a global leader in the avocado industry. The Company’s expertise lies in the farming, packaging, marketing and distribution of avocados to food retailers, distributors and produce wholesalers worldwide. The Company procures avocados principally from California, Mexico and Peru. Through our various operating facilities, we grow, sort, pack, bag and ripen avocados and a small amount of other fruits for distribution to domestic and international markets. We report our results of operations in three operating segments: Marketing &amp; Distribution, International Farming and Blueberries (see Note 12).</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 and consolidation</w:t>
      </w:r>
    </w:p>
    <w:p>
      <w:pPr>
        <w:spacing w:after="0" w:line="221"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The unaudited interim condensed consolidated financial statements are presented in accordance with accounting principles generally accepted in the United States of America (“U.S. GAAP”) for interim financial information and include the Company’s consolidated domestic and international subsidiaries and variable interest entity (“VIE”) for which we are the primary beneficiary and have a controlling interest. Certain information and disclosures normally included in annual consolidated financial statements prepared in accordance with U.S. GAAP have been condensed or omitted. Accordingly, these unaudited interim condensed consolidated financial statements and accompanying footnotes should be read in conjunction with the Company’s Annual Report for the year ended October 31, 2024. In the opinion of management, all adjustments, of a normal recurring nature, considered necessary for a fair statement have been included in the unaudited condensed consolidated financial statements. Interim results of operations are not necessarily indicative of future results, including results that may be expected for the twelve months ended October 31, 2025.</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standards</w:t>
      </w:r>
    </w:p>
    <w:p>
      <w:pPr>
        <w:spacing w:after="0" w:line="221" w:lineRule="exact"/>
        <w:rPr>
          <w:sz w:val="20"/>
          <w:szCs w:val="20"/>
          <w:color w:val="auto"/>
        </w:rPr>
      </w:pPr>
    </w:p>
    <w:p>
      <w:pPr>
        <w:ind w:right="20" w:firstLine="619"/>
        <w:spacing w:after="0" w:line="251" w:lineRule="auto"/>
        <w:rPr>
          <w:sz w:val="20"/>
          <w:szCs w:val="20"/>
          <w:color w:val="auto"/>
        </w:rPr>
      </w:pPr>
      <w:r>
        <w:rPr>
          <w:rFonts w:ascii="Arial" w:cs="Arial" w:eastAsia="Arial" w:hAnsi="Arial"/>
          <w:sz w:val="14"/>
          <w:szCs w:val="14"/>
          <w:color w:val="auto"/>
        </w:rPr>
        <w:t>In November 2024, and as updated in January 2025, the Financial Accounting Standards Board (“FASB”) issued Accounting Standards Update (“ASU”) 2024-03, Income Statement—Reporting Comprehensive Income—Expense Disaggregation Disclosures. The ASU requires that an entity disclose additional information about specific expense categories in the notes to financial statements at interim and annual reporting periods. This information is generally not presented in the financial statements today. The amendments in this ASU are required to be adopted for fiscal years beginning after December 15, 2026, and interim periods within annual reporting periods beginning after December 15, 2027. Early adoption is permitted. The amendments should be applied either (1) prospectively to financial statements issued for reporting periods after the effective date of this update or (2) retrospectively to any or all prior periods presented in the financial statements. We are currently evaluating the impact of adoption on our financial disclosures.</w:t>
      </w:r>
    </w:p>
    <w:p>
      <w:pPr>
        <w:spacing w:after="0" w:line="189" w:lineRule="exact"/>
        <w:rPr>
          <w:sz w:val="20"/>
          <w:szCs w:val="20"/>
          <w:color w:val="auto"/>
        </w:rPr>
      </w:pPr>
    </w:p>
    <w:p>
      <w:pPr>
        <w:ind w:right="120" w:firstLine="619"/>
        <w:spacing w:after="0" w:line="252" w:lineRule="auto"/>
        <w:rPr>
          <w:sz w:val="20"/>
          <w:szCs w:val="20"/>
          <w:color w:val="auto"/>
        </w:rPr>
      </w:pPr>
      <w:r>
        <w:rPr>
          <w:rFonts w:ascii="Arial" w:cs="Arial" w:eastAsia="Arial" w:hAnsi="Arial"/>
          <w:sz w:val="14"/>
          <w:szCs w:val="14"/>
          <w:color w:val="auto"/>
        </w:rPr>
        <w:t>In December 2023, the FASB issued ASU 2023-09, Income Taxes (Topic 740)—Improvements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for fiscal years beginning after December 15, 2024. Early adoption is permitted for annual financial statements that have not yet been issued. The amendments should be applied on a prospective basis although retrospective application is permitted. We are currently evaluating the impact of adoption on our financial disclosures.</w:t>
      </w:r>
    </w:p>
    <w:p>
      <w:pPr>
        <w:spacing w:after="0" w:line="186" w:lineRule="exact"/>
        <w:rPr>
          <w:sz w:val="20"/>
          <w:szCs w:val="20"/>
          <w:color w:val="auto"/>
        </w:rPr>
      </w:pPr>
    </w:p>
    <w:p>
      <w:pPr>
        <w:ind w:right="20" w:firstLine="619"/>
        <w:spacing w:after="0" w:line="252" w:lineRule="auto"/>
        <w:rPr>
          <w:sz w:val="20"/>
          <w:szCs w:val="20"/>
          <w:color w:val="auto"/>
        </w:rPr>
      </w:pPr>
      <w:r>
        <w:rPr>
          <w:rFonts w:ascii="Arial" w:cs="Arial" w:eastAsia="Arial" w:hAnsi="Arial"/>
          <w:sz w:val="14"/>
          <w:szCs w:val="14"/>
          <w:color w:val="auto"/>
        </w:rPr>
        <w:t>In November 2023, the FASB issued ASU 2023-07, Segment Reporting (Topic 280)—Improvements to Reportable Segment Disclosures. The ASU requires that an entity disclose significant segment expenses impacting profit and loss that are regularly provided to the chief operating decision maker. The update is required to be applied retrospectively to prior periods presented, based on the significant segment expense categories identified and disclosed in the period of adoption. The amendments in this ASU are required to be adopted for fiscal years beginning after December 15, 2023, and interim periods within fiscal years beginning after December 15, 2024. Early adoption is permitted. We are currently evaluating the impact of adoption on our financial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2.</w:t>
        <w:tab/>
        <w:t>Inventory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40" w:type="dxa"/>
            <w:vAlign w:val="bottom"/>
          </w:tcPr>
          <w:p>
            <w:pPr>
              <w:ind w:left="620"/>
              <w:spacing w:after="0"/>
              <w:rPr>
                <w:sz w:val="20"/>
                <w:szCs w:val="20"/>
                <w:color w:val="auto"/>
              </w:rPr>
            </w:pPr>
            <w:r>
              <w:rPr>
                <w:rFonts w:ascii="Arial" w:cs="Arial" w:eastAsia="Arial" w:hAnsi="Arial"/>
                <w:sz w:val="14"/>
                <w:szCs w:val="14"/>
                <w:color w:val="auto"/>
              </w:rPr>
              <w:t>Major classes of inventory were as follows:</w:t>
            </w:r>
          </w:p>
        </w:tc>
        <w:tc>
          <w:tcPr>
            <w:tcW w:w="2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46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April 30, 2025</w:t>
            </w:r>
          </w:p>
        </w:tc>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2024</w:t>
            </w:r>
          </w:p>
        </w:tc>
      </w:tr>
      <w:tr>
        <w:trPr>
          <w:trHeight w:val="196"/>
        </w:trPr>
        <w:tc>
          <w:tcPr>
            <w:tcW w:w="5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Finished goods</w:t>
            </w:r>
          </w:p>
        </w:tc>
        <w:tc>
          <w:tcPr>
            <w:tcW w:w="262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39.1</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45.1</w:t>
            </w:r>
          </w:p>
        </w:tc>
      </w:tr>
      <w:tr>
        <w:trPr>
          <w:trHeight w:val="199"/>
        </w:trPr>
        <w:tc>
          <w:tcPr>
            <w:tcW w:w="5440" w:type="dxa"/>
            <w:vAlign w:val="bottom"/>
          </w:tcPr>
          <w:p>
            <w:pPr>
              <w:ind w:left="20"/>
              <w:spacing w:after="0"/>
              <w:rPr>
                <w:sz w:val="20"/>
                <w:szCs w:val="20"/>
                <w:color w:val="auto"/>
              </w:rPr>
            </w:pPr>
            <w:r>
              <w:rPr>
                <w:rFonts w:ascii="Arial" w:cs="Arial" w:eastAsia="Arial" w:hAnsi="Arial"/>
                <w:sz w:val="14"/>
                <w:szCs w:val="14"/>
                <w:color w:val="auto"/>
              </w:rPr>
              <w:t>Crop growing costs</w:t>
            </w:r>
          </w:p>
        </w:tc>
        <w:tc>
          <w:tcPr>
            <w:tcW w:w="2620" w:type="dxa"/>
            <w:vAlign w:val="bottom"/>
          </w:tcPr>
          <w:p>
            <w:pPr>
              <w:spacing w:after="0"/>
              <w:rPr>
                <w:sz w:val="17"/>
                <w:szCs w:val="17"/>
                <w:color w:val="auto"/>
              </w:rPr>
            </w:pPr>
          </w:p>
        </w:tc>
        <w:tc>
          <w:tcPr>
            <w:tcW w:w="1380" w:type="dxa"/>
            <w:vAlign w:val="bottom"/>
          </w:tcPr>
          <w:p>
            <w:pPr>
              <w:jc w:val="right"/>
              <w:ind w:right="131"/>
              <w:spacing w:after="0"/>
              <w:rPr>
                <w:sz w:val="20"/>
                <w:szCs w:val="20"/>
                <w:color w:val="auto"/>
              </w:rPr>
            </w:pPr>
            <w:r>
              <w:rPr>
                <w:rFonts w:ascii="Arial" w:cs="Arial" w:eastAsia="Arial" w:hAnsi="Arial"/>
                <w:sz w:val="14"/>
                <w:szCs w:val="14"/>
                <w:color w:val="auto"/>
              </w:rPr>
              <w:t>55.3</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27.1</w:t>
            </w:r>
          </w:p>
        </w:tc>
      </w:tr>
      <w:tr>
        <w:trPr>
          <w:trHeight w:val="20"/>
        </w:trPr>
        <w:tc>
          <w:tcPr>
            <w:tcW w:w="5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4"/>
        </w:trPr>
        <w:tc>
          <w:tcPr>
            <w:tcW w:w="5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Packaging and supplies</w:t>
            </w:r>
          </w:p>
        </w:tc>
        <w:tc>
          <w:tcPr>
            <w:tcW w:w="2620" w:type="dxa"/>
            <w:vAlign w:val="bottom"/>
            <w:tcBorders>
              <w:bottom w:val="single" w:sz="8" w:color="DBDBDB"/>
            </w:tcBorders>
            <w:shd w:val="clear" w:color="auto" w:fill="DBDBDB"/>
          </w:tcPr>
          <w:p>
            <w:pPr>
              <w:spacing w:after="0"/>
              <w:rPr>
                <w:sz w:val="19"/>
                <w:szCs w:val="19"/>
                <w:color w:val="auto"/>
              </w:rPr>
            </w:pPr>
          </w:p>
        </w:tc>
        <w:tc>
          <w:tcPr>
            <w:tcW w:w="13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18.4</w:t>
            </w:r>
          </w:p>
        </w:tc>
        <w:tc>
          <w:tcPr>
            <w:tcW w:w="460" w:type="dxa"/>
            <w:vAlign w:val="bottom"/>
            <w:tcBorders>
              <w:bottom w:val="single" w:sz="8" w:color="DBDBDB"/>
            </w:tcBorders>
            <w:shd w:val="clear" w:color="auto" w:fill="DBDBDB"/>
          </w:tcPr>
          <w:p>
            <w:pPr>
              <w:spacing w:after="0"/>
              <w:rPr>
                <w:sz w:val="19"/>
                <w:szCs w:val="19"/>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19.0</w:t>
            </w:r>
          </w:p>
        </w:tc>
      </w:tr>
      <w:tr>
        <w:trPr>
          <w:trHeight w:val="192"/>
        </w:trPr>
        <w:tc>
          <w:tcPr>
            <w:tcW w:w="54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Inventory</w:t>
            </w:r>
          </w:p>
        </w:tc>
        <w:tc>
          <w:tcPr>
            <w:tcW w:w="2620" w:type="dxa"/>
            <w:vAlign w:val="bottom"/>
            <w:tcBorders>
              <w:top w:val="single" w:sz="8" w:color="auto"/>
            </w:tcBorders>
          </w:tcPr>
          <w:p>
            <w:pPr>
              <w:jc w:val="right"/>
              <w:ind w:right="271"/>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112.8</w:t>
            </w:r>
          </w:p>
        </w:tc>
        <w:tc>
          <w:tcPr>
            <w:tcW w:w="46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91.2</w:t>
            </w: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3.</w:t>
        <w:tab/>
        <w:t>Goodwill and Intangible Asset, net</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Goodwill</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International Farming</w:t>
            </w:r>
          </w:p>
        </w:tc>
        <w:tc>
          <w:tcPr>
            <w:tcW w:w="5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Blueberries</w:t>
            </w:r>
          </w:p>
        </w:tc>
        <w:tc>
          <w:tcPr>
            <w:tcW w:w="7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95"/>
              </w:rPr>
              <w:t>Total</w:t>
            </w:r>
          </w:p>
        </w:tc>
      </w:tr>
      <w:tr>
        <w:trPr>
          <w:trHeight w:val="196"/>
        </w:trPr>
        <w:tc>
          <w:tcPr>
            <w:tcW w:w="4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Goodwill as of both April 30, 2025 and October 31, 2024</w:t>
            </w:r>
          </w:p>
        </w:tc>
        <w:tc>
          <w:tcPr>
            <w:tcW w:w="140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26.9</w:t>
            </w:r>
          </w:p>
        </w:tc>
        <w:tc>
          <w:tcPr>
            <w:tcW w:w="580" w:type="dxa"/>
            <w:vAlign w:val="bottom"/>
            <w:tcBorders>
              <w:bottom w:val="single" w:sz="8" w:color="DBDBDB"/>
            </w:tcBorders>
            <w:shd w:val="clear" w:color="auto" w:fill="DBDBDB"/>
          </w:tcPr>
          <w:p>
            <w:pPr>
              <w:jc w:val="right"/>
              <w:ind w:right="33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12.5</w:t>
            </w:r>
          </w:p>
        </w:tc>
        <w:tc>
          <w:tcPr>
            <w:tcW w:w="780" w:type="dxa"/>
            <w:vAlign w:val="bottom"/>
            <w:tcBorders>
              <w:bottom w:val="single" w:sz="8" w:color="DBDBDB"/>
            </w:tcBorders>
            <w:shd w:val="clear" w:color="auto" w:fill="DBDBDB"/>
          </w:tcPr>
          <w:p>
            <w:pPr>
              <w:jc w:val="right"/>
              <w:ind w:right="55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ind w:left="640"/>
              <w:spacing w:after="0"/>
              <w:rPr>
                <w:sz w:val="20"/>
                <w:szCs w:val="20"/>
                <w:color w:val="auto"/>
              </w:rPr>
            </w:pPr>
            <w:r>
              <w:rPr>
                <w:rFonts w:ascii="Arial" w:cs="Arial" w:eastAsia="Arial" w:hAnsi="Arial"/>
                <w:sz w:val="14"/>
                <w:szCs w:val="14"/>
                <w:color w:val="auto"/>
              </w:rPr>
              <w:t>39.4</w:t>
            </w:r>
          </w:p>
        </w:tc>
      </w:tr>
      <w:tr>
        <w:trPr>
          <w:trHeight w:val="20"/>
        </w:trPr>
        <w:tc>
          <w:tcPr>
            <w:tcW w:w="46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76" w:lineRule="exact"/>
        <w:rPr>
          <w:sz w:val="20"/>
          <w:szCs w:val="20"/>
          <w:color w:val="auto"/>
        </w:rPr>
      </w:pPr>
    </w:p>
    <w:p>
      <w:pPr>
        <w:jc w:val="both"/>
        <w:ind w:right="140" w:firstLine="619"/>
        <w:spacing w:after="0" w:line="254" w:lineRule="auto"/>
        <w:rPr>
          <w:sz w:val="20"/>
          <w:szCs w:val="20"/>
          <w:color w:val="auto"/>
        </w:rPr>
      </w:pPr>
      <w:r>
        <w:rPr>
          <w:rFonts w:ascii="Arial" w:cs="Arial" w:eastAsia="Arial" w:hAnsi="Arial"/>
          <w:sz w:val="14"/>
          <w:szCs w:val="14"/>
          <w:color w:val="auto"/>
        </w:rPr>
        <w:t>The carrying amounts of goodwill as of both April 30, 2025 and October 31, 2024 were net of accumulated impairment losses of $49.5 million, attributable to the International Farming segment. Goodwill is tested for impairment on an annual basis in the fourth quarter, or when an event or changes in circumstances indicate that its carrying value may not be recoverable.</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Intangible asset, net</w:t>
      </w:r>
    </w:p>
    <w:p>
      <w:pPr>
        <w:spacing w:after="0" w:line="234" w:lineRule="exact"/>
        <w:rPr>
          <w:sz w:val="20"/>
          <w:szCs w:val="20"/>
          <w:color w:val="auto"/>
        </w:rPr>
      </w:pPr>
    </w:p>
    <w:p>
      <w:pPr>
        <w:ind w:right="200" w:firstLine="619"/>
        <w:spacing w:after="0" w:line="259" w:lineRule="auto"/>
        <w:rPr>
          <w:sz w:val="20"/>
          <w:szCs w:val="20"/>
          <w:color w:val="auto"/>
        </w:rPr>
      </w:pPr>
      <w:r>
        <w:rPr>
          <w:rFonts w:ascii="Arial" w:cs="Arial" w:eastAsia="Arial" w:hAnsi="Arial"/>
          <w:sz w:val="14"/>
          <w:szCs w:val="14"/>
          <w:color w:val="auto"/>
        </w:rPr>
        <w:t>As of April 30, 2025 and October 31, 2024, our intangible asset was fully-amortized. Amortization expense was $0.2 million and $0.5 million for the for the three months and six months ended April 30, 2024, and included in selling, general and administrative expenses.</w:t>
      </w:r>
    </w:p>
    <w:p>
      <w:pPr>
        <w:spacing w:after="0" w:line="221"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4.</w:t>
        <w:tab/>
        <w:t>Details of Certain Account Balances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Accrued expenses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5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April 30, 2025</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2024</w:t>
            </w:r>
          </w:p>
        </w:tc>
      </w:tr>
      <w:tr>
        <w:trPr>
          <w:trHeight w:val="196"/>
        </w:trPr>
        <w:tc>
          <w:tcPr>
            <w:tcW w:w="4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Employee-related</w:t>
            </w:r>
          </w:p>
        </w:tc>
        <w:tc>
          <w:tcPr>
            <w:tcW w:w="356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16.9</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22.1</w:t>
            </w:r>
          </w:p>
        </w:tc>
      </w:tr>
      <w:tr>
        <w:trPr>
          <w:trHeight w:val="199"/>
        </w:trPr>
        <w:tc>
          <w:tcPr>
            <w:tcW w:w="4500" w:type="dxa"/>
            <w:vAlign w:val="bottom"/>
          </w:tcPr>
          <w:p>
            <w:pPr>
              <w:ind w:left="20"/>
              <w:spacing w:after="0"/>
              <w:rPr>
                <w:sz w:val="20"/>
                <w:szCs w:val="20"/>
                <w:color w:val="auto"/>
              </w:rPr>
            </w:pPr>
            <w:r>
              <w:rPr>
                <w:rFonts w:ascii="Arial" w:cs="Arial" w:eastAsia="Arial" w:hAnsi="Arial"/>
                <w:sz w:val="14"/>
                <w:szCs w:val="14"/>
                <w:color w:val="auto"/>
              </w:rPr>
              <w:t>Freight</w:t>
            </w:r>
          </w:p>
        </w:tc>
        <w:tc>
          <w:tcPr>
            <w:tcW w:w="3560" w:type="dxa"/>
            <w:vAlign w:val="bottom"/>
          </w:tcPr>
          <w:p>
            <w:pPr>
              <w:spacing w:after="0"/>
              <w:rPr>
                <w:sz w:val="17"/>
                <w:szCs w:val="17"/>
                <w:color w:val="auto"/>
              </w:rPr>
            </w:pPr>
          </w:p>
        </w:tc>
        <w:tc>
          <w:tcPr>
            <w:tcW w:w="1380" w:type="dxa"/>
            <w:vAlign w:val="bottom"/>
          </w:tcPr>
          <w:p>
            <w:pPr>
              <w:jc w:val="right"/>
              <w:ind w:right="131"/>
              <w:spacing w:after="0"/>
              <w:rPr>
                <w:sz w:val="20"/>
                <w:szCs w:val="20"/>
                <w:color w:val="auto"/>
              </w:rPr>
            </w:pPr>
            <w:r>
              <w:rPr>
                <w:rFonts w:ascii="Arial" w:cs="Arial" w:eastAsia="Arial" w:hAnsi="Arial"/>
                <w:sz w:val="14"/>
                <w:szCs w:val="14"/>
                <w:color w:val="auto"/>
              </w:rPr>
              <w:t>5.4</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0"/>
        </w:trPr>
        <w:tc>
          <w:tcPr>
            <w:tcW w:w="45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9"/>
        </w:trPr>
        <w:tc>
          <w:tcPr>
            <w:tcW w:w="4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Outside fruit purchase</w:t>
            </w:r>
          </w:p>
        </w:tc>
        <w:tc>
          <w:tcPr>
            <w:tcW w:w="3560" w:type="dxa"/>
            <w:vAlign w:val="bottom"/>
            <w:tcBorders>
              <w:bottom w:val="single" w:sz="8" w:color="DBDBDB"/>
            </w:tcBorders>
            <w:shd w:val="clear" w:color="auto" w:fill="DBDBDB"/>
          </w:tcPr>
          <w:p>
            <w:pPr>
              <w:spacing w:after="0"/>
              <w:rPr>
                <w:sz w:val="17"/>
                <w:szCs w:val="17"/>
                <w:color w:val="auto"/>
              </w:rPr>
            </w:pPr>
          </w:p>
        </w:tc>
        <w:tc>
          <w:tcPr>
            <w:tcW w:w="13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7.1</w:t>
            </w:r>
          </w:p>
        </w:tc>
        <w:tc>
          <w:tcPr>
            <w:tcW w:w="460" w:type="dxa"/>
            <w:vAlign w:val="bottom"/>
            <w:tcBorders>
              <w:bottom w:val="single" w:sz="8" w:color="DBDBDB"/>
            </w:tcBorders>
            <w:shd w:val="clear" w:color="auto" w:fill="DBDBDB"/>
          </w:tcPr>
          <w:p>
            <w:pPr>
              <w:spacing w:after="0"/>
              <w:rPr>
                <w:sz w:val="17"/>
                <w:szCs w:val="17"/>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4.7</w:t>
            </w:r>
          </w:p>
        </w:tc>
      </w:tr>
      <w:tr>
        <w:trPr>
          <w:trHeight w:val="199"/>
        </w:trPr>
        <w:tc>
          <w:tcPr>
            <w:tcW w:w="4500" w:type="dxa"/>
            <w:vAlign w:val="bottom"/>
          </w:tcPr>
          <w:p>
            <w:pPr>
              <w:ind w:left="20"/>
              <w:spacing w:after="0"/>
              <w:rPr>
                <w:sz w:val="20"/>
                <w:szCs w:val="20"/>
                <w:color w:val="auto"/>
              </w:rPr>
            </w:pPr>
            <w:r>
              <w:rPr>
                <w:rFonts w:ascii="Arial" w:cs="Arial" w:eastAsia="Arial" w:hAnsi="Arial"/>
                <w:sz w:val="14"/>
                <w:szCs w:val="14"/>
                <w:color w:val="auto"/>
              </w:rPr>
              <w:t>Other</w:t>
            </w:r>
          </w:p>
        </w:tc>
        <w:tc>
          <w:tcPr>
            <w:tcW w:w="3560" w:type="dxa"/>
            <w:vAlign w:val="bottom"/>
          </w:tcPr>
          <w:p>
            <w:pPr>
              <w:spacing w:after="0"/>
              <w:rPr>
                <w:sz w:val="17"/>
                <w:szCs w:val="17"/>
                <w:color w:val="auto"/>
              </w:rPr>
            </w:pPr>
          </w:p>
        </w:tc>
        <w:tc>
          <w:tcPr>
            <w:tcW w:w="1380" w:type="dxa"/>
            <w:vAlign w:val="bottom"/>
          </w:tcPr>
          <w:p>
            <w:pPr>
              <w:jc w:val="right"/>
              <w:ind w:right="131"/>
              <w:spacing w:after="0"/>
              <w:rPr>
                <w:sz w:val="20"/>
                <w:szCs w:val="20"/>
                <w:color w:val="auto"/>
              </w:rPr>
            </w:pPr>
            <w:r>
              <w:rPr>
                <w:rFonts w:ascii="Arial" w:cs="Arial" w:eastAsia="Arial" w:hAnsi="Arial"/>
                <w:sz w:val="14"/>
                <w:szCs w:val="14"/>
                <w:color w:val="auto"/>
              </w:rPr>
              <w:t>8.1</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2"/>
        </w:trPr>
        <w:tc>
          <w:tcPr>
            <w:tcW w:w="4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Accrued expenses</w:t>
            </w:r>
          </w:p>
        </w:tc>
        <w:tc>
          <w:tcPr>
            <w:tcW w:w="356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37.5</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39.9</w:t>
            </w:r>
          </w:p>
        </w:tc>
      </w:tr>
      <w:tr>
        <w:trPr>
          <w:trHeight w:val="20"/>
        </w:trPr>
        <w:tc>
          <w:tcPr>
            <w:tcW w:w="4500" w:type="dxa"/>
            <w:vAlign w:val="bottom"/>
            <w:shd w:val="clear" w:color="auto" w:fill="000000"/>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long-term liabilities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7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April 30, 2025</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2024</w:t>
            </w:r>
          </w:p>
        </w:tc>
      </w:tr>
      <w:tr>
        <w:trPr>
          <w:trHeight w:val="216"/>
        </w:trPr>
        <w:tc>
          <w:tcPr>
            <w:tcW w:w="5320" w:type="dxa"/>
            <w:vAlign w:val="bottom"/>
            <w:shd w:val="clear" w:color="auto" w:fill="DBDBDB"/>
          </w:tcPr>
          <w:p>
            <w:pPr>
              <w:ind w:left="20"/>
              <w:spacing w:after="0"/>
              <w:rPr>
                <w:sz w:val="20"/>
                <w:szCs w:val="20"/>
                <w:color w:val="auto"/>
              </w:rPr>
            </w:pPr>
            <w:r>
              <w:rPr>
                <w:rFonts w:ascii="Arial" w:cs="Arial" w:eastAsia="Arial" w:hAnsi="Arial"/>
                <w:sz w:val="14"/>
                <w:szCs w:val="14"/>
                <w:color w:val="auto"/>
              </w:rPr>
              <w:t>Uncertain tax positions</w:t>
            </w:r>
            <w:r>
              <w:rPr>
                <w:rFonts w:ascii="Arial" w:cs="Arial" w:eastAsia="Arial" w:hAnsi="Arial"/>
                <w:sz w:val="17"/>
                <w:szCs w:val="17"/>
                <w:color w:val="auto"/>
                <w:vertAlign w:val="superscript"/>
              </w:rPr>
              <w:t>(1)</w:t>
            </w:r>
          </w:p>
        </w:tc>
        <w:tc>
          <w:tcPr>
            <w:tcW w:w="2740" w:type="dxa"/>
            <w:vAlign w:val="bottom"/>
            <w:shd w:val="clear" w:color="auto" w:fill="DBDBDB"/>
          </w:tcPr>
          <w:p>
            <w:pPr>
              <w:jc w:val="right"/>
              <w:ind w:right="271"/>
              <w:spacing w:after="0"/>
              <w:rPr>
                <w:sz w:val="20"/>
                <w:szCs w:val="20"/>
                <w:color w:val="auto"/>
              </w:rPr>
            </w:pPr>
            <w:r>
              <w:rPr>
                <w:rFonts w:ascii="Arial" w:cs="Arial" w:eastAsia="Arial" w:hAnsi="Arial"/>
                <w:sz w:val="14"/>
                <w:szCs w:val="14"/>
                <w:color w:val="auto"/>
              </w:rPr>
              <w:t>$</w:t>
            </w:r>
          </w:p>
        </w:tc>
        <w:tc>
          <w:tcPr>
            <w:tcW w:w="1380" w:type="dxa"/>
            <w:vAlign w:val="bottom"/>
            <w:shd w:val="clear" w:color="auto" w:fill="DBDBDB"/>
          </w:tcPr>
          <w:p>
            <w:pPr>
              <w:jc w:val="right"/>
              <w:ind w:right="131"/>
              <w:spacing w:after="0"/>
              <w:rPr>
                <w:sz w:val="20"/>
                <w:szCs w:val="20"/>
                <w:color w:val="auto"/>
              </w:rPr>
            </w:pPr>
            <w:r>
              <w:rPr>
                <w:rFonts w:ascii="Arial" w:cs="Arial" w:eastAsia="Arial" w:hAnsi="Arial"/>
                <w:sz w:val="14"/>
                <w:szCs w:val="14"/>
                <w:color w:val="auto"/>
              </w:rPr>
              <w:t>18.6</w:t>
            </w:r>
          </w:p>
        </w:tc>
        <w:tc>
          <w:tcPr>
            <w:tcW w:w="460" w:type="dxa"/>
            <w:vAlign w:val="bottom"/>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17.9</w:t>
            </w:r>
          </w:p>
        </w:tc>
      </w:tr>
      <w:tr>
        <w:trPr>
          <w:trHeight w:val="199"/>
        </w:trPr>
        <w:tc>
          <w:tcPr>
            <w:tcW w:w="5320" w:type="dxa"/>
            <w:vAlign w:val="bottom"/>
          </w:tcPr>
          <w:p>
            <w:pPr>
              <w:ind w:left="20"/>
              <w:spacing w:after="0"/>
              <w:rPr>
                <w:sz w:val="20"/>
                <w:szCs w:val="20"/>
                <w:color w:val="auto"/>
              </w:rPr>
            </w:pPr>
            <w:r>
              <w:rPr>
                <w:rFonts w:ascii="Arial" w:cs="Arial" w:eastAsia="Arial" w:hAnsi="Arial"/>
                <w:sz w:val="14"/>
                <w:szCs w:val="14"/>
                <w:color w:val="auto"/>
              </w:rPr>
              <w:t>Employee-related</w:t>
            </w:r>
          </w:p>
        </w:tc>
        <w:tc>
          <w:tcPr>
            <w:tcW w:w="2740" w:type="dxa"/>
            <w:vAlign w:val="bottom"/>
          </w:tcPr>
          <w:p>
            <w:pPr>
              <w:spacing w:after="0"/>
              <w:rPr>
                <w:sz w:val="17"/>
                <w:szCs w:val="17"/>
                <w:color w:val="auto"/>
              </w:rPr>
            </w:pPr>
          </w:p>
        </w:tc>
        <w:tc>
          <w:tcPr>
            <w:tcW w:w="1380" w:type="dxa"/>
            <w:vAlign w:val="bottom"/>
          </w:tcPr>
          <w:p>
            <w:pPr>
              <w:jc w:val="right"/>
              <w:ind w:right="131"/>
              <w:spacing w:after="0"/>
              <w:rPr>
                <w:sz w:val="20"/>
                <w:szCs w:val="20"/>
                <w:color w:val="auto"/>
              </w:rPr>
            </w:pPr>
            <w:r>
              <w:rPr>
                <w:rFonts w:ascii="Arial" w:cs="Arial" w:eastAsia="Arial" w:hAnsi="Arial"/>
                <w:sz w:val="14"/>
                <w:szCs w:val="14"/>
                <w:color w:val="auto"/>
              </w:rPr>
              <w:t>2.3</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0"/>
        </w:trPr>
        <w:tc>
          <w:tcPr>
            <w:tcW w:w="5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9"/>
        </w:trPr>
        <w:tc>
          <w:tcPr>
            <w:tcW w:w="5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Trade payables to noncontrolling interest holders</w:t>
            </w:r>
          </w:p>
        </w:tc>
        <w:tc>
          <w:tcPr>
            <w:tcW w:w="2740" w:type="dxa"/>
            <w:vAlign w:val="bottom"/>
            <w:tcBorders>
              <w:bottom w:val="single" w:sz="8" w:color="DBDBDB"/>
            </w:tcBorders>
            <w:shd w:val="clear" w:color="auto" w:fill="DBDBDB"/>
          </w:tcPr>
          <w:p>
            <w:pPr>
              <w:spacing w:after="0"/>
              <w:rPr>
                <w:sz w:val="17"/>
                <w:szCs w:val="17"/>
                <w:color w:val="auto"/>
              </w:rPr>
            </w:pPr>
          </w:p>
        </w:tc>
        <w:tc>
          <w:tcPr>
            <w:tcW w:w="13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1.7</w:t>
            </w:r>
          </w:p>
        </w:tc>
        <w:tc>
          <w:tcPr>
            <w:tcW w:w="460" w:type="dxa"/>
            <w:vAlign w:val="bottom"/>
            <w:tcBorders>
              <w:bottom w:val="single" w:sz="8" w:color="DBDBDB"/>
            </w:tcBorders>
            <w:shd w:val="clear" w:color="auto" w:fill="DBDBDB"/>
          </w:tcPr>
          <w:p>
            <w:pPr>
              <w:spacing w:after="0"/>
              <w:rPr>
                <w:sz w:val="17"/>
                <w:szCs w:val="17"/>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3.5</w:t>
            </w:r>
          </w:p>
        </w:tc>
      </w:tr>
      <w:tr>
        <w:trPr>
          <w:trHeight w:val="199"/>
        </w:trPr>
        <w:tc>
          <w:tcPr>
            <w:tcW w:w="5320" w:type="dxa"/>
            <w:vAlign w:val="bottom"/>
          </w:tcPr>
          <w:p>
            <w:pPr>
              <w:ind w:left="20"/>
              <w:spacing w:after="0"/>
              <w:rPr>
                <w:sz w:val="20"/>
                <w:szCs w:val="20"/>
                <w:color w:val="auto"/>
              </w:rPr>
            </w:pPr>
            <w:r>
              <w:rPr>
                <w:rFonts w:ascii="Arial" w:cs="Arial" w:eastAsia="Arial" w:hAnsi="Arial"/>
                <w:sz w:val="14"/>
                <w:szCs w:val="14"/>
                <w:color w:val="auto"/>
              </w:rPr>
              <w:t>Other</w:t>
            </w:r>
          </w:p>
        </w:tc>
        <w:tc>
          <w:tcPr>
            <w:tcW w:w="2740" w:type="dxa"/>
            <w:vAlign w:val="bottom"/>
          </w:tcPr>
          <w:p>
            <w:pPr>
              <w:spacing w:after="0"/>
              <w:rPr>
                <w:sz w:val="17"/>
                <w:szCs w:val="17"/>
                <w:color w:val="auto"/>
              </w:rPr>
            </w:pPr>
          </w:p>
        </w:tc>
        <w:tc>
          <w:tcPr>
            <w:tcW w:w="1380" w:type="dxa"/>
            <w:vAlign w:val="bottom"/>
          </w:tcPr>
          <w:p>
            <w:pPr>
              <w:jc w:val="right"/>
              <w:ind w:right="131"/>
              <w:spacing w:after="0"/>
              <w:rPr>
                <w:sz w:val="20"/>
                <w:szCs w:val="20"/>
                <w:color w:val="auto"/>
              </w:rPr>
            </w:pPr>
            <w:r>
              <w:rPr>
                <w:rFonts w:ascii="Arial" w:cs="Arial" w:eastAsia="Arial" w:hAnsi="Arial"/>
                <w:sz w:val="14"/>
                <w:szCs w:val="14"/>
                <w:color w:val="auto"/>
              </w:rPr>
              <w:t>2.1</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2"/>
        </w:trPr>
        <w:tc>
          <w:tcPr>
            <w:tcW w:w="5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 long-term liabilities</w:t>
            </w:r>
          </w:p>
        </w:tc>
        <w:tc>
          <w:tcPr>
            <w:tcW w:w="274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24.7</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26.0</w:t>
            </w:r>
          </w:p>
        </w:tc>
      </w:tr>
      <w:tr>
        <w:trPr>
          <w:trHeight w:val="20"/>
        </w:trPr>
        <w:tc>
          <w:tcPr>
            <w:tcW w:w="532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(1) Includes uncertain tax positions related to both income taxes and other statutory tax reserves, plus related penalties and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expense (income), net</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60" w:type="dxa"/>
            <w:vAlign w:val="bottom"/>
            <w:gridSpan w:val="2"/>
          </w:tcPr>
          <w:p>
            <w:pPr>
              <w:jc w:val="right"/>
              <w:ind w:right="231"/>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80" w:type="dxa"/>
            <w:vAlign w:val="bottom"/>
            <w:gridSpan w:val="2"/>
          </w:tcPr>
          <w:p>
            <w:pPr>
              <w:jc w:val="right"/>
              <w:ind w:right="291"/>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r>
      <w:tr>
        <w:trPr>
          <w:trHeight w:val="196"/>
        </w:trPr>
        <w:tc>
          <w:tcPr>
            <w:tcW w:w="40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right"/>
              <w:ind w:right="651"/>
              <w:spacing w:after="0"/>
              <w:rPr>
                <w:sz w:val="20"/>
                <w:szCs w:val="20"/>
                <w:color w:val="auto"/>
              </w:rPr>
            </w:pPr>
            <w:r>
              <w:rPr>
                <w:rFonts w:ascii="Arial" w:cs="Arial" w:eastAsia="Arial" w:hAnsi="Arial"/>
                <w:sz w:val="14"/>
                <w:szCs w:val="14"/>
                <w:b w:val="1"/>
                <w:bCs w:val="1"/>
                <w:color w:val="auto"/>
              </w:rPr>
              <w:t>April 30,</w:t>
            </w: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right"/>
              <w:ind w:right="631"/>
              <w:spacing w:after="0"/>
              <w:rPr>
                <w:sz w:val="20"/>
                <w:szCs w:val="20"/>
                <w:color w:val="auto"/>
              </w:rPr>
            </w:pPr>
            <w:r>
              <w:rPr>
                <w:rFonts w:ascii="Arial" w:cs="Arial" w:eastAsia="Arial" w:hAnsi="Arial"/>
                <w:sz w:val="14"/>
                <w:szCs w:val="14"/>
                <w:b w:val="1"/>
                <w:bCs w:val="1"/>
                <w:color w:val="auto"/>
              </w:rPr>
              <w:t>April 30,</w:t>
            </w:r>
          </w:p>
        </w:tc>
        <w:tc>
          <w:tcPr>
            <w:tcW w:w="780" w:type="dxa"/>
            <w:vAlign w:val="bottom"/>
            <w:tcBorders>
              <w:bottom w:val="single" w:sz="8" w:color="auto"/>
            </w:tcBorders>
          </w:tcPr>
          <w:p>
            <w:pPr>
              <w:spacing w:after="0"/>
              <w:rPr>
                <w:sz w:val="17"/>
                <w:szCs w:val="17"/>
                <w:color w:val="auto"/>
              </w:rPr>
            </w:pPr>
          </w:p>
        </w:tc>
      </w:tr>
      <w:tr>
        <w:trPr>
          <w:trHeight w:val="215"/>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2025</w:t>
            </w:r>
          </w:p>
        </w:tc>
        <w:tc>
          <w:tcPr>
            <w:tcW w:w="10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2025</w:t>
            </w:r>
          </w:p>
        </w:tc>
        <w:tc>
          <w:tcPr>
            <w:tcW w:w="9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r>
      <w:tr>
        <w:trPr>
          <w:trHeight w:val="196"/>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Losses on derivative financial instruments</w:t>
            </w:r>
          </w:p>
        </w:tc>
        <w:tc>
          <w:tcPr>
            <w:tcW w:w="56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0.2</w:t>
            </w:r>
          </w:p>
        </w:tc>
        <w:tc>
          <w:tcPr>
            <w:tcW w:w="100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gridSpan w:val="2"/>
            <w:shd w:val="clear" w:color="auto" w:fill="DBDBDB"/>
          </w:tcPr>
          <w:p>
            <w:pPr>
              <w:jc w:val="right"/>
              <w:ind w:right="34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shd w:val="clear" w:color="auto" w:fill="DBDBDB"/>
          </w:tcPr>
          <w:p>
            <w:pPr>
              <w:jc w:val="right"/>
              <w:ind w:right="4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0.1</w:t>
            </w:r>
          </w:p>
        </w:tc>
        <w:tc>
          <w:tcPr>
            <w:tcW w:w="980" w:type="dxa"/>
            <w:vAlign w:val="bottom"/>
            <w:tcBorders>
              <w:bottom w:val="single" w:sz="8" w:color="DBDBDB"/>
            </w:tcBorders>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4020" w:type="dxa"/>
            <w:vAlign w:val="bottom"/>
          </w:tcPr>
          <w:p>
            <w:pPr>
              <w:ind w:left="20"/>
              <w:spacing w:after="0"/>
              <w:rPr>
                <w:sz w:val="20"/>
                <w:szCs w:val="20"/>
                <w:color w:val="auto"/>
              </w:rPr>
            </w:pPr>
            <w:r>
              <w:rPr>
                <w:rFonts w:ascii="Arial" w:cs="Arial" w:eastAsia="Arial" w:hAnsi="Arial"/>
                <w:sz w:val="14"/>
                <w:szCs w:val="14"/>
                <w:color w:val="auto"/>
              </w:rPr>
              <w:t>Foreign currency transaction loss (gain)</w:t>
            </w:r>
          </w:p>
        </w:tc>
        <w:tc>
          <w:tcPr>
            <w:tcW w:w="560" w:type="dxa"/>
            <w:vAlign w:val="bottom"/>
          </w:tcPr>
          <w:p>
            <w:pPr>
              <w:spacing w:after="0"/>
              <w:rPr>
                <w:sz w:val="17"/>
                <w:szCs w:val="17"/>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1.3</w:t>
            </w:r>
          </w:p>
        </w:tc>
        <w:tc>
          <w:tcPr>
            <w:tcW w:w="10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0.2</w:t>
            </w:r>
          </w:p>
        </w:tc>
        <w:tc>
          <w:tcPr>
            <w:tcW w:w="9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Interest income</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(0.9)</w:t>
            </w:r>
          </w:p>
        </w:tc>
        <w:tc>
          <w:tcPr>
            <w:tcW w:w="100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(1.2)</w:t>
            </w:r>
          </w:p>
        </w:tc>
        <w:tc>
          <w:tcPr>
            <w:tcW w:w="98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w:t>
            </w:r>
          </w:p>
        </w:tc>
      </w:tr>
      <w:tr>
        <w:trPr>
          <w:trHeight w:val="199"/>
        </w:trPr>
        <w:tc>
          <w:tcPr>
            <w:tcW w:w="4020" w:type="dxa"/>
            <w:vAlign w:val="bottom"/>
          </w:tcPr>
          <w:p>
            <w:pPr>
              <w:ind w:left="20"/>
              <w:spacing w:after="0"/>
              <w:rPr>
                <w:sz w:val="20"/>
                <w:szCs w:val="20"/>
                <w:color w:val="auto"/>
              </w:rPr>
            </w:pPr>
            <w:r>
              <w:rPr>
                <w:rFonts w:ascii="Arial" w:cs="Arial" w:eastAsia="Arial" w:hAnsi="Arial"/>
                <w:sz w:val="14"/>
                <w:szCs w:val="14"/>
                <w:color w:val="auto"/>
              </w:rPr>
              <w:t>Other</w:t>
            </w:r>
          </w:p>
        </w:tc>
        <w:tc>
          <w:tcPr>
            <w:tcW w:w="560" w:type="dxa"/>
            <w:vAlign w:val="bottom"/>
          </w:tcPr>
          <w:p>
            <w:pPr>
              <w:spacing w:after="0"/>
              <w:rPr>
                <w:sz w:val="17"/>
                <w:szCs w:val="17"/>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0.1</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2"/>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 expense (income), net</w:t>
            </w:r>
          </w:p>
        </w:tc>
        <w:tc>
          <w:tcPr>
            <w:tcW w:w="56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0.6</w:t>
            </w:r>
          </w:p>
        </w:tc>
        <w:tc>
          <w:tcPr>
            <w:tcW w:w="100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DBDBDB"/>
            </w:tcBorders>
            <w:shd w:val="clear" w:color="auto" w:fill="DBDBDB"/>
          </w:tcPr>
          <w:p>
            <w:pPr>
              <w:spacing w:after="0"/>
              <w:rPr>
                <w:sz w:val="16"/>
                <w:szCs w:val="16"/>
                <w:color w:val="auto"/>
              </w:rPr>
            </w:pPr>
          </w:p>
        </w:tc>
        <w:tc>
          <w:tcPr>
            <w:tcW w:w="620" w:type="dxa"/>
            <w:vAlign w:val="bottom"/>
            <w:tcBorders>
              <w:bottom w:val="single" w:sz="8" w:color="DBDBDB"/>
            </w:tcBorders>
            <w:shd w:val="clear" w:color="auto" w:fill="DBDBDB"/>
          </w:tcPr>
          <w:p>
            <w:pPr>
              <w:jc w:val="right"/>
              <w:ind w:right="4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(0.9)</w:t>
            </w:r>
          </w:p>
        </w:tc>
        <w:tc>
          <w:tcPr>
            <w:tcW w:w="980" w:type="dxa"/>
            <w:vAlign w:val="bottom"/>
            <w:tcBorders>
              <w:bottom w:val="single" w:sz="8" w:color="DBDBDB"/>
            </w:tcBorders>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amounts attributable to noncontrolling interest holders</w:t>
      </w:r>
    </w:p>
    <w:p>
      <w:pPr>
        <w:spacing w:after="0" w:line="234" w:lineRule="exact"/>
        <w:rPr>
          <w:sz w:val="20"/>
          <w:szCs w:val="20"/>
          <w:color w:val="auto"/>
        </w:rPr>
      </w:pPr>
    </w:p>
    <w:p>
      <w:pPr>
        <w:ind w:right="620" w:firstLine="619"/>
        <w:spacing w:after="0" w:line="254" w:lineRule="auto"/>
        <w:rPr>
          <w:sz w:val="20"/>
          <w:szCs w:val="20"/>
          <w:color w:val="auto"/>
        </w:rPr>
      </w:pPr>
      <w:r>
        <w:rPr>
          <w:rFonts w:ascii="Arial" w:cs="Arial" w:eastAsia="Arial" w:hAnsi="Arial"/>
          <w:sz w:val="14"/>
          <w:szCs w:val="14"/>
          <w:color w:val="auto"/>
        </w:rPr>
        <w:t>Amounts included in trade accounts receivable due from noncontrolling interest holders were $0.9 million and $5.1 million as of April 30, 2025 and October 31, 2024, respectively. Amounts included in trade accounts payable due to noncontrolling interest holders were $6.3 million and $2.6 million as of April 30, 2025 and October 31, 2024, respectively.</w:t>
      </w:r>
    </w:p>
    <w:p>
      <w:pPr>
        <w:spacing w:after="0" w:line="225" w:lineRule="exact"/>
        <w:rPr>
          <w:sz w:val="20"/>
          <w:szCs w:val="20"/>
          <w:color w:val="auto"/>
        </w:rPr>
      </w:pPr>
    </w:p>
    <w:p>
      <w:pPr>
        <w:ind w:left="440" w:hanging="437"/>
        <w:spacing w:after="0"/>
        <w:tabs>
          <w:tab w:leader="none" w:pos="44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Variable Interest Entity</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Assets of our variable interest in our blueberry joint-venture may only be used to settle its own liabilities and creditors of the entity only have recourse for the entity’s liabilities.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these balances, which are included in our condensed consolidated balance sheets, is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5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April 30, 2025</w:t>
            </w:r>
          </w:p>
        </w:tc>
        <w:tc>
          <w:tcPr>
            <w:tcW w:w="5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2024</w:t>
            </w:r>
          </w:p>
        </w:tc>
      </w:tr>
      <w:tr>
        <w:trPr>
          <w:trHeight w:val="199"/>
        </w:trPr>
        <w:tc>
          <w:tcPr>
            <w:tcW w:w="4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Current assets</w:t>
            </w:r>
          </w:p>
        </w:tc>
        <w:tc>
          <w:tcPr>
            <w:tcW w:w="3580" w:type="dxa"/>
            <w:vAlign w:val="bottom"/>
            <w:tcBorders>
              <w:bottom w:val="single" w:sz="8" w:color="DBDBDB"/>
            </w:tcBorders>
            <w:shd w:val="clear" w:color="auto" w:fill="DBDBDB"/>
          </w:tcPr>
          <w:p>
            <w:pPr>
              <w:jc w:val="right"/>
              <w:ind w:right="291"/>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DBDBDB"/>
            </w:tcBorders>
            <w:shd w:val="clear" w:color="auto" w:fill="DBDBDB"/>
          </w:tcPr>
          <w:p>
            <w:pPr>
              <w:jc w:val="right"/>
              <w:ind w:right="151"/>
              <w:spacing w:after="0"/>
              <w:rPr>
                <w:sz w:val="20"/>
                <w:szCs w:val="20"/>
                <w:color w:val="auto"/>
              </w:rPr>
            </w:pPr>
            <w:r>
              <w:rPr>
                <w:rFonts w:ascii="Arial" w:cs="Arial" w:eastAsia="Arial" w:hAnsi="Arial"/>
                <w:sz w:val="14"/>
                <w:szCs w:val="14"/>
                <w:color w:val="auto"/>
              </w:rPr>
              <w:t>25.3</w:t>
            </w:r>
          </w:p>
        </w:tc>
        <w:tc>
          <w:tcPr>
            <w:tcW w:w="50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40.7</w:t>
            </w:r>
          </w:p>
        </w:tc>
      </w:tr>
      <w:tr>
        <w:trPr>
          <w:trHeight w:val="199"/>
        </w:trPr>
        <w:tc>
          <w:tcPr>
            <w:tcW w:w="4360" w:type="dxa"/>
            <w:vAlign w:val="bottom"/>
          </w:tcPr>
          <w:p>
            <w:pPr>
              <w:ind w:left="20"/>
              <w:spacing w:after="0"/>
              <w:rPr>
                <w:sz w:val="20"/>
                <w:szCs w:val="20"/>
                <w:color w:val="auto"/>
              </w:rPr>
            </w:pPr>
            <w:r>
              <w:rPr>
                <w:rFonts w:ascii="Arial" w:cs="Arial" w:eastAsia="Arial" w:hAnsi="Arial"/>
                <w:sz w:val="14"/>
                <w:szCs w:val="14"/>
                <w:color w:val="auto"/>
              </w:rPr>
              <w:t>Long-term assets</w:t>
            </w:r>
          </w:p>
        </w:tc>
        <w:tc>
          <w:tcPr>
            <w:tcW w:w="3580" w:type="dxa"/>
            <w:vAlign w:val="bottom"/>
          </w:tcPr>
          <w:p>
            <w:pPr>
              <w:spacing w:after="0"/>
              <w:rPr>
                <w:sz w:val="17"/>
                <w:szCs w:val="17"/>
                <w:color w:val="auto"/>
              </w:rPr>
            </w:pPr>
          </w:p>
        </w:tc>
        <w:tc>
          <w:tcPr>
            <w:tcW w:w="1420" w:type="dxa"/>
            <w:vAlign w:val="bottom"/>
          </w:tcPr>
          <w:p>
            <w:pPr>
              <w:jc w:val="right"/>
              <w:ind w:right="151"/>
              <w:spacing w:after="0"/>
              <w:rPr>
                <w:sz w:val="20"/>
                <w:szCs w:val="20"/>
                <w:color w:val="auto"/>
              </w:rPr>
            </w:pPr>
            <w:r>
              <w:rPr>
                <w:rFonts w:ascii="Arial" w:cs="Arial" w:eastAsia="Arial" w:hAnsi="Arial"/>
                <w:sz w:val="14"/>
                <w:szCs w:val="14"/>
                <w:color w:val="auto"/>
              </w:rPr>
              <w:t>83.3</w:t>
            </w:r>
          </w:p>
        </w:tc>
        <w:tc>
          <w:tcPr>
            <w:tcW w:w="5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74.2</w:t>
            </w:r>
          </w:p>
        </w:tc>
      </w:tr>
      <w:tr>
        <w:trPr>
          <w:trHeight w:val="20"/>
        </w:trPr>
        <w:tc>
          <w:tcPr>
            <w:tcW w:w="43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9"/>
        </w:trPr>
        <w:tc>
          <w:tcPr>
            <w:tcW w:w="4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Current liabilities</w:t>
            </w:r>
          </w:p>
        </w:tc>
        <w:tc>
          <w:tcPr>
            <w:tcW w:w="3580" w:type="dxa"/>
            <w:vAlign w:val="bottom"/>
            <w:tcBorders>
              <w:bottom w:val="single" w:sz="8" w:color="DBDBDB"/>
            </w:tcBorders>
            <w:shd w:val="clear" w:color="auto" w:fill="DBDBDB"/>
          </w:tcPr>
          <w:p>
            <w:pPr>
              <w:spacing w:after="0"/>
              <w:rPr>
                <w:sz w:val="17"/>
                <w:szCs w:val="17"/>
                <w:color w:val="auto"/>
              </w:rPr>
            </w:pPr>
          </w:p>
        </w:tc>
        <w:tc>
          <w:tcPr>
            <w:tcW w:w="1420" w:type="dxa"/>
            <w:vAlign w:val="bottom"/>
            <w:tcBorders>
              <w:bottom w:val="single" w:sz="8" w:color="DBDBDB"/>
            </w:tcBorders>
            <w:shd w:val="clear" w:color="auto" w:fill="DBDBDB"/>
          </w:tcPr>
          <w:p>
            <w:pPr>
              <w:jc w:val="right"/>
              <w:ind w:right="151"/>
              <w:spacing w:after="0"/>
              <w:rPr>
                <w:sz w:val="20"/>
                <w:szCs w:val="20"/>
                <w:color w:val="auto"/>
              </w:rPr>
            </w:pPr>
            <w:r>
              <w:rPr>
                <w:rFonts w:ascii="Arial" w:cs="Arial" w:eastAsia="Arial" w:hAnsi="Arial"/>
                <w:sz w:val="14"/>
                <w:szCs w:val="14"/>
                <w:color w:val="auto"/>
              </w:rPr>
              <w:t>15.5</w:t>
            </w:r>
          </w:p>
        </w:tc>
        <w:tc>
          <w:tcPr>
            <w:tcW w:w="500" w:type="dxa"/>
            <w:vAlign w:val="bottom"/>
            <w:tcBorders>
              <w:bottom w:val="single" w:sz="8" w:color="DBDBDB"/>
            </w:tcBorders>
            <w:shd w:val="clear" w:color="auto" w:fill="DBDBDB"/>
          </w:tcPr>
          <w:p>
            <w:pPr>
              <w:spacing w:after="0"/>
              <w:rPr>
                <w:sz w:val="17"/>
                <w:szCs w:val="17"/>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22.0</w:t>
            </w:r>
          </w:p>
        </w:tc>
      </w:tr>
      <w:tr>
        <w:trPr>
          <w:trHeight w:val="199"/>
        </w:trPr>
        <w:tc>
          <w:tcPr>
            <w:tcW w:w="4360" w:type="dxa"/>
            <w:vAlign w:val="bottom"/>
          </w:tcPr>
          <w:p>
            <w:pPr>
              <w:ind w:left="20"/>
              <w:spacing w:after="0"/>
              <w:rPr>
                <w:sz w:val="20"/>
                <w:szCs w:val="20"/>
                <w:color w:val="auto"/>
              </w:rPr>
            </w:pPr>
            <w:r>
              <w:rPr>
                <w:rFonts w:ascii="Arial" w:cs="Arial" w:eastAsia="Arial" w:hAnsi="Arial"/>
                <w:sz w:val="14"/>
                <w:szCs w:val="14"/>
                <w:color w:val="auto"/>
              </w:rPr>
              <w:t>Long-term liabilities</w:t>
            </w:r>
          </w:p>
        </w:tc>
        <w:tc>
          <w:tcPr>
            <w:tcW w:w="3580" w:type="dxa"/>
            <w:vAlign w:val="bottom"/>
          </w:tcPr>
          <w:p>
            <w:pPr>
              <w:spacing w:after="0"/>
              <w:rPr>
                <w:sz w:val="17"/>
                <w:szCs w:val="17"/>
                <w:color w:val="auto"/>
              </w:rPr>
            </w:pPr>
          </w:p>
        </w:tc>
        <w:tc>
          <w:tcPr>
            <w:tcW w:w="1420" w:type="dxa"/>
            <w:vAlign w:val="bottom"/>
          </w:tcPr>
          <w:p>
            <w:pPr>
              <w:jc w:val="right"/>
              <w:ind w:right="151"/>
              <w:spacing w:after="0"/>
              <w:rPr>
                <w:sz w:val="20"/>
                <w:szCs w:val="20"/>
                <w:color w:val="auto"/>
              </w:rPr>
            </w:pPr>
            <w:r>
              <w:rPr>
                <w:rFonts w:ascii="Arial" w:cs="Arial" w:eastAsia="Arial" w:hAnsi="Arial"/>
                <w:sz w:val="14"/>
                <w:szCs w:val="14"/>
                <w:color w:val="auto"/>
              </w:rPr>
              <w:t>26.1</w:t>
            </w:r>
          </w:p>
        </w:tc>
        <w:tc>
          <w:tcPr>
            <w:tcW w:w="5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27.9</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left="380" w:hanging="377"/>
        <w:spacing w:after="0"/>
        <w:tabs>
          <w:tab w:leader="none" w:pos="38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Credit facility</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Long-term debt under our syndicated credit facility with Bank of America (“BoA”) Merrill Lynch consisted of the following:</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2025</w:t>
            </w: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2024</w:t>
            </w:r>
          </w:p>
        </w:tc>
      </w:tr>
      <w:tr>
        <w:trPr>
          <w:trHeight w:val="170"/>
        </w:trPr>
        <w:tc>
          <w:tcPr>
            <w:tcW w:w="7680" w:type="dxa"/>
            <w:vAlign w:val="bottom"/>
            <w:shd w:val="clear" w:color="auto" w:fill="DBDBDB"/>
          </w:tcPr>
          <w:p>
            <w:pPr>
              <w:ind w:left="20"/>
              <w:spacing w:after="0"/>
              <w:rPr>
                <w:sz w:val="20"/>
                <w:szCs w:val="20"/>
                <w:color w:val="auto"/>
              </w:rPr>
            </w:pPr>
            <w:r>
              <w:rPr>
                <w:rFonts w:ascii="Arial" w:cs="Arial" w:eastAsia="Arial" w:hAnsi="Arial"/>
                <w:sz w:val="14"/>
                <w:szCs w:val="14"/>
                <w:color w:val="auto"/>
                <w:w w:val="99"/>
              </w:rPr>
              <w:t>Revolving line of credit. The interest rate is variable, based on SOFR plus a spread that varies with the Company’s leverage</w:t>
            </w:r>
          </w:p>
        </w:tc>
        <w:tc>
          <w:tcPr>
            <w:tcW w:w="560" w:type="dxa"/>
            <w:vAlign w:val="bottom"/>
            <w:shd w:val="clear" w:color="auto" w:fill="DBDBDB"/>
          </w:tcPr>
          <w:p>
            <w:pPr>
              <w:jc w:val="right"/>
              <w:ind w:right="271"/>
              <w:spacing w:after="0"/>
              <w:rPr>
                <w:sz w:val="20"/>
                <w:szCs w:val="20"/>
                <w:color w:val="auto"/>
              </w:rPr>
            </w:pPr>
            <w:r>
              <w:rPr>
                <w:rFonts w:ascii="Arial" w:cs="Arial" w:eastAsia="Arial" w:hAnsi="Arial"/>
                <w:sz w:val="14"/>
                <w:szCs w:val="14"/>
                <w:color w:val="auto"/>
              </w:rPr>
              <w:t>$</w:t>
            </w:r>
          </w:p>
        </w:tc>
        <w:tc>
          <w:tcPr>
            <w:tcW w:w="128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auto"/>
              </w:rPr>
              <w:t>55.0</w:t>
            </w:r>
          </w:p>
        </w:tc>
        <w:tc>
          <w:tcPr>
            <w:tcW w:w="380" w:type="dxa"/>
            <w:vAlign w:val="bottom"/>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20.0</w:t>
            </w:r>
          </w:p>
        </w:tc>
      </w:tr>
      <w:tr>
        <w:trPr>
          <w:trHeight w:val="168"/>
        </w:trPr>
        <w:tc>
          <w:tcPr>
            <w:tcW w:w="7680" w:type="dxa"/>
            <w:vAlign w:val="bottom"/>
            <w:shd w:val="clear" w:color="auto" w:fill="DBDBDB"/>
          </w:tcPr>
          <w:p>
            <w:pPr>
              <w:ind w:left="20"/>
              <w:spacing w:after="0"/>
              <w:rPr>
                <w:sz w:val="20"/>
                <w:szCs w:val="20"/>
                <w:color w:val="auto"/>
              </w:rPr>
            </w:pPr>
            <w:r>
              <w:rPr>
                <w:rFonts w:ascii="Arial" w:cs="Arial" w:eastAsia="Arial" w:hAnsi="Arial"/>
                <w:sz w:val="14"/>
                <w:szCs w:val="14"/>
                <w:color w:val="auto"/>
              </w:rPr>
              <w:t>ratio. As of April 30, 2025 and October 31, 2024, the interest rate was 5.91% and 6.38%, respectively. Interest is payable</w:t>
            </w:r>
          </w:p>
        </w:tc>
        <w:tc>
          <w:tcPr>
            <w:tcW w:w="56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340" w:type="dxa"/>
            <w:vAlign w:val="bottom"/>
            <w:shd w:val="clear" w:color="auto" w:fill="DBDBDB"/>
          </w:tcPr>
          <w:p>
            <w:pPr>
              <w:spacing w:after="0"/>
              <w:rPr>
                <w:sz w:val="14"/>
                <w:szCs w:val="14"/>
                <w:color w:val="auto"/>
              </w:rPr>
            </w:pPr>
          </w:p>
        </w:tc>
      </w:tr>
      <w:tr>
        <w:trPr>
          <w:trHeight w:val="181"/>
        </w:trPr>
        <w:tc>
          <w:tcPr>
            <w:tcW w:w="7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monthly and principal is due in full in October 2027</w:t>
            </w:r>
          </w:p>
        </w:tc>
        <w:tc>
          <w:tcPr>
            <w:tcW w:w="56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380" w:type="dxa"/>
            <w:vAlign w:val="bottom"/>
            <w:tcBorders>
              <w:bottom w:val="single" w:sz="8" w:color="DBDBDB"/>
            </w:tcBorders>
            <w:shd w:val="clear" w:color="auto" w:fill="DBDBDB"/>
          </w:tcPr>
          <w:p>
            <w:pPr>
              <w:spacing w:after="0"/>
              <w:rPr>
                <w:sz w:val="15"/>
                <w:szCs w:val="15"/>
                <w:color w:val="auto"/>
              </w:rPr>
            </w:pPr>
          </w:p>
        </w:tc>
        <w:tc>
          <w:tcPr>
            <w:tcW w:w="1340" w:type="dxa"/>
            <w:vAlign w:val="bottom"/>
            <w:tcBorders>
              <w:bottom w:val="single" w:sz="8" w:color="DBDBDB"/>
            </w:tcBorders>
            <w:shd w:val="clear" w:color="auto" w:fill="DBDBDB"/>
          </w:tcPr>
          <w:p>
            <w:pPr>
              <w:spacing w:after="0"/>
              <w:rPr>
                <w:sz w:val="15"/>
                <w:szCs w:val="15"/>
                <w:color w:val="auto"/>
              </w:rPr>
            </w:pPr>
          </w:p>
        </w:tc>
      </w:tr>
      <w:tr>
        <w:trPr>
          <w:trHeight w:val="173"/>
        </w:trPr>
        <w:tc>
          <w:tcPr>
            <w:tcW w:w="7680" w:type="dxa"/>
            <w:vAlign w:val="bottom"/>
          </w:tcPr>
          <w:p>
            <w:pPr>
              <w:ind w:left="20"/>
              <w:spacing w:after="0"/>
              <w:rPr>
                <w:sz w:val="20"/>
                <w:szCs w:val="20"/>
                <w:color w:val="auto"/>
              </w:rPr>
            </w:pPr>
            <w:r>
              <w:rPr>
                <w:rFonts w:ascii="Arial" w:cs="Arial" w:eastAsia="Arial" w:hAnsi="Arial"/>
                <w:sz w:val="14"/>
                <w:szCs w:val="14"/>
                <w:color w:val="auto"/>
              </w:rPr>
              <w:t>Senior term loan (A-1). The interest rate is variable, based on SOFR plus a spread that varies with the Company’s leverage</w:t>
            </w:r>
          </w:p>
        </w:tc>
        <w:tc>
          <w:tcPr>
            <w:tcW w:w="560" w:type="dxa"/>
            <w:vAlign w:val="bottom"/>
          </w:tcPr>
          <w:p>
            <w:pPr>
              <w:spacing w:after="0"/>
              <w:rPr>
                <w:sz w:val="15"/>
                <w:szCs w:val="15"/>
                <w:color w:val="auto"/>
              </w:rPr>
            </w:pPr>
          </w:p>
        </w:tc>
        <w:tc>
          <w:tcPr>
            <w:tcW w:w="1280" w:type="dxa"/>
            <w:vAlign w:val="bottom"/>
          </w:tcPr>
          <w:p>
            <w:pPr>
              <w:jc w:val="right"/>
              <w:ind w:right="31"/>
              <w:spacing w:after="0"/>
              <w:rPr>
                <w:sz w:val="20"/>
                <w:szCs w:val="20"/>
                <w:color w:val="auto"/>
              </w:rPr>
            </w:pPr>
            <w:r>
              <w:rPr>
                <w:rFonts w:ascii="Arial" w:cs="Arial" w:eastAsia="Arial" w:hAnsi="Arial"/>
                <w:sz w:val="14"/>
                <w:szCs w:val="14"/>
                <w:color w:val="auto"/>
              </w:rPr>
              <w:t>43.8</w:t>
            </w: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45.0</w:t>
            </w:r>
          </w:p>
        </w:tc>
      </w:tr>
      <w:tr>
        <w:trPr>
          <w:trHeight w:val="168"/>
        </w:trPr>
        <w:tc>
          <w:tcPr>
            <w:tcW w:w="7680" w:type="dxa"/>
            <w:vAlign w:val="bottom"/>
          </w:tcPr>
          <w:p>
            <w:pPr>
              <w:ind w:left="20"/>
              <w:spacing w:after="0"/>
              <w:rPr>
                <w:sz w:val="20"/>
                <w:szCs w:val="20"/>
                <w:color w:val="auto"/>
              </w:rPr>
            </w:pPr>
            <w:r>
              <w:rPr>
                <w:rFonts w:ascii="Arial" w:cs="Arial" w:eastAsia="Arial" w:hAnsi="Arial"/>
                <w:sz w:val="14"/>
                <w:szCs w:val="14"/>
                <w:color w:val="auto"/>
              </w:rPr>
              <w:t>ratio. As of April 30, 2025 and October 31, 2024, the interest rate was 5.92% and 6.29%, respectively. Interest is payable</w:t>
            </w: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80"/>
        </w:trPr>
        <w:tc>
          <w:tcPr>
            <w:tcW w:w="7680" w:type="dxa"/>
            <w:vAlign w:val="bottom"/>
          </w:tcPr>
          <w:p>
            <w:pPr>
              <w:ind w:left="20"/>
              <w:spacing w:after="0"/>
              <w:rPr>
                <w:sz w:val="20"/>
                <w:szCs w:val="20"/>
                <w:color w:val="auto"/>
              </w:rPr>
            </w:pPr>
            <w:r>
              <w:rPr>
                <w:rFonts w:ascii="Arial" w:cs="Arial" w:eastAsia="Arial" w:hAnsi="Arial"/>
                <w:sz w:val="14"/>
                <w:szCs w:val="14"/>
                <w:color w:val="auto"/>
              </w:rPr>
              <w:t>monthly, principal is payable quarterly and due in full in October 2027.</w:t>
            </w: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7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3"/>
        </w:trPr>
        <w:tc>
          <w:tcPr>
            <w:tcW w:w="7680" w:type="dxa"/>
            <w:vAlign w:val="bottom"/>
            <w:shd w:val="clear" w:color="auto" w:fill="DBDBDB"/>
          </w:tcPr>
          <w:p>
            <w:pPr>
              <w:ind w:left="20"/>
              <w:spacing w:after="0"/>
              <w:rPr>
                <w:sz w:val="20"/>
                <w:szCs w:val="20"/>
                <w:color w:val="auto"/>
              </w:rPr>
            </w:pPr>
            <w:r>
              <w:rPr>
                <w:rFonts w:ascii="Arial" w:cs="Arial" w:eastAsia="Arial" w:hAnsi="Arial"/>
                <w:sz w:val="14"/>
                <w:szCs w:val="14"/>
                <w:color w:val="auto"/>
              </w:rPr>
              <w:t>Senior term loan (A-2). The interest rate is variable, based on SOFR plus a spread that varies with the Company’s leverage</w:t>
            </w:r>
          </w:p>
        </w:tc>
        <w:tc>
          <w:tcPr>
            <w:tcW w:w="560" w:type="dxa"/>
            <w:vAlign w:val="bottom"/>
            <w:shd w:val="clear" w:color="auto" w:fill="DBDBDB"/>
          </w:tcPr>
          <w:p>
            <w:pPr>
              <w:spacing w:after="0"/>
              <w:rPr>
                <w:sz w:val="15"/>
                <w:szCs w:val="15"/>
                <w:color w:val="auto"/>
              </w:rPr>
            </w:pPr>
          </w:p>
        </w:tc>
        <w:tc>
          <w:tcPr>
            <w:tcW w:w="128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auto"/>
              </w:rPr>
              <w:t>48.7</w:t>
            </w:r>
          </w:p>
        </w:tc>
        <w:tc>
          <w:tcPr>
            <w:tcW w:w="380" w:type="dxa"/>
            <w:vAlign w:val="bottom"/>
            <w:shd w:val="clear" w:color="auto" w:fill="DBDBDB"/>
          </w:tcPr>
          <w:p>
            <w:pPr>
              <w:spacing w:after="0"/>
              <w:rPr>
                <w:sz w:val="15"/>
                <w:szCs w:val="15"/>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49.0</w:t>
            </w:r>
          </w:p>
        </w:tc>
      </w:tr>
      <w:tr>
        <w:trPr>
          <w:trHeight w:val="168"/>
        </w:trPr>
        <w:tc>
          <w:tcPr>
            <w:tcW w:w="7680" w:type="dxa"/>
            <w:vAlign w:val="bottom"/>
            <w:shd w:val="clear" w:color="auto" w:fill="DBDBDB"/>
          </w:tcPr>
          <w:p>
            <w:pPr>
              <w:ind w:left="20"/>
              <w:spacing w:after="0"/>
              <w:rPr>
                <w:sz w:val="20"/>
                <w:szCs w:val="20"/>
                <w:color w:val="auto"/>
              </w:rPr>
            </w:pPr>
            <w:r>
              <w:rPr>
                <w:rFonts w:ascii="Arial" w:cs="Arial" w:eastAsia="Arial" w:hAnsi="Arial"/>
                <w:sz w:val="14"/>
                <w:szCs w:val="14"/>
                <w:color w:val="auto"/>
              </w:rPr>
              <w:t>ratio. As of April 30, 2025 and October 31, 2024, the interest rate was 6.17% and 6.54% respectively. Interest is payable</w:t>
            </w:r>
          </w:p>
        </w:tc>
        <w:tc>
          <w:tcPr>
            <w:tcW w:w="56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340" w:type="dxa"/>
            <w:vAlign w:val="bottom"/>
            <w:shd w:val="clear" w:color="auto" w:fill="DBDBDB"/>
          </w:tcPr>
          <w:p>
            <w:pPr>
              <w:spacing w:after="0"/>
              <w:rPr>
                <w:sz w:val="14"/>
                <w:szCs w:val="14"/>
                <w:color w:val="auto"/>
              </w:rPr>
            </w:pPr>
          </w:p>
        </w:tc>
      </w:tr>
      <w:tr>
        <w:trPr>
          <w:trHeight w:val="206"/>
        </w:trPr>
        <w:tc>
          <w:tcPr>
            <w:tcW w:w="7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monthly, principal is payable quarterly and due in full in October 2029.</w:t>
            </w:r>
          </w:p>
        </w:tc>
        <w:tc>
          <w:tcPr>
            <w:tcW w:w="560" w:type="dxa"/>
            <w:vAlign w:val="bottom"/>
            <w:tcBorders>
              <w:bottom w:val="single" w:sz="8" w:color="DBDBDB"/>
            </w:tcBorders>
            <w:shd w:val="clear" w:color="auto" w:fill="DBDBDB"/>
          </w:tcPr>
          <w:p>
            <w:pPr>
              <w:spacing w:after="0"/>
              <w:rPr>
                <w:sz w:val="17"/>
                <w:szCs w:val="17"/>
                <w:color w:val="auto"/>
              </w:rPr>
            </w:pPr>
          </w:p>
        </w:tc>
        <w:tc>
          <w:tcPr>
            <w:tcW w:w="1280" w:type="dxa"/>
            <w:vAlign w:val="bottom"/>
            <w:tcBorders>
              <w:bottom w:val="single" w:sz="8" w:color="DBDBDB"/>
            </w:tcBorders>
            <w:shd w:val="clear" w:color="auto" w:fill="DBDBDB"/>
          </w:tcPr>
          <w:p>
            <w:pPr>
              <w:spacing w:after="0"/>
              <w:rPr>
                <w:sz w:val="17"/>
                <w:szCs w:val="17"/>
                <w:color w:val="auto"/>
              </w:rPr>
            </w:pPr>
          </w:p>
        </w:tc>
        <w:tc>
          <w:tcPr>
            <w:tcW w:w="380" w:type="dxa"/>
            <w:vAlign w:val="bottom"/>
            <w:tcBorders>
              <w:bottom w:val="single" w:sz="8" w:color="DBDBDB"/>
            </w:tcBorders>
            <w:shd w:val="clear" w:color="auto" w:fill="DBDBDB"/>
          </w:tcPr>
          <w:p>
            <w:pPr>
              <w:spacing w:after="0"/>
              <w:rPr>
                <w:sz w:val="17"/>
                <w:szCs w:val="17"/>
                <w:color w:val="auto"/>
              </w:rPr>
            </w:pPr>
          </w:p>
        </w:tc>
        <w:tc>
          <w:tcPr>
            <w:tcW w:w="1340" w:type="dxa"/>
            <w:vAlign w:val="bottom"/>
            <w:tcBorders>
              <w:bottom w:val="single" w:sz="8" w:color="DBDBDB"/>
            </w:tcBorders>
            <w:shd w:val="clear" w:color="auto" w:fill="DBDBDB"/>
          </w:tcPr>
          <w:p>
            <w:pPr>
              <w:spacing w:after="0"/>
              <w:rPr>
                <w:sz w:val="17"/>
                <w:szCs w:val="17"/>
                <w:color w:val="auto"/>
              </w:rPr>
            </w:pPr>
          </w:p>
        </w:tc>
      </w:tr>
      <w:tr>
        <w:trPr>
          <w:trHeight w:val="192"/>
        </w:trPr>
        <w:tc>
          <w:tcPr>
            <w:tcW w:w="7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long-term debt</w:t>
            </w:r>
          </w:p>
        </w:tc>
        <w:tc>
          <w:tcPr>
            <w:tcW w:w="5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147.5</w:t>
            </w:r>
          </w:p>
        </w:tc>
        <w:tc>
          <w:tcPr>
            <w:tcW w:w="3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114.0</w:t>
            </w:r>
          </w:p>
        </w:tc>
      </w:tr>
      <w:tr>
        <w:trPr>
          <w:trHeight w:val="20"/>
        </w:trPr>
        <w:tc>
          <w:tcPr>
            <w:tcW w:w="7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4"/>
        </w:trPr>
        <w:tc>
          <w:tcPr>
            <w:tcW w:w="7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Less debt issuance costs</w:t>
            </w:r>
          </w:p>
        </w:tc>
        <w:tc>
          <w:tcPr>
            <w:tcW w:w="560" w:type="dxa"/>
            <w:vAlign w:val="bottom"/>
            <w:tcBorders>
              <w:bottom w:val="single" w:sz="8" w:color="DBDBDB"/>
            </w:tcBorders>
            <w:shd w:val="clear" w:color="auto" w:fill="DBDBDB"/>
          </w:tcPr>
          <w:p>
            <w:pPr>
              <w:spacing w:after="0"/>
              <w:rPr>
                <w:sz w:val="19"/>
                <w:szCs w:val="19"/>
                <w:color w:val="auto"/>
              </w:rPr>
            </w:pP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(0.3)</w:t>
            </w:r>
          </w:p>
        </w:tc>
        <w:tc>
          <w:tcPr>
            <w:tcW w:w="380" w:type="dxa"/>
            <w:vAlign w:val="bottom"/>
            <w:tcBorders>
              <w:bottom w:val="single" w:sz="8" w:color="DBDBDB"/>
            </w:tcBorders>
            <w:shd w:val="clear" w:color="auto" w:fill="DBDBDB"/>
          </w:tcPr>
          <w:p>
            <w:pPr>
              <w:spacing w:after="0"/>
              <w:rPr>
                <w:sz w:val="19"/>
                <w:szCs w:val="19"/>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(0.3)</w:t>
            </w:r>
          </w:p>
        </w:tc>
      </w:tr>
      <w:tr>
        <w:trPr>
          <w:trHeight w:val="192"/>
        </w:trPr>
        <w:tc>
          <w:tcPr>
            <w:tcW w:w="7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Long-term debt, net of debt issuance costs</w:t>
            </w:r>
          </w:p>
        </w:tc>
        <w:tc>
          <w:tcPr>
            <w:tcW w:w="5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147.2</w:t>
            </w:r>
          </w:p>
        </w:tc>
        <w:tc>
          <w:tcPr>
            <w:tcW w:w="3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113.7</w:t>
            </w:r>
          </w:p>
        </w:tc>
      </w:tr>
      <w:tr>
        <w:trPr>
          <w:trHeight w:val="20"/>
        </w:trPr>
        <w:tc>
          <w:tcPr>
            <w:tcW w:w="7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4"/>
        </w:trPr>
        <w:tc>
          <w:tcPr>
            <w:tcW w:w="7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Less current portion of long-term debt</w:t>
            </w:r>
          </w:p>
        </w:tc>
        <w:tc>
          <w:tcPr>
            <w:tcW w:w="560" w:type="dxa"/>
            <w:vAlign w:val="bottom"/>
            <w:tcBorders>
              <w:bottom w:val="single" w:sz="8" w:color="DBDBDB"/>
            </w:tcBorders>
            <w:shd w:val="clear" w:color="auto" w:fill="DBDBDB"/>
          </w:tcPr>
          <w:p>
            <w:pPr>
              <w:spacing w:after="0"/>
              <w:rPr>
                <w:sz w:val="19"/>
                <w:szCs w:val="19"/>
                <w:color w:val="auto"/>
              </w:rPr>
            </w:pP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(3.0)</w:t>
            </w:r>
          </w:p>
        </w:tc>
        <w:tc>
          <w:tcPr>
            <w:tcW w:w="380" w:type="dxa"/>
            <w:vAlign w:val="bottom"/>
            <w:tcBorders>
              <w:bottom w:val="single" w:sz="8" w:color="DBDBDB"/>
            </w:tcBorders>
            <w:shd w:val="clear" w:color="auto" w:fill="DBDBDB"/>
          </w:tcPr>
          <w:p>
            <w:pPr>
              <w:spacing w:after="0"/>
              <w:rPr>
                <w:sz w:val="19"/>
                <w:szCs w:val="19"/>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(3.0)</w:t>
            </w:r>
          </w:p>
        </w:tc>
      </w:tr>
      <w:tr>
        <w:trPr>
          <w:trHeight w:val="192"/>
        </w:trPr>
        <w:tc>
          <w:tcPr>
            <w:tcW w:w="7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Long-term debt, net of current portion</w:t>
            </w:r>
          </w:p>
        </w:tc>
        <w:tc>
          <w:tcPr>
            <w:tcW w:w="560" w:type="dxa"/>
            <w:vAlign w:val="bottom"/>
            <w:tcBorders>
              <w:top w:val="single" w:sz="8" w:color="auto"/>
            </w:tcBorders>
          </w:tcPr>
          <w:p>
            <w:pPr>
              <w:jc w:val="right"/>
              <w:ind w:right="271"/>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144.2</w:t>
            </w:r>
          </w:p>
        </w:tc>
        <w:tc>
          <w:tcPr>
            <w:tcW w:w="38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110.7</w:t>
            </w: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120" w:firstLine="619"/>
        <w:spacing w:after="0" w:line="264" w:lineRule="auto"/>
        <w:rPr>
          <w:sz w:val="20"/>
          <w:szCs w:val="20"/>
          <w:color w:val="auto"/>
        </w:rPr>
      </w:pPr>
      <w:r>
        <w:rPr>
          <w:rFonts w:ascii="Arial" w:cs="Arial" w:eastAsia="Arial" w:hAnsi="Arial"/>
          <w:sz w:val="14"/>
          <w:szCs w:val="14"/>
          <w:color w:val="auto"/>
        </w:rPr>
        <w:t>The credit facility requires the Company to comply with financial and other covenants, including limitations on investments, capital expenditures, dividend payments, amounts and types of liens and indebtedness, and material asset sales. The Company is also required to maintain certain leverage and fixed charge coverage ratios. As of April 30, 2025, the Company was in compliance with all financial covenants of the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w:t>
      </w:r>
    </w:p>
    <w:p>
      <w:pPr>
        <w:spacing w:after="0" w:line="221" w:lineRule="exact"/>
        <w:rPr>
          <w:sz w:val="20"/>
          <w:szCs w:val="20"/>
          <w:color w:val="auto"/>
        </w:rPr>
      </w:pPr>
    </w:p>
    <w:p>
      <w:pPr>
        <w:ind w:right="120" w:firstLine="619"/>
        <w:spacing w:after="0" w:line="259" w:lineRule="auto"/>
        <w:rPr>
          <w:sz w:val="20"/>
          <w:szCs w:val="20"/>
          <w:color w:val="auto"/>
        </w:rPr>
      </w:pPr>
      <w:r>
        <w:rPr>
          <w:rFonts w:ascii="Arial" w:cs="Arial" w:eastAsia="Arial" w:hAnsi="Arial"/>
          <w:sz w:val="14"/>
          <w:szCs w:val="14"/>
          <w:color w:val="auto"/>
        </w:rPr>
        <w:t>Certain of our consolidated subsidiaries may also enter into short-term bank borrowings from time to time. No short-term bank borrowings were outstanding as of April 30, 2025 and $3.0 million were outstanding as of October 31, 2024. The weighted average interest rate on short-term bank borrowings outstanding was 9.91% as of October 31, 2024. Our Blueberries business also obtains loans from shareholders from time to time, which accrue interest at rates ranging from 5.0 to 6.5%. Amounts outstanding as of April 30, 2025 are expected to be repaid by the end of fiscal 2026.</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rate swaps</w:t>
      </w:r>
    </w:p>
    <w:p>
      <w:pPr>
        <w:spacing w:after="0" w:line="234" w:lineRule="exact"/>
        <w:rPr>
          <w:sz w:val="20"/>
          <w:szCs w:val="20"/>
          <w:color w:val="auto"/>
        </w:rPr>
      </w:pPr>
    </w:p>
    <w:p>
      <w:pPr>
        <w:ind w:firstLine="619"/>
        <w:spacing w:after="0" w:line="268" w:lineRule="auto"/>
        <w:rPr>
          <w:sz w:val="20"/>
          <w:szCs w:val="20"/>
          <w:color w:val="auto"/>
        </w:rPr>
      </w:pPr>
      <w:r>
        <w:rPr>
          <w:rFonts w:ascii="Arial" w:cs="Arial" w:eastAsia="Arial" w:hAnsi="Arial"/>
          <w:sz w:val="13"/>
          <w:szCs w:val="13"/>
          <w:color w:val="auto"/>
        </w:rPr>
        <w:t>From time to time, the Company may enter into interest rate swap contracts to hedge changes in variable interest rates on the principal value of the Company’s term loans. We account for interest rate swaps in accordance with ASC 815, Derivatives and Hedging, as amended, which requires the recognition of all derivative instruments as either assets or liabilities in the condensed consolidated balance sheets and measurement of those instruments at fair value. The Company did not designate the interest rate swaps as cash flow hedges, and as a result under the accounting guidance, changes in the fair value of the interest rate swaps were recorded in other (expense) income, net in the condensed consolidated statements of income and changes in the assets are presented in net cash (used in) provided by operating activities in the condensed consolidated statements of cash flow. As of</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April 30, 2025 and October 31, 2024, a notional amount of $10 million was outstanding, carrying a fixed SOFR rate of 4.47%. Refer to Note 9 for more details.</w:t>
      </w:r>
    </w:p>
    <w:p>
      <w:pPr>
        <w:spacing w:after="0" w:line="228" w:lineRule="exact"/>
        <w:rPr>
          <w:sz w:val="20"/>
          <w:szCs w:val="20"/>
          <w:color w:val="auto"/>
        </w:rPr>
      </w:pPr>
    </w:p>
    <w:p>
      <w:pPr>
        <w:ind w:left="440" w:hanging="437"/>
        <w:spacing w:after="0"/>
        <w:tabs>
          <w:tab w:leader="none" w:pos="44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Litigation</w:t>
      </w:r>
    </w:p>
    <w:p>
      <w:pPr>
        <w:spacing w:after="0" w:line="234" w:lineRule="exact"/>
        <w:rPr>
          <w:sz w:val="20"/>
          <w:szCs w:val="20"/>
          <w:color w:val="auto"/>
        </w:rPr>
      </w:pPr>
    </w:p>
    <w:p>
      <w:pPr>
        <w:ind w:right="680" w:firstLine="619"/>
        <w:spacing w:after="0" w:line="278" w:lineRule="auto"/>
        <w:rPr>
          <w:sz w:val="20"/>
          <w:szCs w:val="20"/>
          <w:color w:val="auto"/>
        </w:rPr>
      </w:pPr>
      <w:r>
        <w:rPr>
          <w:rFonts w:ascii="Arial" w:cs="Arial" w:eastAsia="Arial" w:hAnsi="Arial"/>
          <w:sz w:val="14"/>
          <w:szCs w:val="14"/>
          <w:color w:val="auto"/>
        </w:rPr>
        <w:t>We are from time to time involved in legal proceedings and investigations arising in the ordinary course of business, including those relating to employment matters, relationships with clients and contractors, intellectual property disputes and other business matters.</w:t>
      </w:r>
    </w:p>
    <w:p>
      <w:pPr>
        <w:spacing w:after="0" w:line="156" w:lineRule="exact"/>
        <w:rPr>
          <w:sz w:val="20"/>
          <w:szCs w:val="20"/>
          <w:color w:val="auto"/>
        </w:rPr>
      </w:pPr>
    </w:p>
    <w:p>
      <w:pPr>
        <w:ind w:right="20" w:firstLine="619"/>
        <w:spacing w:after="0" w:line="251" w:lineRule="auto"/>
        <w:rPr>
          <w:sz w:val="20"/>
          <w:szCs w:val="20"/>
          <w:color w:val="auto"/>
        </w:rPr>
      </w:pPr>
      <w:r>
        <w:rPr>
          <w:rFonts w:ascii="Arial" w:cs="Arial" w:eastAsia="Arial" w:hAnsi="Arial"/>
          <w:sz w:val="14"/>
          <w:szCs w:val="14"/>
          <w:color w:val="auto"/>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While the Company believes that it did not violate any wage or labor laws, in May 2021, the plaintiffs in both class action lawsuits and the Company agreed to settle the class action cases. Per the terms of the settlement agreement between the parties, the total amount of the settlement is $1.5 million. The Court granted Final Approval of the Class Action Settlement on June 10, 2024. Payment was sent to the Settlement Administrator on June 26, 2024, to be distributed directly to the class members. Once all settlement checks have been distributed and cashed or returned pursuant to the terms of the Settlement Agreement, the action will be dismissed with prejudice. The Court has set a deadline of June 2025 for Plaintiff to file a declaration from the settlement administrator regarding disbursal of funds.</w:t>
      </w:r>
    </w:p>
    <w:p>
      <w:pPr>
        <w:spacing w:after="0" w:line="186" w:lineRule="exact"/>
        <w:rPr>
          <w:sz w:val="20"/>
          <w:szCs w:val="20"/>
          <w:color w:val="auto"/>
        </w:rPr>
      </w:pPr>
    </w:p>
    <w:p>
      <w:pPr>
        <w:ind w:firstLine="619"/>
        <w:spacing w:after="0" w:line="252" w:lineRule="auto"/>
        <w:rPr>
          <w:sz w:val="20"/>
          <w:szCs w:val="20"/>
          <w:color w:val="auto"/>
        </w:rPr>
      </w:pPr>
      <w:r>
        <w:rPr>
          <w:rFonts w:ascii="Arial" w:cs="Arial" w:eastAsia="Arial" w:hAnsi="Arial"/>
          <w:sz w:val="14"/>
          <w:szCs w:val="14"/>
          <w:color w:val="auto"/>
        </w:rPr>
        <w:t>On October 21, 2024, a former temporary worker placed at the Company’s California packinghouse by a labor contractor utilized by the Company, filed a class action lawsuit in the Superior Court of the State of California for the County of Ventura County against us alleging violations of certain wage and hour laws. The plaintiff seeks damages primarily consisting of class certification, payment of wages earned and owed, liquidated damages, penalties and fees, and injunctive relief. The Company is vigorously defending against the claims. At this time, it is too soon to determine the outcome of the litigation. As a result, the Company has not accrued for any loss contingencies related to these claims because the amount and range of loss, if any, cannot currently be reasonably estimated.</w:t>
      </w:r>
    </w:p>
    <w:p>
      <w:pPr>
        <w:spacing w:after="0" w:line="186" w:lineRule="exact"/>
        <w:rPr>
          <w:sz w:val="20"/>
          <w:szCs w:val="20"/>
          <w:color w:val="auto"/>
        </w:rPr>
      </w:pPr>
    </w:p>
    <w:p>
      <w:pPr>
        <w:ind w:right="20" w:firstLine="619"/>
        <w:spacing w:after="0" w:line="248" w:lineRule="auto"/>
        <w:rPr>
          <w:sz w:val="20"/>
          <w:szCs w:val="20"/>
          <w:color w:val="auto"/>
        </w:rPr>
      </w:pPr>
      <w:r>
        <w:rPr>
          <w:rFonts w:ascii="Arial" w:cs="Arial" w:eastAsia="Arial" w:hAnsi="Arial"/>
          <w:sz w:val="14"/>
          <w:szCs w:val="14"/>
          <w:color w:val="auto"/>
        </w:rPr>
        <w:t>On November 6, 2024, the Organics Consumers Association filed a lawsuit in the Superior Court of the District of Columbia alleging the Company engaged in false and deceptive advertising in violation of the D.C. Consumer Protection and Procedures Act by making representations about sustainable sourcing practice in connection with its sale of avocados. Plaintiff seeks only declaratory and injunctive relief. On February 21, 2025, the same lawyers that represent the Organic Consumers Association filed a putative class action lawsuit on behalf of Kachuk Enterprises, Bantle Avocado Farm, Maskell Family Trust, and Northern Capital, Inc., owners and operators of avocado orchards located in California, against the Company and certain other avocado distributors. The lawsuit alleges violations of California’s False Advertising Law, California’s Unfair Competition Law, and unjust enrichment related to defendants’ alleged representations to consumers that their avocados are sustainably and responsibly sourced. Plaintiffs primarily seek injunctive relief, monetary and statutory damages, disgorgement of profits, and restitution.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Company is vigorously defending against the claims asserted in both these lawsuits. At this time, it is too soon to determine the outcome of these lawsuits. As a result, the Company has not accrued for any loss contingencies related to these matters because the amount and range of loss, if any, cannot be reasonably estimated.</w:t>
      </w:r>
    </w:p>
    <w:p>
      <w:pPr>
        <w:spacing w:after="0" w:line="168" w:lineRule="exact"/>
        <w:rPr>
          <w:sz w:val="20"/>
          <w:szCs w:val="20"/>
          <w:color w:val="auto"/>
        </w:rPr>
      </w:pPr>
    </w:p>
    <w:p>
      <w:pPr>
        <w:ind w:right="320" w:firstLine="619"/>
        <w:spacing w:after="0" w:line="264" w:lineRule="auto"/>
        <w:rPr>
          <w:sz w:val="20"/>
          <w:szCs w:val="20"/>
          <w:color w:val="auto"/>
        </w:rPr>
      </w:pPr>
      <w:r>
        <w:rPr>
          <w:rFonts w:ascii="Arial" w:cs="Arial" w:eastAsia="Arial" w:hAnsi="Arial"/>
          <w:sz w:val="14"/>
          <w:szCs w:val="14"/>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205" w:lineRule="exact"/>
        <w:rPr>
          <w:sz w:val="20"/>
          <w:szCs w:val="20"/>
          <w:color w:val="auto"/>
        </w:rPr>
      </w:pPr>
    </w:p>
    <w:p>
      <w:pPr>
        <w:ind w:left="380" w:hanging="377"/>
        <w:spacing w:after="0"/>
        <w:tabs>
          <w:tab w:leader="none" w:pos="3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28" w:lineRule="exact"/>
        <w:rPr>
          <w:sz w:val="20"/>
          <w:szCs w:val="20"/>
          <w:color w:val="auto"/>
        </w:rPr>
      </w:pPr>
    </w:p>
    <w:p>
      <w:pPr>
        <w:ind w:right="60" w:firstLine="619"/>
        <w:spacing w:after="0" w:line="264" w:lineRule="auto"/>
        <w:rPr>
          <w:sz w:val="20"/>
          <w:szCs w:val="20"/>
          <w:color w:val="auto"/>
        </w:rPr>
      </w:pPr>
      <w:r>
        <w:rPr>
          <w:rFonts w:ascii="Arial" w:cs="Arial" w:eastAsia="Arial" w:hAnsi="Arial"/>
          <w:sz w:val="14"/>
          <w:szCs w:val="14"/>
          <w:color w:val="auto"/>
        </w:rPr>
        <w:t>The provision for income tax recorded for the three and six months ended April 30, 2025 and 2024 differs from the income taxes expected at the U.S. federal statutory tax rate of 21.0%, primarily due to income attributable to foreign jurisdictions which is taxed at different rates, changes in foreign exchange rates taxable in foreign jurisdictions, state taxes, nondeductible tax items and changes in uncertain tax positions (“UTP”).</w:t>
      </w:r>
    </w:p>
    <w:p>
      <w:pPr>
        <w:spacing w:after="0" w:line="178" w:lineRule="exact"/>
        <w:rPr>
          <w:sz w:val="20"/>
          <w:szCs w:val="20"/>
          <w:color w:val="auto"/>
        </w:rPr>
      </w:pPr>
    </w:p>
    <w:p>
      <w:pPr>
        <w:ind w:right="200" w:firstLine="619"/>
        <w:spacing w:after="0" w:line="254" w:lineRule="auto"/>
        <w:rPr>
          <w:sz w:val="20"/>
          <w:szCs w:val="20"/>
          <w:color w:val="auto"/>
        </w:rPr>
      </w:pPr>
      <w:r>
        <w:rPr>
          <w:rFonts w:ascii="Arial" w:cs="Arial" w:eastAsia="Arial" w:hAnsi="Arial"/>
          <w:sz w:val="14"/>
          <w:szCs w:val="14"/>
          <w:color w:val="auto"/>
        </w:rPr>
        <w:t>As of April 30, 2025, the Company had $16.3 million accrued in UTP on income taxes, of which $9.0 million relates to interest and penalties, inclusive of inflationary adjustments. The period for assessing interest and penalties has expired. However, the Company continues to record certain statutory adjustments related to inflation. Changes in the UTP related to changes in foreign exchange rates during the period are included in other (expense) income, net in the condensed consolidated statements of income.</w:t>
      </w:r>
    </w:p>
    <w:p>
      <w:pPr>
        <w:spacing w:after="0" w:line="200" w:lineRule="exact"/>
        <w:rPr>
          <w:sz w:val="20"/>
          <w:szCs w:val="20"/>
          <w:color w:val="auto"/>
        </w:rPr>
      </w:pPr>
    </w:p>
    <w:p>
      <w:pPr>
        <w:spacing w:after="0" w:line="257" w:lineRule="exact"/>
        <w:rPr>
          <w:sz w:val="20"/>
          <w:szCs w:val="20"/>
          <w:color w:val="auto"/>
        </w:rPr>
      </w:pPr>
    </w:p>
    <w:p>
      <w:pPr>
        <w:ind w:left="380" w:hanging="377"/>
        <w:spacing w:after="0"/>
        <w:tabs>
          <w:tab w:leader="none" w:pos="38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Financial assets or liabilities measured and recorded at fair value on a recurring basis included in the condensed consolidated balance sheets were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897"/>
              <w:spacing w:after="0"/>
              <w:rPr>
                <w:sz w:val="20"/>
                <w:szCs w:val="20"/>
                <w:color w:val="auto"/>
              </w:rPr>
            </w:pPr>
            <w:r>
              <w:rPr>
                <w:rFonts w:ascii="Arial" w:cs="Arial" w:eastAsia="Arial" w:hAnsi="Arial"/>
                <w:sz w:val="14"/>
                <w:szCs w:val="14"/>
                <w:b w:val="1"/>
                <w:bCs w:val="1"/>
                <w:color w:val="auto"/>
              </w:rPr>
              <w:t>April 30, 2025</w:t>
            </w:r>
          </w:p>
        </w:tc>
        <w:tc>
          <w:tcPr>
            <w:tcW w:w="9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797"/>
              <w:spacing w:after="0"/>
              <w:rPr>
                <w:sz w:val="20"/>
                <w:szCs w:val="20"/>
                <w:color w:val="auto"/>
              </w:rPr>
            </w:pPr>
            <w:r>
              <w:rPr>
                <w:rFonts w:ascii="Arial" w:cs="Arial" w:eastAsia="Arial" w:hAnsi="Arial"/>
                <w:sz w:val="14"/>
                <w:szCs w:val="14"/>
                <w:b w:val="1"/>
                <w:bCs w:val="1"/>
                <w:color w:val="auto"/>
              </w:rPr>
              <w:t>October 31, 2024</w:t>
            </w:r>
          </w:p>
        </w:tc>
        <w:tc>
          <w:tcPr>
            <w:tcW w:w="920" w:type="dxa"/>
            <w:vAlign w:val="bottom"/>
            <w:tcBorders>
              <w:bottom w:val="single" w:sz="8" w:color="auto"/>
            </w:tcBorders>
          </w:tcPr>
          <w:p>
            <w:pPr>
              <w:spacing w:after="0"/>
              <w:rPr>
                <w:sz w:val="17"/>
                <w:szCs w:val="17"/>
                <w:color w:val="auto"/>
              </w:rPr>
            </w:pPr>
          </w:p>
        </w:tc>
      </w:tr>
      <w:tr>
        <w:trPr>
          <w:trHeight w:val="150"/>
        </w:trPr>
        <w:tc>
          <w:tcPr>
            <w:tcW w:w="1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297"/>
              <w:spacing w:after="0"/>
              <w:rPr>
                <w:sz w:val="20"/>
                <w:szCs w:val="20"/>
                <w:color w:val="auto"/>
              </w:rPr>
            </w:pPr>
            <w:r>
              <w:rPr>
                <w:rFonts w:ascii="Arial" w:cs="Arial" w:eastAsia="Arial" w:hAnsi="Arial"/>
                <w:sz w:val="12"/>
                <w:szCs w:val="12"/>
                <w:color w:val="auto"/>
              </w:rPr>
              <w:t>Significant</w:t>
            </w: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297"/>
              <w:spacing w:after="0"/>
              <w:rPr>
                <w:sz w:val="20"/>
                <w:szCs w:val="20"/>
                <w:color w:val="auto"/>
              </w:rPr>
            </w:pPr>
            <w:r>
              <w:rPr>
                <w:rFonts w:ascii="Arial" w:cs="Arial" w:eastAsia="Arial" w:hAnsi="Arial"/>
                <w:sz w:val="12"/>
                <w:szCs w:val="12"/>
                <w:color w:val="auto"/>
              </w:rPr>
              <w:t>Significant</w:t>
            </w:r>
          </w:p>
        </w:tc>
        <w:tc>
          <w:tcPr>
            <w:tcW w:w="920" w:type="dxa"/>
            <w:vAlign w:val="bottom"/>
          </w:tcPr>
          <w:p>
            <w:pPr>
              <w:spacing w:after="0"/>
              <w:rPr>
                <w:sz w:val="13"/>
                <w:szCs w:val="13"/>
                <w:color w:val="auto"/>
              </w:rPr>
            </w:pPr>
          </w:p>
        </w:tc>
      </w:tr>
      <w:tr>
        <w:trPr>
          <w:trHeight w:val="142"/>
        </w:trPr>
        <w:tc>
          <w:tcPr>
            <w:tcW w:w="1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Quoted Prices</w:t>
            </w:r>
          </w:p>
        </w:tc>
        <w:tc>
          <w:tcPr>
            <w:tcW w:w="320" w:type="dxa"/>
            <w:vAlign w:val="bottom"/>
          </w:tcPr>
          <w:p>
            <w:pPr>
              <w:spacing w:after="0"/>
              <w:rPr>
                <w:sz w:val="12"/>
                <w:szCs w:val="12"/>
                <w:color w:val="auto"/>
              </w:rPr>
            </w:pPr>
          </w:p>
        </w:tc>
        <w:tc>
          <w:tcPr>
            <w:tcW w:w="1160" w:type="dxa"/>
            <w:vAlign w:val="bottom"/>
          </w:tcPr>
          <w:p>
            <w:pPr>
              <w:jc w:val="right"/>
              <w:ind w:right="297"/>
              <w:spacing w:after="0"/>
              <w:rPr>
                <w:sz w:val="20"/>
                <w:szCs w:val="20"/>
                <w:color w:val="auto"/>
              </w:rPr>
            </w:pPr>
            <w:r>
              <w:rPr>
                <w:rFonts w:ascii="Arial" w:cs="Arial" w:eastAsia="Arial" w:hAnsi="Arial"/>
                <w:sz w:val="12"/>
                <w:szCs w:val="12"/>
                <w:color w:val="auto"/>
              </w:rPr>
              <w:t>Other</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Significant</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Quoted Prices</w:t>
            </w:r>
          </w:p>
        </w:tc>
        <w:tc>
          <w:tcPr>
            <w:tcW w:w="320" w:type="dxa"/>
            <w:vAlign w:val="bottom"/>
          </w:tcPr>
          <w:p>
            <w:pPr>
              <w:spacing w:after="0"/>
              <w:rPr>
                <w:sz w:val="12"/>
                <w:szCs w:val="12"/>
                <w:color w:val="auto"/>
              </w:rPr>
            </w:pPr>
          </w:p>
        </w:tc>
        <w:tc>
          <w:tcPr>
            <w:tcW w:w="1160" w:type="dxa"/>
            <w:vAlign w:val="bottom"/>
          </w:tcPr>
          <w:p>
            <w:pPr>
              <w:jc w:val="right"/>
              <w:ind w:right="297"/>
              <w:spacing w:after="0"/>
              <w:rPr>
                <w:sz w:val="20"/>
                <w:szCs w:val="20"/>
                <w:color w:val="auto"/>
              </w:rPr>
            </w:pPr>
            <w:r>
              <w:rPr>
                <w:rFonts w:ascii="Arial" w:cs="Arial" w:eastAsia="Arial" w:hAnsi="Arial"/>
                <w:sz w:val="12"/>
                <w:szCs w:val="12"/>
                <w:color w:val="auto"/>
              </w:rPr>
              <w:t>Other</w:t>
            </w:r>
          </w:p>
        </w:tc>
        <w:tc>
          <w:tcPr>
            <w:tcW w:w="920" w:type="dxa"/>
            <w:vAlign w:val="bottom"/>
          </w:tcPr>
          <w:p>
            <w:pPr>
              <w:jc w:val="right"/>
              <w:spacing w:after="0"/>
              <w:rPr>
                <w:sz w:val="20"/>
                <w:szCs w:val="20"/>
                <w:color w:val="auto"/>
              </w:rPr>
            </w:pPr>
            <w:r>
              <w:rPr>
                <w:rFonts w:ascii="Arial" w:cs="Arial" w:eastAsia="Arial" w:hAnsi="Arial"/>
                <w:sz w:val="12"/>
                <w:szCs w:val="12"/>
                <w:color w:val="auto"/>
              </w:rPr>
              <w:t>Significant</w:t>
            </w:r>
          </w:p>
        </w:tc>
      </w:tr>
      <w:tr>
        <w:trPr>
          <w:trHeight w:val="142"/>
        </w:trPr>
        <w:tc>
          <w:tcPr>
            <w:tcW w:w="1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in Active</w:t>
            </w:r>
          </w:p>
        </w:tc>
        <w:tc>
          <w:tcPr>
            <w:tcW w:w="320" w:type="dxa"/>
            <w:vAlign w:val="bottom"/>
          </w:tcPr>
          <w:p>
            <w:pPr>
              <w:spacing w:after="0"/>
              <w:rPr>
                <w:sz w:val="12"/>
                <w:szCs w:val="12"/>
                <w:color w:val="auto"/>
              </w:rPr>
            </w:pPr>
          </w:p>
        </w:tc>
        <w:tc>
          <w:tcPr>
            <w:tcW w:w="1160" w:type="dxa"/>
            <w:vAlign w:val="bottom"/>
          </w:tcPr>
          <w:p>
            <w:pPr>
              <w:jc w:val="right"/>
              <w:ind w:right="297"/>
              <w:spacing w:after="0"/>
              <w:rPr>
                <w:sz w:val="20"/>
                <w:szCs w:val="20"/>
                <w:color w:val="auto"/>
              </w:rPr>
            </w:pPr>
            <w:r>
              <w:rPr>
                <w:rFonts w:ascii="Arial" w:cs="Arial" w:eastAsia="Arial" w:hAnsi="Arial"/>
                <w:sz w:val="12"/>
                <w:szCs w:val="12"/>
                <w:color w:val="auto"/>
              </w:rPr>
              <w:t>Observable</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Unobservable</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in Active</w:t>
            </w:r>
          </w:p>
        </w:tc>
        <w:tc>
          <w:tcPr>
            <w:tcW w:w="320" w:type="dxa"/>
            <w:vAlign w:val="bottom"/>
          </w:tcPr>
          <w:p>
            <w:pPr>
              <w:spacing w:after="0"/>
              <w:rPr>
                <w:sz w:val="12"/>
                <w:szCs w:val="12"/>
                <w:color w:val="auto"/>
              </w:rPr>
            </w:pPr>
          </w:p>
        </w:tc>
        <w:tc>
          <w:tcPr>
            <w:tcW w:w="1160" w:type="dxa"/>
            <w:vAlign w:val="bottom"/>
          </w:tcPr>
          <w:p>
            <w:pPr>
              <w:jc w:val="right"/>
              <w:ind w:right="297"/>
              <w:spacing w:after="0"/>
              <w:rPr>
                <w:sz w:val="20"/>
                <w:szCs w:val="20"/>
                <w:color w:val="auto"/>
              </w:rPr>
            </w:pPr>
            <w:r>
              <w:rPr>
                <w:rFonts w:ascii="Arial" w:cs="Arial" w:eastAsia="Arial" w:hAnsi="Arial"/>
                <w:sz w:val="12"/>
                <w:szCs w:val="12"/>
                <w:color w:val="auto"/>
              </w:rPr>
              <w:t>Observable</w:t>
            </w:r>
          </w:p>
        </w:tc>
        <w:tc>
          <w:tcPr>
            <w:tcW w:w="920" w:type="dxa"/>
            <w:vAlign w:val="bottom"/>
          </w:tcPr>
          <w:p>
            <w:pPr>
              <w:jc w:val="right"/>
              <w:spacing w:after="0"/>
              <w:rPr>
                <w:sz w:val="20"/>
                <w:szCs w:val="20"/>
                <w:color w:val="auto"/>
              </w:rPr>
            </w:pPr>
            <w:r>
              <w:rPr>
                <w:rFonts w:ascii="Arial" w:cs="Arial" w:eastAsia="Arial" w:hAnsi="Arial"/>
                <w:sz w:val="12"/>
                <w:szCs w:val="12"/>
                <w:color w:val="auto"/>
              </w:rPr>
              <w:t>Unobservable</w:t>
            </w:r>
          </w:p>
        </w:tc>
      </w:tr>
      <w:tr>
        <w:trPr>
          <w:trHeight w:val="142"/>
        </w:trPr>
        <w:tc>
          <w:tcPr>
            <w:tcW w:w="1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Markets</w:t>
            </w:r>
          </w:p>
        </w:tc>
        <w:tc>
          <w:tcPr>
            <w:tcW w:w="320" w:type="dxa"/>
            <w:vAlign w:val="bottom"/>
          </w:tcPr>
          <w:p>
            <w:pPr>
              <w:spacing w:after="0"/>
              <w:rPr>
                <w:sz w:val="12"/>
                <w:szCs w:val="12"/>
                <w:color w:val="auto"/>
              </w:rPr>
            </w:pPr>
          </w:p>
        </w:tc>
        <w:tc>
          <w:tcPr>
            <w:tcW w:w="1160" w:type="dxa"/>
            <w:vAlign w:val="bottom"/>
          </w:tcPr>
          <w:p>
            <w:pPr>
              <w:jc w:val="right"/>
              <w:ind w:right="297"/>
              <w:spacing w:after="0"/>
              <w:rPr>
                <w:sz w:val="20"/>
                <w:szCs w:val="20"/>
                <w:color w:val="auto"/>
              </w:rPr>
            </w:pPr>
            <w:r>
              <w:rPr>
                <w:rFonts w:ascii="Arial" w:cs="Arial" w:eastAsia="Arial" w:hAnsi="Arial"/>
                <w:sz w:val="12"/>
                <w:szCs w:val="12"/>
                <w:color w:val="auto"/>
              </w:rPr>
              <w:t>Inputs</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Inputs</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36"/>
              <w:spacing w:after="0"/>
              <w:rPr>
                <w:sz w:val="20"/>
                <w:szCs w:val="20"/>
                <w:color w:val="auto"/>
              </w:rPr>
            </w:pPr>
            <w:r>
              <w:rPr>
                <w:rFonts w:ascii="Arial" w:cs="Arial" w:eastAsia="Arial" w:hAnsi="Arial"/>
                <w:sz w:val="12"/>
                <w:szCs w:val="12"/>
                <w:color w:val="auto"/>
              </w:rPr>
              <w:t>Markets</w:t>
            </w:r>
          </w:p>
        </w:tc>
        <w:tc>
          <w:tcPr>
            <w:tcW w:w="320" w:type="dxa"/>
            <w:vAlign w:val="bottom"/>
          </w:tcPr>
          <w:p>
            <w:pPr>
              <w:spacing w:after="0"/>
              <w:rPr>
                <w:sz w:val="12"/>
                <w:szCs w:val="12"/>
                <w:color w:val="auto"/>
              </w:rPr>
            </w:pPr>
          </w:p>
        </w:tc>
        <w:tc>
          <w:tcPr>
            <w:tcW w:w="1160" w:type="dxa"/>
            <w:vAlign w:val="bottom"/>
          </w:tcPr>
          <w:p>
            <w:pPr>
              <w:jc w:val="right"/>
              <w:ind w:right="297"/>
              <w:spacing w:after="0"/>
              <w:rPr>
                <w:sz w:val="20"/>
                <w:szCs w:val="20"/>
                <w:color w:val="auto"/>
              </w:rPr>
            </w:pPr>
            <w:r>
              <w:rPr>
                <w:rFonts w:ascii="Arial" w:cs="Arial" w:eastAsia="Arial" w:hAnsi="Arial"/>
                <w:sz w:val="12"/>
                <w:szCs w:val="12"/>
                <w:color w:val="auto"/>
              </w:rPr>
              <w:t>Inputs</w:t>
            </w:r>
          </w:p>
        </w:tc>
        <w:tc>
          <w:tcPr>
            <w:tcW w:w="920" w:type="dxa"/>
            <w:vAlign w:val="bottom"/>
          </w:tcPr>
          <w:p>
            <w:pPr>
              <w:jc w:val="right"/>
              <w:spacing w:after="0"/>
              <w:rPr>
                <w:sz w:val="20"/>
                <w:szCs w:val="20"/>
                <w:color w:val="auto"/>
              </w:rPr>
            </w:pPr>
            <w:r>
              <w:rPr>
                <w:rFonts w:ascii="Arial" w:cs="Arial" w:eastAsia="Arial" w:hAnsi="Arial"/>
                <w:sz w:val="12"/>
                <w:szCs w:val="12"/>
                <w:color w:val="auto"/>
              </w:rPr>
              <w:t>Inputs</w:t>
            </w:r>
          </w:p>
        </w:tc>
      </w:tr>
      <w:tr>
        <w:trPr>
          <w:trHeight w:val="191"/>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 millions)</w:t>
            </w:r>
          </w:p>
        </w:tc>
        <w:tc>
          <w:tcPr>
            <w:tcW w:w="4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340"/>
              <w:spacing w:after="0"/>
              <w:rPr>
                <w:sz w:val="20"/>
                <w:szCs w:val="20"/>
                <w:color w:val="auto"/>
              </w:rPr>
            </w:pPr>
            <w:r>
              <w:rPr>
                <w:rFonts w:ascii="Arial" w:cs="Arial" w:eastAsia="Arial" w:hAnsi="Arial"/>
                <w:sz w:val="12"/>
                <w:szCs w:val="12"/>
                <w:color w:val="auto"/>
              </w:rPr>
              <w:t>Total</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(Level 1)</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7"/>
              <w:spacing w:after="0"/>
              <w:rPr>
                <w:sz w:val="20"/>
                <w:szCs w:val="20"/>
                <w:color w:val="auto"/>
              </w:rPr>
            </w:pPr>
            <w:r>
              <w:rPr>
                <w:rFonts w:ascii="Arial" w:cs="Arial" w:eastAsia="Arial" w:hAnsi="Arial"/>
                <w:sz w:val="12"/>
                <w:szCs w:val="12"/>
                <w:color w:val="auto"/>
              </w:rPr>
              <w:t>(Level 2)</w:t>
            </w: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(Level 3)</w:t>
            </w: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340"/>
              <w:spacing w:after="0"/>
              <w:rPr>
                <w:sz w:val="20"/>
                <w:szCs w:val="20"/>
                <w:color w:val="auto"/>
              </w:rPr>
            </w:pPr>
            <w:r>
              <w:rPr>
                <w:rFonts w:ascii="Arial" w:cs="Arial" w:eastAsia="Arial" w:hAnsi="Arial"/>
                <w:sz w:val="12"/>
                <w:szCs w:val="12"/>
                <w:color w:val="auto"/>
              </w:rPr>
              <w:t>Total</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(Level 1)</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7"/>
              <w:spacing w:after="0"/>
              <w:rPr>
                <w:sz w:val="20"/>
                <w:szCs w:val="20"/>
                <w:color w:val="auto"/>
              </w:rPr>
            </w:pPr>
            <w:r>
              <w:rPr>
                <w:rFonts w:ascii="Arial" w:cs="Arial" w:eastAsia="Arial" w:hAnsi="Arial"/>
                <w:sz w:val="12"/>
                <w:szCs w:val="12"/>
                <w:color w:val="auto"/>
              </w:rPr>
              <w:t>(Level 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(Level 3)</w:t>
            </w:r>
          </w:p>
        </w:tc>
      </w:tr>
      <w:tr>
        <w:trPr>
          <w:trHeight w:val="219"/>
        </w:trPr>
        <w:tc>
          <w:tcPr>
            <w:tcW w:w="174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Assets</w:t>
            </w:r>
          </w:p>
        </w:tc>
        <w:tc>
          <w:tcPr>
            <w:tcW w:w="42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r>
      <w:tr>
        <w:trPr>
          <w:trHeight w:val="199"/>
        </w:trPr>
        <w:tc>
          <w:tcPr>
            <w:tcW w:w="1740" w:type="dxa"/>
            <w:vAlign w:val="bottom"/>
          </w:tcPr>
          <w:p>
            <w:pPr>
              <w:ind w:left="20"/>
              <w:spacing w:after="0"/>
              <w:rPr>
                <w:sz w:val="20"/>
                <w:szCs w:val="20"/>
                <w:color w:val="auto"/>
              </w:rPr>
            </w:pPr>
            <w:r>
              <w:rPr>
                <w:rFonts w:ascii="Arial" w:cs="Arial" w:eastAsia="Arial" w:hAnsi="Arial"/>
                <w:sz w:val="14"/>
                <w:szCs w:val="14"/>
                <w:color w:val="auto"/>
              </w:rPr>
              <w:t>Mutual funds</w:t>
            </w:r>
          </w:p>
        </w:tc>
        <w:tc>
          <w:tcPr>
            <w:tcW w:w="420" w:type="dxa"/>
            <w:vAlign w:val="bottom"/>
          </w:tcPr>
          <w:p>
            <w:pPr>
              <w:jc w:val="right"/>
              <w:ind w:right="271"/>
              <w:spacing w:after="0"/>
              <w:rPr>
                <w:sz w:val="20"/>
                <w:szCs w:val="20"/>
                <w:color w:val="auto"/>
              </w:rPr>
            </w:pPr>
            <w:r>
              <w:rPr>
                <w:rFonts w:ascii="Arial" w:cs="Arial" w:eastAsia="Arial" w:hAnsi="Arial"/>
                <w:sz w:val="14"/>
                <w:szCs w:val="14"/>
                <w:color w:val="auto"/>
                <w:w w:val="76"/>
              </w:rPr>
              <w:t>$</w:t>
            </w:r>
          </w:p>
        </w:tc>
        <w:tc>
          <w:tcPr>
            <w:tcW w:w="640" w:type="dxa"/>
            <w:vAlign w:val="bottom"/>
          </w:tcPr>
          <w:p>
            <w:pPr>
              <w:ind w:left="340"/>
              <w:spacing w:after="0"/>
              <w:rPr>
                <w:sz w:val="20"/>
                <w:szCs w:val="20"/>
                <w:color w:val="auto"/>
              </w:rPr>
            </w:pPr>
            <w:r>
              <w:rPr>
                <w:rFonts w:ascii="Arial" w:cs="Arial" w:eastAsia="Arial" w:hAnsi="Arial"/>
                <w:sz w:val="14"/>
                <w:szCs w:val="14"/>
                <w:color w:val="auto"/>
              </w:rPr>
              <w:t>2.3</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6"/>
              <w:spacing w:after="0"/>
              <w:rPr>
                <w:sz w:val="20"/>
                <w:szCs w:val="20"/>
                <w:color w:val="auto"/>
              </w:rPr>
            </w:pPr>
            <w:r>
              <w:rPr>
                <w:rFonts w:ascii="Arial" w:cs="Arial" w:eastAsia="Arial" w:hAnsi="Arial"/>
                <w:sz w:val="14"/>
                <w:szCs w:val="14"/>
                <w:color w:val="auto"/>
              </w:rPr>
              <w:t>2.3</w:t>
            </w:r>
          </w:p>
        </w:tc>
        <w:tc>
          <w:tcPr>
            <w:tcW w:w="3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97"/>
              <w:spacing w:after="0"/>
              <w:rPr>
                <w:sz w:val="20"/>
                <w:szCs w:val="20"/>
                <w:color w:val="auto"/>
              </w:rPr>
            </w:pPr>
            <w:r>
              <w:rPr>
                <w:rFonts w:ascii="Arial" w:cs="Arial" w:eastAsia="Arial" w:hAnsi="Arial"/>
                <w:sz w:val="14"/>
                <w:szCs w:val="14"/>
                <w:color w:val="auto"/>
              </w:rPr>
              <w:t>—   $</w:t>
            </w:r>
          </w:p>
        </w:tc>
        <w:tc>
          <w:tcPr>
            <w:tcW w:w="11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660" w:type="dxa"/>
            <w:vAlign w:val="bottom"/>
          </w:tcPr>
          <w:p>
            <w:pPr>
              <w:ind w:left="360"/>
              <w:spacing w:after="0"/>
              <w:rPr>
                <w:sz w:val="20"/>
                <w:szCs w:val="20"/>
                <w:color w:val="auto"/>
              </w:rPr>
            </w:pPr>
            <w:r>
              <w:rPr>
                <w:rFonts w:ascii="Arial" w:cs="Arial" w:eastAsia="Arial" w:hAnsi="Arial"/>
                <w:sz w:val="14"/>
                <w:szCs w:val="14"/>
                <w:color w:val="auto"/>
              </w:rPr>
              <w:t>2.2</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6"/>
              <w:spacing w:after="0"/>
              <w:rPr>
                <w:sz w:val="20"/>
                <w:szCs w:val="20"/>
                <w:color w:val="auto"/>
              </w:rPr>
            </w:pPr>
            <w:r>
              <w:rPr>
                <w:rFonts w:ascii="Arial" w:cs="Arial" w:eastAsia="Arial" w:hAnsi="Arial"/>
                <w:sz w:val="14"/>
                <w:szCs w:val="14"/>
                <w:color w:val="auto"/>
              </w:rPr>
              <w:t>2.2</w:t>
            </w:r>
          </w:p>
        </w:tc>
        <w:tc>
          <w:tcPr>
            <w:tcW w:w="3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97"/>
              <w:spacing w:after="0"/>
              <w:rPr>
                <w:sz w:val="20"/>
                <w:szCs w:val="20"/>
                <w:color w:val="auto"/>
              </w:rPr>
            </w:pPr>
            <w:r>
              <w:rPr>
                <w:rFonts w:ascii="Arial" w:cs="Arial" w:eastAsia="Arial" w:hAnsi="Arial"/>
                <w:sz w:val="14"/>
                <w:szCs w:val="14"/>
                <w:color w:val="auto"/>
              </w:rPr>
              <w:t>—   $</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9"/>
        </w:trPr>
        <w:tc>
          <w:tcPr>
            <w:tcW w:w="174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Liabilities</w:t>
            </w:r>
          </w:p>
        </w:tc>
        <w:tc>
          <w:tcPr>
            <w:tcW w:w="42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r>
      <w:tr>
        <w:trPr>
          <w:trHeight w:val="199"/>
        </w:trPr>
        <w:tc>
          <w:tcPr>
            <w:tcW w:w="1740" w:type="dxa"/>
            <w:vAlign w:val="bottom"/>
          </w:tcPr>
          <w:p>
            <w:pPr>
              <w:ind w:left="20"/>
              <w:spacing w:after="0"/>
              <w:rPr>
                <w:sz w:val="20"/>
                <w:szCs w:val="20"/>
                <w:color w:val="auto"/>
              </w:rPr>
            </w:pPr>
            <w:r>
              <w:rPr>
                <w:rFonts w:ascii="Arial" w:cs="Arial" w:eastAsia="Arial" w:hAnsi="Arial"/>
                <w:sz w:val="14"/>
                <w:szCs w:val="14"/>
                <w:color w:val="auto"/>
              </w:rPr>
              <w:t>Interest rate swap</w:t>
            </w:r>
          </w:p>
        </w:tc>
        <w:tc>
          <w:tcPr>
            <w:tcW w:w="420" w:type="dxa"/>
            <w:vAlign w:val="bottom"/>
          </w:tcPr>
          <w:p>
            <w:pPr>
              <w:spacing w:after="0"/>
              <w:rPr>
                <w:sz w:val="17"/>
                <w:szCs w:val="17"/>
                <w:color w:val="auto"/>
              </w:rPr>
            </w:pPr>
          </w:p>
        </w:tc>
        <w:tc>
          <w:tcPr>
            <w:tcW w:w="640" w:type="dxa"/>
            <w:vAlign w:val="bottom"/>
          </w:tcPr>
          <w:p>
            <w:pPr>
              <w:ind w:left="340"/>
              <w:spacing w:after="0"/>
              <w:rPr>
                <w:sz w:val="20"/>
                <w:szCs w:val="20"/>
                <w:color w:val="auto"/>
              </w:rPr>
            </w:pPr>
            <w:r>
              <w:rPr>
                <w:rFonts w:ascii="Arial" w:cs="Arial" w:eastAsia="Arial" w:hAnsi="Arial"/>
                <w:sz w:val="14"/>
                <w:szCs w:val="14"/>
                <w:color w:val="auto"/>
              </w:rPr>
              <w:t>0.2</w:t>
            </w:r>
          </w:p>
        </w:tc>
        <w:tc>
          <w:tcPr>
            <w:tcW w:w="260" w:type="dxa"/>
            <w:vAlign w:val="bottom"/>
          </w:tcPr>
          <w:p>
            <w:pPr>
              <w:spacing w:after="0"/>
              <w:rPr>
                <w:sz w:val="17"/>
                <w:szCs w:val="17"/>
                <w:color w:val="auto"/>
              </w:rPr>
            </w:pPr>
          </w:p>
        </w:tc>
        <w:tc>
          <w:tcPr>
            <w:tcW w:w="920" w:type="dxa"/>
            <w:vAlign w:val="bottom"/>
          </w:tcPr>
          <w:p>
            <w:pPr>
              <w:jc w:val="right"/>
              <w:ind w:right="36"/>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60" w:type="dxa"/>
            <w:vAlign w:val="bottom"/>
          </w:tcPr>
          <w:p>
            <w:pPr>
              <w:jc w:val="right"/>
              <w:ind w:right="337"/>
              <w:spacing w:after="0"/>
              <w:rPr>
                <w:sz w:val="20"/>
                <w:szCs w:val="20"/>
                <w:color w:val="auto"/>
              </w:rPr>
            </w:pPr>
            <w:r>
              <w:rPr>
                <w:rFonts w:ascii="Arial" w:cs="Arial" w:eastAsia="Arial" w:hAnsi="Arial"/>
                <w:sz w:val="14"/>
                <w:szCs w:val="14"/>
                <w:color w:val="auto"/>
              </w:rPr>
              <w:t>0.2</w:t>
            </w:r>
          </w:p>
        </w:tc>
        <w:tc>
          <w:tcPr>
            <w:tcW w:w="11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660" w:type="dxa"/>
            <w:vAlign w:val="bottom"/>
          </w:tcPr>
          <w:p>
            <w:pPr>
              <w:ind w:left="360"/>
              <w:spacing w:after="0"/>
              <w:rPr>
                <w:sz w:val="20"/>
                <w:szCs w:val="20"/>
                <w:color w:val="auto"/>
              </w:rPr>
            </w:pPr>
            <w:r>
              <w:rPr>
                <w:rFonts w:ascii="Arial" w:cs="Arial" w:eastAsia="Arial" w:hAnsi="Arial"/>
                <w:sz w:val="14"/>
                <w:szCs w:val="14"/>
                <w:color w:val="auto"/>
              </w:rPr>
              <w:t>0.2</w:t>
            </w:r>
          </w:p>
        </w:tc>
        <w:tc>
          <w:tcPr>
            <w:tcW w:w="240" w:type="dxa"/>
            <w:vAlign w:val="bottom"/>
          </w:tcPr>
          <w:p>
            <w:pPr>
              <w:spacing w:after="0"/>
              <w:rPr>
                <w:sz w:val="17"/>
                <w:szCs w:val="17"/>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60" w:type="dxa"/>
            <w:vAlign w:val="bottom"/>
          </w:tcPr>
          <w:p>
            <w:pPr>
              <w:jc w:val="right"/>
              <w:ind w:right="337"/>
              <w:spacing w:after="0"/>
              <w:rPr>
                <w:sz w:val="20"/>
                <w:szCs w:val="20"/>
                <w:color w:val="auto"/>
              </w:rPr>
            </w:pPr>
            <w:r>
              <w:rPr>
                <w:rFonts w:ascii="Arial" w:cs="Arial" w:eastAsia="Arial" w:hAnsi="Arial"/>
                <w:sz w:val="14"/>
                <w:szCs w:val="14"/>
                <w:color w:val="auto"/>
              </w:rPr>
              <w:t>0.2</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Our mutual fund investments relate to our deferred compensation plan, which are held in a Rabbi trust which is included in other assets in our consolidated balance sheets.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The funds are measured at quoted prices in active markets, which is equivalent to their fair value.</w:t>
      </w:r>
    </w:p>
    <w:p>
      <w:pPr>
        <w:spacing w:after="0" w:line="201" w:lineRule="exact"/>
        <w:rPr>
          <w:sz w:val="20"/>
          <w:szCs w:val="20"/>
          <w:color w:val="auto"/>
        </w:rPr>
      </w:pPr>
    </w:p>
    <w:p>
      <w:pPr>
        <w:ind w:right="40" w:firstLine="619"/>
        <w:spacing w:after="0" w:line="251" w:lineRule="auto"/>
        <w:rPr>
          <w:sz w:val="20"/>
          <w:szCs w:val="20"/>
          <w:color w:val="auto"/>
        </w:rPr>
      </w:pPr>
      <w:r>
        <w:rPr>
          <w:rFonts w:ascii="Arial" w:cs="Arial" w:eastAsia="Arial" w:hAnsi="Arial"/>
          <w:sz w:val="14"/>
          <w:szCs w:val="14"/>
          <w:color w:val="auto"/>
        </w:rPr>
        <w:t>The fair value of interest rate swaps is determined using widely accepted valuation techniques, including the discounted cash flow method. The analysis reflects the contractual terms of the swaps, including the period to maturity, and uses observable market-based inputs, including interest rate curves (“significant other observable inputs”). The fair value calculation also includes an amount for risk of non-performance using “significant unobservable inputs” such as estimates of current credit spreads to evaluate the likelihood of default. The Company has concluded, as of April 30, 2025 and October 31, 2024, the fair value associated with the “significant unobservable inputs” relating to the Company’s risk of non-performance was insignificant to the overall fair value of the interest rate swap agreements and, as a result, the Company determined that the relevant inputs for purposes of calculating the fair value of the interest rate swap agreements, in their entirety, were based upon “significant other observable inputs”. The liabilities associated with the interest rate swaps have been included in accrued expenses and other long-term liabilities in the condensed consolidated balance sheets and gains and losses for the interest rate swaps have been included in other (expense) income, net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10.</w:t>
        <w:tab/>
        <w:t>Earnings Per Share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r>
      <w:tr>
        <w:trPr>
          <w:trHeight w:val="196"/>
        </w:trPr>
        <w:tc>
          <w:tcPr>
            <w:tcW w:w="50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right"/>
              <w:ind w:right="351"/>
              <w:spacing w:after="0"/>
              <w:rPr>
                <w:sz w:val="20"/>
                <w:szCs w:val="20"/>
                <w:color w:val="auto"/>
              </w:rPr>
            </w:pPr>
            <w:r>
              <w:rPr>
                <w:rFonts w:ascii="Arial" w:cs="Arial" w:eastAsia="Arial" w:hAnsi="Arial"/>
                <w:sz w:val="14"/>
                <w:szCs w:val="14"/>
                <w:b w:val="1"/>
                <w:bCs w:val="1"/>
                <w:color w:val="auto"/>
              </w:rPr>
              <w:t>April 30,</w:t>
            </w:r>
          </w:p>
        </w:tc>
        <w:tc>
          <w:tcPr>
            <w:tcW w:w="7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right"/>
              <w:ind w:right="331"/>
              <w:spacing w:after="0"/>
              <w:rPr>
                <w:sz w:val="20"/>
                <w:szCs w:val="20"/>
                <w:color w:val="auto"/>
              </w:rPr>
            </w:pPr>
            <w:r>
              <w:rPr>
                <w:rFonts w:ascii="Arial" w:cs="Arial" w:eastAsia="Arial" w:hAnsi="Arial"/>
                <w:sz w:val="14"/>
                <w:szCs w:val="14"/>
                <w:b w:val="1"/>
                <w:bCs w:val="1"/>
                <w:color w:val="auto"/>
              </w:rPr>
              <w:t>April 30,</w:t>
            </w:r>
          </w:p>
        </w:tc>
        <w:tc>
          <w:tcPr>
            <w:tcW w:w="820" w:type="dxa"/>
            <w:vAlign w:val="bottom"/>
            <w:tcBorders>
              <w:bottom w:val="single" w:sz="8" w:color="auto"/>
            </w:tcBorders>
          </w:tcPr>
          <w:p>
            <w:pPr>
              <w:spacing w:after="0"/>
              <w:rPr>
                <w:sz w:val="17"/>
                <w:szCs w:val="17"/>
                <w:color w:val="auto"/>
              </w:rPr>
            </w:pPr>
          </w:p>
        </w:tc>
      </w:tr>
      <w:tr>
        <w:trPr>
          <w:trHeight w:val="212"/>
        </w:trPr>
        <w:tc>
          <w:tcPr>
            <w:tcW w:w="5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r>
      <w:tr>
        <w:trPr>
          <w:trHeight w:val="219"/>
        </w:trPr>
        <w:tc>
          <w:tcPr>
            <w:tcW w:w="504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Numerator:</w:t>
            </w:r>
          </w:p>
        </w:tc>
        <w:tc>
          <w:tcPr>
            <w:tcW w:w="3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68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r>
      <w:tr>
        <w:trPr>
          <w:trHeight w:val="199"/>
        </w:trPr>
        <w:tc>
          <w:tcPr>
            <w:tcW w:w="5040" w:type="dxa"/>
            <w:vAlign w:val="bottom"/>
          </w:tcPr>
          <w:p>
            <w:pPr>
              <w:ind w:left="20"/>
              <w:spacing w:after="0"/>
              <w:rPr>
                <w:sz w:val="20"/>
                <w:szCs w:val="20"/>
                <w:color w:val="auto"/>
              </w:rPr>
            </w:pPr>
            <w:r>
              <w:rPr>
                <w:rFonts w:ascii="Arial" w:cs="Arial" w:eastAsia="Arial" w:hAnsi="Arial"/>
                <w:sz w:val="14"/>
                <w:szCs w:val="14"/>
                <w:color w:val="auto"/>
              </w:rPr>
              <w:t>Net income attributable to Mission Produce (in millions)</w:t>
            </w: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3.1</w:t>
            </w:r>
          </w:p>
        </w:tc>
        <w:tc>
          <w:tcPr>
            <w:tcW w:w="720" w:type="dxa"/>
            <w:vAlign w:val="bottom"/>
          </w:tcPr>
          <w:p>
            <w:pPr>
              <w:jc w:val="right"/>
              <w:ind w:right="47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7.0</w:t>
            </w:r>
          </w:p>
        </w:tc>
        <w:tc>
          <w:tcPr>
            <w:tcW w:w="260" w:type="dxa"/>
            <w:vAlign w:val="bottom"/>
          </w:tcPr>
          <w:p>
            <w:pPr>
              <w:spacing w:after="0"/>
              <w:rPr>
                <w:sz w:val="17"/>
                <w:szCs w:val="17"/>
                <w:color w:val="auto"/>
              </w:rPr>
            </w:pPr>
          </w:p>
        </w:tc>
        <w:tc>
          <w:tcPr>
            <w:tcW w:w="3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7.0</w:t>
            </w:r>
          </w:p>
        </w:tc>
        <w:tc>
          <w:tcPr>
            <w:tcW w:w="680" w:type="dxa"/>
            <w:vAlign w:val="bottom"/>
          </w:tcPr>
          <w:p>
            <w:pPr>
              <w:jc w:val="right"/>
              <w:ind w:right="43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2"/>
        </w:trPr>
        <w:tc>
          <w:tcPr>
            <w:tcW w:w="504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Denominator:</w:t>
            </w:r>
          </w:p>
        </w:tc>
        <w:tc>
          <w:tcPr>
            <w:tcW w:w="38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820" w:type="dxa"/>
            <w:vAlign w:val="bottom"/>
            <w:shd w:val="clear" w:color="auto" w:fill="DBDBDB"/>
          </w:tcPr>
          <w:p>
            <w:pPr>
              <w:spacing w:after="0"/>
              <w:rPr>
                <w:sz w:val="18"/>
                <w:szCs w:val="18"/>
                <w:color w:val="auto"/>
              </w:rPr>
            </w:pPr>
          </w:p>
        </w:tc>
      </w:tr>
      <w:tr>
        <w:trPr>
          <w:trHeight w:val="186"/>
        </w:trPr>
        <w:tc>
          <w:tcPr>
            <w:tcW w:w="5040" w:type="dxa"/>
            <w:vAlign w:val="bottom"/>
          </w:tcPr>
          <w:p>
            <w:pPr>
              <w:ind w:left="20"/>
              <w:spacing w:after="0"/>
              <w:rPr>
                <w:sz w:val="20"/>
                <w:szCs w:val="20"/>
                <w:color w:val="auto"/>
              </w:rPr>
            </w:pPr>
            <w:r>
              <w:rPr>
                <w:rFonts w:ascii="Arial" w:cs="Arial" w:eastAsia="Arial" w:hAnsi="Arial"/>
                <w:sz w:val="14"/>
                <w:szCs w:val="14"/>
                <w:color w:val="auto"/>
                <w:w w:val="99"/>
              </w:rPr>
              <w:t>Weighted average shares of common stock outstanding, used in computing basic</w:t>
            </w:r>
          </w:p>
        </w:tc>
        <w:tc>
          <w:tcPr>
            <w:tcW w:w="380" w:type="dxa"/>
            <w:vAlign w:val="bottom"/>
          </w:tcPr>
          <w:p>
            <w:pPr>
              <w:spacing w:after="0"/>
              <w:rPr>
                <w:sz w:val="16"/>
                <w:szCs w:val="16"/>
                <w:color w:val="auto"/>
              </w:rPr>
            </w:pP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70,878,959</w:t>
            </w:r>
          </w:p>
        </w:tc>
        <w:tc>
          <w:tcPr>
            <w:tcW w:w="7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9"/>
              </w:rPr>
              <w:t>70,860,570</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70,921,488</w:t>
            </w:r>
          </w:p>
        </w:tc>
        <w:tc>
          <w:tcPr>
            <w:tcW w:w="6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70,810,249</w:t>
            </w:r>
          </w:p>
        </w:tc>
      </w:tr>
      <w:tr>
        <w:trPr>
          <w:trHeight w:val="180"/>
        </w:trPr>
        <w:tc>
          <w:tcPr>
            <w:tcW w:w="5040" w:type="dxa"/>
            <w:vAlign w:val="bottom"/>
          </w:tcPr>
          <w:p>
            <w:pPr>
              <w:ind w:left="180"/>
              <w:spacing w:after="0"/>
              <w:rPr>
                <w:sz w:val="20"/>
                <w:szCs w:val="20"/>
                <w:color w:val="auto"/>
              </w:rPr>
            </w:pPr>
            <w:r>
              <w:rPr>
                <w:rFonts w:ascii="Arial" w:cs="Arial" w:eastAsia="Arial" w:hAnsi="Arial"/>
                <w:sz w:val="14"/>
                <w:szCs w:val="14"/>
                <w:color w:val="auto"/>
              </w:rPr>
              <w:t>earnings per share</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
        </w:trPr>
        <w:tc>
          <w:tcPr>
            <w:tcW w:w="5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9"/>
        </w:trPr>
        <w:tc>
          <w:tcPr>
            <w:tcW w:w="5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Effect of dilutive stock options</w:t>
            </w:r>
          </w:p>
        </w:tc>
        <w:tc>
          <w:tcPr>
            <w:tcW w:w="38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gridSpan w:val="2"/>
            <w:shd w:val="clear" w:color="auto" w:fill="DBDBDB"/>
          </w:tcPr>
          <w:p>
            <w:pPr>
              <w:jc w:val="right"/>
              <w:ind w:right="32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5040" w:type="dxa"/>
            <w:vAlign w:val="bottom"/>
          </w:tcPr>
          <w:p>
            <w:pPr>
              <w:ind w:left="20"/>
              <w:spacing w:after="0"/>
              <w:rPr>
                <w:sz w:val="20"/>
                <w:szCs w:val="20"/>
                <w:color w:val="auto"/>
              </w:rPr>
            </w:pPr>
            <w:r>
              <w:rPr>
                <w:rFonts w:ascii="Arial" w:cs="Arial" w:eastAsia="Arial" w:hAnsi="Arial"/>
                <w:sz w:val="14"/>
                <w:szCs w:val="14"/>
                <w:color w:val="auto"/>
              </w:rPr>
              <w:t>Effect of dilutive RSUs</w:t>
            </w:r>
          </w:p>
        </w:tc>
        <w:tc>
          <w:tcPr>
            <w:tcW w:w="380" w:type="dxa"/>
            <w:vAlign w:val="bottom"/>
          </w:tcPr>
          <w:p>
            <w:pPr>
              <w:spacing w:after="0"/>
              <w:rPr>
                <w:sz w:val="17"/>
                <w:szCs w:val="17"/>
                <w:color w:val="auto"/>
              </w:rPr>
            </w:pP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142,563</w:t>
            </w:r>
          </w:p>
        </w:tc>
        <w:tc>
          <w:tcPr>
            <w:tcW w:w="7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142,993</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234,004</w:t>
            </w:r>
          </w:p>
        </w:tc>
        <w:tc>
          <w:tcPr>
            <w:tcW w:w="6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149,467</w:t>
            </w:r>
          </w:p>
        </w:tc>
      </w:tr>
      <w:tr>
        <w:trPr>
          <w:trHeight w:val="20"/>
        </w:trPr>
        <w:tc>
          <w:tcPr>
            <w:tcW w:w="5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4"/>
        </w:trPr>
        <w:tc>
          <w:tcPr>
            <w:tcW w:w="5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Effect of dilutive PSUs</w:t>
            </w:r>
          </w:p>
        </w:tc>
        <w:tc>
          <w:tcPr>
            <w:tcW w:w="380" w:type="dxa"/>
            <w:vAlign w:val="bottom"/>
            <w:tcBorders>
              <w:bottom w:val="single" w:sz="8" w:color="DBDBDB"/>
            </w:tcBorders>
            <w:shd w:val="clear" w:color="auto" w:fill="DBDBDB"/>
          </w:tcPr>
          <w:p>
            <w:pPr>
              <w:spacing w:after="0"/>
              <w:rPr>
                <w:sz w:val="19"/>
                <w:szCs w:val="19"/>
                <w:color w:val="auto"/>
              </w:rPr>
            </w:pPr>
          </w:p>
        </w:tc>
        <w:tc>
          <w:tcPr>
            <w:tcW w:w="108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83,941</w:t>
            </w:r>
          </w:p>
        </w:tc>
        <w:tc>
          <w:tcPr>
            <w:tcW w:w="720" w:type="dxa"/>
            <w:vAlign w:val="bottom"/>
            <w:tcBorders>
              <w:bottom w:val="single" w:sz="8" w:color="DBDBDB"/>
            </w:tcBorders>
            <w:shd w:val="clear" w:color="auto" w:fill="DBDBDB"/>
          </w:tcPr>
          <w:p>
            <w:pPr>
              <w:spacing w:after="0"/>
              <w:rPr>
                <w:sz w:val="19"/>
                <w:szCs w:val="19"/>
                <w:color w:val="auto"/>
              </w:rPr>
            </w:pPr>
          </w:p>
        </w:tc>
        <w:tc>
          <w:tcPr>
            <w:tcW w:w="1040" w:type="dxa"/>
            <w:vAlign w:val="bottom"/>
            <w:tcBorders>
              <w:bottom w:val="single" w:sz="8" w:color="DBDBDB"/>
            </w:tcBorders>
            <w:gridSpan w:val="2"/>
            <w:shd w:val="clear" w:color="auto" w:fill="DBDBDB"/>
          </w:tcPr>
          <w:p>
            <w:pPr>
              <w:jc w:val="right"/>
              <w:ind w:right="32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BDBDB"/>
            </w:tcBorders>
            <w:shd w:val="clear" w:color="auto" w:fill="DBDBDB"/>
          </w:tcPr>
          <w:p>
            <w:pPr>
              <w:spacing w:after="0"/>
              <w:rPr>
                <w:sz w:val="19"/>
                <w:szCs w:val="19"/>
                <w:color w:val="auto"/>
              </w:rPr>
            </w:pP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81,575</w:t>
            </w:r>
          </w:p>
        </w:tc>
        <w:tc>
          <w:tcPr>
            <w:tcW w:w="680" w:type="dxa"/>
            <w:vAlign w:val="bottom"/>
            <w:tcBorders>
              <w:bottom w:val="single" w:sz="8" w:color="DBDBDB"/>
            </w:tcBorders>
            <w:shd w:val="clear" w:color="auto" w:fill="DBDBDB"/>
          </w:tcPr>
          <w:p>
            <w:pPr>
              <w:spacing w:after="0"/>
              <w:rPr>
                <w:sz w:val="19"/>
                <w:szCs w:val="19"/>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50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Weighted average shares of common stock outstanding, used in computing</w:t>
            </w:r>
          </w:p>
        </w:tc>
        <w:tc>
          <w:tcPr>
            <w:tcW w:w="3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71,105,463</w:t>
            </w:r>
          </w:p>
        </w:tc>
        <w:tc>
          <w:tcPr>
            <w:tcW w:w="7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71,003,563</w:t>
            </w:r>
          </w:p>
        </w:tc>
        <w:tc>
          <w:tcPr>
            <w:tcW w:w="2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71,237,067</w:t>
            </w:r>
          </w:p>
        </w:tc>
        <w:tc>
          <w:tcPr>
            <w:tcW w:w="6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70,959,716</w:t>
            </w:r>
          </w:p>
        </w:tc>
      </w:tr>
      <w:tr>
        <w:trPr>
          <w:trHeight w:val="180"/>
        </w:trPr>
        <w:tc>
          <w:tcPr>
            <w:tcW w:w="5040" w:type="dxa"/>
            <w:vAlign w:val="bottom"/>
          </w:tcPr>
          <w:p>
            <w:pPr>
              <w:ind w:left="180"/>
              <w:spacing w:after="0"/>
              <w:rPr>
                <w:sz w:val="20"/>
                <w:szCs w:val="20"/>
                <w:color w:val="auto"/>
              </w:rPr>
            </w:pPr>
            <w:r>
              <w:rPr>
                <w:rFonts w:ascii="Arial" w:cs="Arial" w:eastAsia="Arial" w:hAnsi="Arial"/>
                <w:sz w:val="14"/>
                <w:szCs w:val="14"/>
                <w:color w:val="auto"/>
              </w:rPr>
              <w:t>diluted earnings per share</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2"/>
        </w:trPr>
        <w:tc>
          <w:tcPr>
            <w:tcW w:w="5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Earnings per share</w:t>
            </w:r>
          </w:p>
        </w:tc>
        <w:tc>
          <w:tcPr>
            <w:tcW w:w="38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spacing w:after="0"/>
              <w:rPr>
                <w:sz w:val="16"/>
                <w:szCs w:val="16"/>
                <w:color w:val="auto"/>
              </w:rPr>
            </w:pPr>
          </w:p>
        </w:tc>
      </w:tr>
      <w:tr>
        <w:trPr>
          <w:trHeight w:val="199"/>
        </w:trPr>
        <w:tc>
          <w:tcPr>
            <w:tcW w:w="5040" w:type="dxa"/>
            <w:vAlign w:val="bottom"/>
          </w:tcPr>
          <w:p>
            <w:pPr>
              <w:ind w:left="180"/>
              <w:spacing w:after="0"/>
              <w:rPr>
                <w:sz w:val="20"/>
                <w:szCs w:val="20"/>
                <w:color w:val="auto"/>
              </w:rPr>
            </w:pPr>
            <w:r>
              <w:rPr>
                <w:rFonts w:ascii="Arial" w:cs="Arial" w:eastAsia="Arial" w:hAnsi="Arial"/>
                <w:sz w:val="14"/>
                <w:szCs w:val="14"/>
                <w:color w:val="auto"/>
              </w:rPr>
              <w:t>Basic</w:t>
            </w:r>
          </w:p>
        </w:tc>
        <w:tc>
          <w:tcPr>
            <w:tcW w:w="380" w:type="dxa"/>
            <w:vAlign w:val="bottom"/>
          </w:tcPr>
          <w:p>
            <w:pPr>
              <w:jc w:val="right"/>
              <w:ind w:right="23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51"/>
              <w:spacing w:after="0"/>
              <w:rPr>
                <w:sz w:val="20"/>
                <w:szCs w:val="20"/>
                <w:color w:val="auto"/>
              </w:rPr>
            </w:pPr>
            <w:r>
              <w:rPr>
                <w:rFonts w:ascii="Arial" w:cs="Arial" w:eastAsia="Arial" w:hAnsi="Arial"/>
                <w:sz w:val="14"/>
                <w:szCs w:val="14"/>
                <w:color w:val="auto"/>
              </w:rPr>
              <w:t>0.04</w:t>
            </w:r>
          </w:p>
        </w:tc>
        <w:tc>
          <w:tcPr>
            <w:tcW w:w="720" w:type="dxa"/>
            <w:vAlign w:val="bottom"/>
          </w:tcPr>
          <w:p>
            <w:pPr>
              <w:jc w:val="right"/>
              <w:ind w:right="47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0.10</w:t>
            </w:r>
          </w:p>
        </w:tc>
        <w:tc>
          <w:tcPr>
            <w:tcW w:w="260" w:type="dxa"/>
            <w:vAlign w:val="bottom"/>
          </w:tcPr>
          <w:p>
            <w:pPr>
              <w:spacing w:after="0"/>
              <w:rPr>
                <w:sz w:val="17"/>
                <w:szCs w:val="17"/>
                <w:color w:val="auto"/>
              </w:rPr>
            </w:pPr>
          </w:p>
        </w:tc>
        <w:tc>
          <w:tcPr>
            <w:tcW w:w="3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0.10</w:t>
            </w:r>
          </w:p>
        </w:tc>
        <w:tc>
          <w:tcPr>
            <w:tcW w:w="680" w:type="dxa"/>
            <w:vAlign w:val="bottom"/>
          </w:tcPr>
          <w:p>
            <w:pPr>
              <w:jc w:val="right"/>
              <w:ind w:right="43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0.10</w:t>
            </w:r>
          </w:p>
        </w:tc>
      </w:tr>
      <w:tr>
        <w:trPr>
          <w:trHeight w:val="20"/>
        </w:trPr>
        <w:tc>
          <w:tcPr>
            <w:tcW w:w="5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9"/>
        </w:trPr>
        <w:tc>
          <w:tcPr>
            <w:tcW w:w="504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4"/>
                <w:szCs w:val="14"/>
                <w:color w:val="auto"/>
              </w:rPr>
              <w:t>Diluted</w:t>
            </w:r>
          </w:p>
        </w:tc>
        <w:tc>
          <w:tcPr>
            <w:tcW w:w="380" w:type="dxa"/>
            <w:vAlign w:val="bottom"/>
            <w:tcBorders>
              <w:bottom w:val="single" w:sz="8" w:color="DBDBDB"/>
            </w:tcBorders>
            <w:shd w:val="clear" w:color="auto" w:fill="DBDBDB"/>
          </w:tcPr>
          <w:p>
            <w:pPr>
              <w:jc w:val="right"/>
              <w:ind w:right="23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0.04</w:t>
            </w:r>
          </w:p>
        </w:tc>
        <w:tc>
          <w:tcPr>
            <w:tcW w:w="720" w:type="dxa"/>
            <w:vAlign w:val="bottom"/>
            <w:tcBorders>
              <w:bottom w:val="single" w:sz="8" w:color="DBDBDB"/>
            </w:tcBorders>
            <w:shd w:val="clear" w:color="auto" w:fill="DBDBDB"/>
          </w:tcPr>
          <w:p>
            <w:pPr>
              <w:jc w:val="right"/>
              <w:ind w:right="4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0.10</w:t>
            </w:r>
          </w:p>
        </w:tc>
        <w:tc>
          <w:tcPr>
            <w:tcW w:w="260" w:type="dxa"/>
            <w:vAlign w:val="bottom"/>
            <w:tcBorders>
              <w:bottom w:val="single" w:sz="8" w:color="DBDBDB"/>
            </w:tcBorders>
            <w:shd w:val="clear" w:color="auto" w:fill="DBDBDB"/>
          </w:tcPr>
          <w:p>
            <w:pPr>
              <w:spacing w:after="0"/>
              <w:rPr>
                <w:sz w:val="17"/>
                <w:szCs w:val="17"/>
                <w:color w:val="auto"/>
              </w:rPr>
            </w:pPr>
          </w:p>
        </w:tc>
        <w:tc>
          <w:tcPr>
            <w:tcW w:w="38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0.10</w:t>
            </w:r>
          </w:p>
        </w:tc>
        <w:tc>
          <w:tcPr>
            <w:tcW w:w="68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0.10</w:t>
            </w:r>
          </w:p>
        </w:tc>
      </w:tr>
      <w:tr>
        <w:trPr>
          <w:trHeight w:val="20"/>
        </w:trPr>
        <w:tc>
          <w:tcPr>
            <w:tcW w:w="50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ind w:right="240" w:firstLine="619"/>
        <w:spacing w:after="0" w:line="278" w:lineRule="auto"/>
        <w:rPr>
          <w:sz w:val="20"/>
          <w:szCs w:val="20"/>
          <w:color w:val="auto"/>
        </w:rPr>
      </w:pPr>
      <w:r>
        <w:rPr>
          <w:rFonts w:ascii="Arial" w:cs="Arial" w:eastAsia="Arial" w:hAnsi="Arial"/>
          <w:sz w:val="14"/>
          <w:szCs w:val="14"/>
          <w:color w:val="auto"/>
        </w:rPr>
        <w:t>Equity awards representing shares of common stock outstanding that were excluded in the computation of diluted earnings per share because their effect would have been anti-dilutive as a result of applying the treasury stock method,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280" w:type="dxa"/>
            <w:vAlign w:val="bottom"/>
          </w:tcPr>
          <w:p>
            <w:pPr>
              <w:jc w:val="right"/>
              <w:ind w:right="11"/>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tcPr>
          <w:p>
            <w:pPr>
              <w:jc w:val="right"/>
              <w:ind w:right="51"/>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88"/>
        </w:trPr>
        <w:tc>
          <w:tcPr>
            <w:tcW w:w="4900" w:type="dxa"/>
            <w:vAlign w:val="bottom"/>
          </w:tcPr>
          <w:p>
            <w:pPr>
              <w:spacing w:after="0"/>
              <w:rPr>
                <w:sz w:val="16"/>
                <w:szCs w:val="16"/>
                <w:color w:val="auto"/>
              </w:rPr>
            </w:pPr>
          </w:p>
        </w:tc>
        <w:tc>
          <w:tcPr>
            <w:tcW w:w="2280" w:type="dxa"/>
            <w:vAlign w:val="bottom"/>
          </w:tcPr>
          <w:p>
            <w:pPr>
              <w:jc w:val="right"/>
              <w:ind w:right="411"/>
              <w:spacing w:after="0"/>
              <w:rPr>
                <w:sz w:val="20"/>
                <w:szCs w:val="20"/>
                <w:color w:val="auto"/>
              </w:rPr>
            </w:pPr>
            <w:r>
              <w:rPr>
                <w:rFonts w:ascii="Arial" w:cs="Arial" w:eastAsia="Arial" w:hAnsi="Arial"/>
                <w:sz w:val="14"/>
                <w:szCs w:val="14"/>
                <w:b w:val="1"/>
                <w:bCs w:val="1"/>
                <w:color w:val="auto"/>
              </w:rPr>
              <w:t>April 30,</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tcPr>
          <w:p>
            <w:pPr>
              <w:jc w:val="right"/>
              <w:ind w:right="371"/>
              <w:spacing w:after="0"/>
              <w:rPr>
                <w:sz w:val="20"/>
                <w:szCs w:val="20"/>
                <w:color w:val="auto"/>
              </w:rPr>
            </w:pPr>
            <w:r>
              <w:rPr>
                <w:rFonts w:ascii="Arial" w:cs="Arial" w:eastAsia="Arial" w:hAnsi="Arial"/>
                <w:sz w:val="14"/>
                <w:szCs w:val="14"/>
                <w:b w:val="1"/>
                <w:bCs w:val="1"/>
                <w:color w:val="auto"/>
              </w:rPr>
              <w:t>April 30,</w:t>
            </w:r>
          </w:p>
        </w:tc>
        <w:tc>
          <w:tcPr>
            <w:tcW w:w="800" w:type="dxa"/>
            <w:vAlign w:val="bottom"/>
          </w:tcPr>
          <w:p>
            <w:pPr>
              <w:spacing w:after="0"/>
              <w:rPr>
                <w:sz w:val="16"/>
                <w:szCs w:val="16"/>
                <w:color w:val="auto"/>
              </w:rPr>
            </w:pPr>
          </w:p>
        </w:tc>
      </w:tr>
      <w:tr>
        <w:trPr>
          <w:trHeight w:val="27"/>
        </w:trPr>
        <w:tc>
          <w:tcPr>
            <w:tcW w:w="49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5"/>
        </w:trPr>
        <w:tc>
          <w:tcPr>
            <w:tcW w:w="49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ind w:right="891"/>
              <w:spacing w:after="0"/>
              <w:rPr>
                <w:sz w:val="20"/>
                <w:szCs w:val="20"/>
                <w:color w:val="auto"/>
              </w:rPr>
            </w:pPr>
            <w:r>
              <w:rPr>
                <w:rFonts w:ascii="Arial" w:cs="Arial" w:eastAsia="Arial" w:hAnsi="Arial"/>
                <w:sz w:val="14"/>
                <w:szCs w:val="14"/>
                <w:b w:val="1"/>
                <w:bCs w:val="1"/>
                <w:color w:val="auto"/>
              </w:rPr>
              <w:t>2025</w:t>
            </w: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right"/>
              <w:ind w:right="851"/>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r>
      <w:tr>
        <w:trPr>
          <w:trHeight w:val="199"/>
        </w:trPr>
        <w:tc>
          <w:tcPr>
            <w:tcW w:w="4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Anti-dilutive stock options</w:t>
            </w:r>
          </w:p>
        </w:tc>
        <w:tc>
          <w:tcPr>
            <w:tcW w:w="2280" w:type="dxa"/>
            <w:vAlign w:val="bottom"/>
            <w:tcBorders>
              <w:bottom w:val="single" w:sz="8" w:color="DBDBDB"/>
            </w:tcBorders>
            <w:shd w:val="clear" w:color="auto" w:fill="DBDBDB"/>
          </w:tcPr>
          <w:p>
            <w:pPr>
              <w:jc w:val="right"/>
              <w:ind w:right="831"/>
              <w:spacing w:after="0"/>
              <w:rPr>
                <w:sz w:val="20"/>
                <w:szCs w:val="20"/>
                <w:color w:val="auto"/>
              </w:rPr>
            </w:pPr>
            <w:r>
              <w:rPr>
                <w:rFonts w:ascii="Arial" w:cs="Arial" w:eastAsia="Arial" w:hAnsi="Arial"/>
                <w:sz w:val="14"/>
                <w:szCs w:val="14"/>
                <w:color w:val="auto"/>
              </w:rPr>
              <w:t>2,052,182</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2,078,268</w:t>
            </w:r>
          </w:p>
        </w:tc>
        <w:tc>
          <w:tcPr>
            <w:tcW w:w="260" w:type="dxa"/>
            <w:vAlign w:val="bottom"/>
            <w:tcBorders>
              <w:bottom w:val="single" w:sz="8" w:color="DBDBDB"/>
            </w:tcBorders>
            <w:shd w:val="clear" w:color="auto" w:fill="DBDBDB"/>
          </w:tcPr>
          <w:p>
            <w:pPr>
              <w:spacing w:after="0"/>
              <w:rPr>
                <w:sz w:val="17"/>
                <w:szCs w:val="17"/>
                <w:color w:val="auto"/>
              </w:rPr>
            </w:pPr>
          </w:p>
        </w:tc>
        <w:tc>
          <w:tcPr>
            <w:tcW w:w="2240" w:type="dxa"/>
            <w:vAlign w:val="bottom"/>
            <w:tcBorders>
              <w:bottom w:val="single" w:sz="8" w:color="DBDBDB"/>
            </w:tcBorders>
            <w:shd w:val="clear" w:color="auto" w:fill="DBDBDB"/>
          </w:tcPr>
          <w:p>
            <w:pPr>
              <w:jc w:val="right"/>
              <w:ind w:right="791"/>
              <w:spacing w:after="0"/>
              <w:rPr>
                <w:sz w:val="20"/>
                <w:szCs w:val="20"/>
                <w:color w:val="auto"/>
              </w:rPr>
            </w:pPr>
            <w:r>
              <w:rPr>
                <w:rFonts w:ascii="Arial" w:cs="Arial" w:eastAsia="Arial" w:hAnsi="Arial"/>
                <w:sz w:val="14"/>
                <w:szCs w:val="14"/>
                <w:color w:val="auto"/>
              </w:rPr>
              <w:t>2,059,100</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2,078,268</w:t>
            </w:r>
          </w:p>
        </w:tc>
      </w:tr>
      <w:tr>
        <w:trPr>
          <w:trHeight w:val="199"/>
        </w:trPr>
        <w:tc>
          <w:tcPr>
            <w:tcW w:w="4900" w:type="dxa"/>
            <w:vAlign w:val="bottom"/>
          </w:tcPr>
          <w:p>
            <w:pPr>
              <w:ind w:left="20"/>
              <w:spacing w:after="0"/>
              <w:rPr>
                <w:sz w:val="20"/>
                <w:szCs w:val="20"/>
                <w:color w:val="auto"/>
              </w:rPr>
            </w:pPr>
            <w:r>
              <w:rPr>
                <w:rFonts w:ascii="Arial" w:cs="Arial" w:eastAsia="Arial" w:hAnsi="Arial"/>
                <w:sz w:val="14"/>
                <w:szCs w:val="14"/>
                <w:color w:val="auto"/>
              </w:rPr>
              <w:t>Anti-dilutive RSUs</w:t>
            </w:r>
          </w:p>
        </w:tc>
        <w:tc>
          <w:tcPr>
            <w:tcW w:w="2280" w:type="dxa"/>
            <w:vAlign w:val="bottom"/>
          </w:tcPr>
          <w:p>
            <w:pPr>
              <w:jc w:val="right"/>
              <w:ind w:right="831"/>
              <w:spacing w:after="0"/>
              <w:rPr>
                <w:sz w:val="20"/>
                <w:szCs w:val="20"/>
                <w:color w:val="auto"/>
              </w:rPr>
            </w:pPr>
            <w:r>
              <w:rPr>
                <w:rFonts w:ascii="Arial" w:cs="Arial" w:eastAsia="Arial" w:hAnsi="Arial"/>
                <w:sz w:val="14"/>
                <w:szCs w:val="14"/>
                <w:color w:val="auto"/>
              </w:rPr>
              <w:t>182,195</w:t>
            </w:r>
          </w:p>
        </w:tc>
        <w:tc>
          <w:tcPr>
            <w:tcW w:w="760" w:type="dxa"/>
            <w:vAlign w:val="bottom"/>
          </w:tcPr>
          <w:p>
            <w:pPr>
              <w:jc w:val="right"/>
              <w:spacing w:after="0"/>
              <w:rPr>
                <w:sz w:val="20"/>
                <w:szCs w:val="20"/>
                <w:color w:val="auto"/>
              </w:rPr>
            </w:pPr>
            <w:r>
              <w:rPr>
                <w:rFonts w:ascii="Arial" w:cs="Arial" w:eastAsia="Arial" w:hAnsi="Arial"/>
                <w:sz w:val="14"/>
                <w:szCs w:val="14"/>
                <w:color w:val="auto"/>
              </w:rPr>
              <w:t>230,250</w:t>
            </w:r>
          </w:p>
        </w:tc>
        <w:tc>
          <w:tcPr>
            <w:tcW w:w="260" w:type="dxa"/>
            <w:vAlign w:val="bottom"/>
          </w:tcPr>
          <w:p>
            <w:pPr>
              <w:spacing w:after="0"/>
              <w:rPr>
                <w:sz w:val="17"/>
                <w:szCs w:val="17"/>
                <w:color w:val="auto"/>
              </w:rPr>
            </w:pPr>
          </w:p>
        </w:tc>
        <w:tc>
          <w:tcPr>
            <w:tcW w:w="2240" w:type="dxa"/>
            <w:vAlign w:val="bottom"/>
          </w:tcPr>
          <w:p>
            <w:pPr>
              <w:jc w:val="right"/>
              <w:ind w:right="791"/>
              <w:spacing w:after="0"/>
              <w:rPr>
                <w:sz w:val="20"/>
                <w:szCs w:val="20"/>
                <w:color w:val="auto"/>
              </w:rPr>
            </w:pPr>
            <w:r>
              <w:rPr>
                <w:rFonts w:ascii="Arial" w:cs="Arial" w:eastAsia="Arial" w:hAnsi="Arial"/>
                <w:sz w:val="14"/>
                <w:szCs w:val="14"/>
                <w:color w:val="auto"/>
              </w:rPr>
              <w:t>128,973</w:t>
            </w:r>
          </w:p>
        </w:tc>
        <w:tc>
          <w:tcPr>
            <w:tcW w:w="800" w:type="dxa"/>
            <w:vAlign w:val="bottom"/>
          </w:tcPr>
          <w:p>
            <w:pPr>
              <w:jc w:val="right"/>
              <w:spacing w:after="0"/>
              <w:rPr>
                <w:sz w:val="20"/>
                <w:szCs w:val="20"/>
                <w:color w:val="auto"/>
              </w:rPr>
            </w:pPr>
            <w:r>
              <w:rPr>
                <w:rFonts w:ascii="Arial" w:cs="Arial" w:eastAsia="Arial" w:hAnsi="Arial"/>
                <w:sz w:val="14"/>
                <w:szCs w:val="14"/>
                <w:color w:val="auto"/>
              </w:rPr>
              <w:t>476,082</w:t>
            </w:r>
          </w:p>
        </w:tc>
      </w:tr>
      <w:tr>
        <w:trPr>
          <w:trHeight w:val="20"/>
        </w:trPr>
        <w:tc>
          <w:tcPr>
            <w:tcW w:w="4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4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Anti-dilutive PSUs</w:t>
            </w:r>
          </w:p>
        </w:tc>
        <w:tc>
          <w:tcPr>
            <w:tcW w:w="2280" w:type="dxa"/>
            <w:vAlign w:val="bottom"/>
            <w:tcBorders>
              <w:bottom w:val="single" w:sz="8" w:color="DBDBDB"/>
            </w:tcBorders>
            <w:shd w:val="clear" w:color="auto" w:fill="DBDBDB"/>
          </w:tcPr>
          <w:p>
            <w:pPr>
              <w:jc w:val="right"/>
              <w:ind w:right="83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gridSpan w:val="2"/>
            <w:shd w:val="clear" w:color="auto" w:fill="DBDBDB"/>
          </w:tcPr>
          <w:p>
            <w:pPr>
              <w:jc w:val="right"/>
              <w:ind w:right="320"/>
              <w:spacing w:after="0"/>
              <w:rPr>
                <w:sz w:val="20"/>
                <w:szCs w:val="20"/>
                <w:color w:val="auto"/>
              </w:rPr>
            </w:pPr>
            <w:r>
              <w:rPr>
                <w:rFonts w:ascii="Arial" w:cs="Arial" w:eastAsia="Arial" w:hAnsi="Arial"/>
                <w:sz w:val="14"/>
                <w:szCs w:val="14"/>
                <w:color w:val="auto"/>
              </w:rPr>
              <w:t>—</w:t>
            </w:r>
          </w:p>
        </w:tc>
        <w:tc>
          <w:tcPr>
            <w:tcW w:w="2240" w:type="dxa"/>
            <w:vAlign w:val="bottom"/>
            <w:tcBorders>
              <w:bottom w:val="single" w:sz="8" w:color="DBDBDB"/>
            </w:tcBorders>
            <w:shd w:val="clear" w:color="auto" w:fill="DBDBDB"/>
          </w:tcPr>
          <w:p>
            <w:pPr>
              <w:jc w:val="right"/>
              <w:ind w:right="79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9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left="480" w:hanging="477"/>
        <w:spacing w:after="0"/>
        <w:tabs>
          <w:tab w:leader="none" w:pos="48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Transactions with related parties included in the condensed consolidated financial statements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20" w:type="dxa"/>
            <w:vAlign w:val="bottom"/>
            <w:gridSpan w:val="5"/>
          </w:tcPr>
          <w:p>
            <w:pPr>
              <w:jc w:val="right"/>
              <w:spacing w:after="0"/>
              <w:rPr>
                <w:sz w:val="20"/>
                <w:szCs w:val="20"/>
                <w:color w:val="auto"/>
              </w:rPr>
            </w:pPr>
            <w:r>
              <w:rPr>
                <w:rFonts w:ascii="Arial" w:cs="Arial" w:eastAsia="Arial" w:hAnsi="Arial"/>
                <w:sz w:val="12"/>
                <w:szCs w:val="12"/>
                <w:b w:val="1"/>
                <w:bCs w:val="1"/>
                <w:color w:val="auto"/>
              </w:rPr>
              <w:t>Condensed Consolidated Balance Sheets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
        </w:trPr>
        <w:tc>
          <w:tcPr>
            <w:tcW w:w="1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6"/>
        </w:trPr>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April 30, 2025</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2"/>
                <w:szCs w:val="12"/>
                <w:b w:val="1"/>
                <w:bCs w:val="1"/>
                <w:color w:val="auto"/>
              </w:rPr>
              <w:t>October 31, 2024</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
        </w:trPr>
        <w:tc>
          <w:tcPr>
            <w:tcW w:w="1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56"/>
        </w:trPr>
        <w:tc>
          <w:tcPr>
            <w:tcW w:w="1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color w:val="auto"/>
              </w:rPr>
              <w:t>Property, plant</w:t>
            </w: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Accounts payable</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Property, plant</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Accounts payable</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2"/>
        </w:trPr>
        <w:tc>
          <w:tcPr>
            <w:tcW w:w="1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Accounts</w:t>
            </w:r>
          </w:p>
        </w:tc>
        <w:tc>
          <w:tcPr>
            <w:tcW w:w="220" w:type="dxa"/>
            <w:vAlign w:val="bottom"/>
          </w:tcPr>
          <w:p>
            <w:pPr>
              <w:spacing w:after="0"/>
              <w:rPr>
                <w:sz w:val="12"/>
                <w:szCs w:val="12"/>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color w:val="auto"/>
              </w:rPr>
              <w:t>and equipment,</w:t>
            </w:r>
          </w:p>
        </w:tc>
        <w:tc>
          <w:tcPr>
            <w:tcW w:w="460" w:type="dxa"/>
            <w:vAlign w:val="bottom"/>
          </w:tcPr>
          <w:p>
            <w:pPr>
              <w:spacing w:after="0"/>
              <w:rPr>
                <w:sz w:val="12"/>
                <w:szCs w:val="12"/>
                <w:color w:val="auto"/>
              </w:rPr>
            </w:pPr>
          </w:p>
        </w:tc>
        <w:tc>
          <w:tcPr>
            <w:tcW w:w="680" w:type="dxa"/>
            <w:vAlign w:val="bottom"/>
          </w:tcPr>
          <w:p>
            <w:pPr>
              <w:jc w:val="right"/>
              <w:ind w:right="20"/>
              <w:spacing w:after="0"/>
              <w:rPr>
                <w:sz w:val="20"/>
                <w:szCs w:val="20"/>
                <w:color w:val="auto"/>
              </w:rPr>
            </w:pPr>
            <w:r>
              <w:rPr>
                <w:rFonts w:ascii="Arial" w:cs="Arial" w:eastAsia="Arial" w:hAnsi="Arial"/>
                <w:sz w:val="12"/>
                <w:szCs w:val="12"/>
                <w:color w:val="auto"/>
              </w:rPr>
              <w:t>&amp; accrued</w:t>
            </w:r>
          </w:p>
        </w:tc>
        <w:tc>
          <w:tcPr>
            <w:tcW w:w="260" w:type="dxa"/>
            <w:vAlign w:val="bottom"/>
          </w:tcPr>
          <w:p>
            <w:pPr>
              <w:spacing w:after="0"/>
              <w:rPr>
                <w:sz w:val="12"/>
                <w:szCs w:val="12"/>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2"/>
                <w:szCs w:val="12"/>
                <w:color w:val="auto"/>
              </w:rPr>
              <w:t>Finance lease</w:t>
            </w:r>
          </w:p>
        </w:tc>
        <w:tc>
          <w:tcPr>
            <w:tcW w:w="280" w:type="dxa"/>
            <w:vAlign w:val="bottom"/>
          </w:tcPr>
          <w:p>
            <w:pPr>
              <w:spacing w:after="0"/>
              <w:rPr>
                <w:sz w:val="12"/>
                <w:szCs w:val="12"/>
                <w:color w:val="auto"/>
              </w:rPr>
            </w:pP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Accounts</w:t>
            </w:r>
          </w:p>
        </w:tc>
        <w:tc>
          <w:tcPr>
            <w:tcW w:w="160" w:type="dxa"/>
            <w:vAlign w:val="bottom"/>
          </w:tcPr>
          <w:p>
            <w:pPr>
              <w:spacing w:after="0"/>
              <w:rPr>
                <w:sz w:val="12"/>
                <w:szCs w:val="12"/>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and equipment,</w:t>
            </w:r>
          </w:p>
        </w:tc>
        <w:tc>
          <w:tcPr>
            <w:tcW w:w="500" w:type="dxa"/>
            <w:vAlign w:val="bottom"/>
          </w:tcPr>
          <w:p>
            <w:pPr>
              <w:spacing w:after="0"/>
              <w:rPr>
                <w:sz w:val="12"/>
                <w:szCs w:val="12"/>
                <w:color w:val="auto"/>
              </w:rPr>
            </w:pPr>
          </w:p>
        </w:tc>
        <w:tc>
          <w:tcPr>
            <w:tcW w:w="660" w:type="dxa"/>
            <w:vAlign w:val="bottom"/>
          </w:tcPr>
          <w:p>
            <w:pPr>
              <w:jc w:val="right"/>
              <w:ind w:right="20"/>
              <w:spacing w:after="0"/>
              <w:rPr>
                <w:sz w:val="20"/>
                <w:szCs w:val="20"/>
                <w:color w:val="auto"/>
              </w:rPr>
            </w:pPr>
            <w:r>
              <w:rPr>
                <w:rFonts w:ascii="Arial" w:cs="Arial" w:eastAsia="Arial" w:hAnsi="Arial"/>
                <w:sz w:val="12"/>
                <w:szCs w:val="12"/>
                <w:color w:val="auto"/>
              </w:rPr>
              <w:t>&amp; accrued</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Finance lease</w:t>
            </w:r>
          </w:p>
        </w:tc>
      </w:tr>
      <w:tr>
        <w:trPr>
          <w:trHeight w:val="179"/>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 millions)</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receivable</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net</w:t>
            </w: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expenses</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2"/>
                <w:szCs w:val="12"/>
                <w:color w:val="auto"/>
              </w:rPr>
              <w:t>liabilities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receivable</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net</w:t>
            </w:r>
          </w:p>
        </w:tc>
        <w:tc>
          <w:tcPr>
            <w:tcW w:w="5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expenses</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liabilities</w:t>
            </w:r>
          </w:p>
        </w:tc>
      </w:tr>
      <w:tr>
        <w:trPr>
          <w:trHeight w:val="173"/>
        </w:trPr>
        <w:tc>
          <w:tcPr>
            <w:tcW w:w="1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Equity method investees:</w:t>
            </w:r>
          </w:p>
        </w:tc>
        <w:tc>
          <w:tcPr>
            <w:tcW w:w="26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spacing w:after="0"/>
              <w:rPr>
                <w:sz w:val="15"/>
                <w:szCs w:val="15"/>
                <w:color w:val="auto"/>
              </w:rPr>
            </w:pPr>
          </w:p>
        </w:tc>
        <w:tc>
          <w:tcPr>
            <w:tcW w:w="22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spacing w:after="0"/>
              <w:rPr>
                <w:sz w:val="15"/>
                <w:szCs w:val="15"/>
                <w:color w:val="auto"/>
              </w:rPr>
            </w:pPr>
          </w:p>
        </w:tc>
        <w:tc>
          <w:tcPr>
            <w:tcW w:w="460" w:type="dxa"/>
            <w:vAlign w:val="bottom"/>
            <w:tcBorders>
              <w:bottom w:val="single" w:sz="8" w:color="DBDBDB"/>
            </w:tcBorders>
            <w:shd w:val="clear" w:color="auto" w:fill="DBDBDB"/>
          </w:tcPr>
          <w:p>
            <w:pPr>
              <w:spacing w:after="0"/>
              <w:rPr>
                <w:sz w:val="15"/>
                <w:szCs w:val="15"/>
                <w:color w:val="auto"/>
              </w:rPr>
            </w:pPr>
          </w:p>
        </w:tc>
        <w:tc>
          <w:tcPr>
            <w:tcW w:w="68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spacing w:after="0"/>
              <w:rPr>
                <w:sz w:val="15"/>
                <w:szCs w:val="15"/>
                <w:color w:val="auto"/>
              </w:rPr>
            </w:pPr>
          </w:p>
        </w:tc>
        <w:tc>
          <w:tcPr>
            <w:tcW w:w="280" w:type="dxa"/>
            <w:vAlign w:val="bottom"/>
            <w:tcBorders>
              <w:bottom w:val="single" w:sz="8" w:color="DBDBDB"/>
            </w:tcBorders>
            <w:shd w:val="clear" w:color="auto" w:fill="DBDBDB"/>
          </w:tcPr>
          <w:p>
            <w:pPr>
              <w:spacing w:after="0"/>
              <w:rPr>
                <w:sz w:val="15"/>
                <w:szCs w:val="15"/>
                <w:color w:val="auto"/>
              </w:rPr>
            </w:pPr>
          </w:p>
        </w:tc>
        <w:tc>
          <w:tcPr>
            <w:tcW w:w="280" w:type="dxa"/>
            <w:vAlign w:val="bottom"/>
            <w:tcBorders>
              <w:bottom w:val="single" w:sz="8" w:color="DBDBDB"/>
            </w:tcBorders>
            <w:shd w:val="clear" w:color="auto" w:fill="DBDBDB"/>
          </w:tcPr>
          <w:p>
            <w:pPr>
              <w:spacing w:after="0"/>
              <w:rPr>
                <w:sz w:val="15"/>
                <w:szCs w:val="15"/>
                <w:color w:val="auto"/>
              </w:rPr>
            </w:pPr>
          </w:p>
        </w:tc>
        <w:tc>
          <w:tcPr>
            <w:tcW w:w="86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spacing w:after="0"/>
              <w:rPr>
                <w:sz w:val="15"/>
                <w:szCs w:val="15"/>
                <w:color w:val="auto"/>
              </w:rPr>
            </w:pPr>
          </w:p>
        </w:tc>
        <w:tc>
          <w:tcPr>
            <w:tcW w:w="50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spacing w:after="0"/>
              <w:rPr>
                <w:sz w:val="15"/>
                <w:szCs w:val="15"/>
                <w:color w:val="auto"/>
              </w:rPr>
            </w:pPr>
          </w:p>
        </w:tc>
      </w:tr>
      <w:tr>
        <w:trPr>
          <w:trHeight w:val="167"/>
        </w:trPr>
        <w:tc>
          <w:tcPr>
            <w:tcW w:w="1920" w:type="dxa"/>
            <w:vAlign w:val="bottom"/>
          </w:tcPr>
          <w:p>
            <w:pPr>
              <w:ind w:left="120"/>
              <w:spacing w:after="0"/>
              <w:rPr>
                <w:sz w:val="20"/>
                <w:szCs w:val="20"/>
                <w:color w:val="auto"/>
              </w:rPr>
            </w:pPr>
            <w:r>
              <w:rPr>
                <w:rFonts w:ascii="Arial" w:cs="Arial" w:eastAsia="Arial" w:hAnsi="Arial"/>
                <w:sz w:val="12"/>
                <w:szCs w:val="12"/>
                <w:color w:val="auto"/>
              </w:rPr>
              <w:t>Mr. Avocado</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0.7</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6"/>
        </w:trPr>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73"/>
        </w:trPr>
        <w:tc>
          <w:tcPr>
            <w:tcW w:w="1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Other:</w:t>
            </w:r>
          </w:p>
        </w:tc>
        <w:tc>
          <w:tcPr>
            <w:tcW w:w="260" w:type="dxa"/>
            <w:vAlign w:val="bottom"/>
            <w:tcBorders>
              <w:bottom w:val="single" w:sz="8" w:color="DBDBDB"/>
            </w:tcBorders>
            <w:shd w:val="clear" w:color="auto" w:fill="DBDBDB"/>
          </w:tcPr>
          <w:p>
            <w:pPr>
              <w:spacing w:after="0"/>
              <w:rPr>
                <w:sz w:val="15"/>
                <w:szCs w:val="15"/>
                <w:color w:val="auto"/>
              </w:rPr>
            </w:pPr>
          </w:p>
        </w:tc>
        <w:tc>
          <w:tcPr>
            <w:tcW w:w="820" w:type="dxa"/>
            <w:vAlign w:val="bottom"/>
            <w:tcBorders>
              <w:bottom w:val="single" w:sz="8" w:color="DBDBDB"/>
            </w:tcBorders>
            <w:shd w:val="clear" w:color="auto" w:fill="DBDBDB"/>
          </w:tcPr>
          <w:p>
            <w:pPr>
              <w:spacing w:after="0"/>
              <w:rPr>
                <w:sz w:val="15"/>
                <w:szCs w:val="15"/>
                <w:color w:val="auto"/>
              </w:rPr>
            </w:pPr>
          </w:p>
        </w:tc>
        <w:tc>
          <w:tcPr>
            <w:tcW w:w="22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spacing w:after="0"/>
              <w:rPr>
                <w:sz w:val="15"/>
                <w:szCs w:val="15"/>
                <w:color w:val="auto"/>
              </w:rPr>
            </w:pPr>
          </w:p>
        </w:tc>
        <w:tc>
          <w:tcPr>
            <w:tcW w:w="460" w:type="dxa"/>
            <w:vAlign w:val="bottom"/>
            <w:tcBorders>
              <w:bottom w:val="single" w:sz="8" w:color="DBDBDB"/>
            </w:tcBorders>
            <w:shd w:val="clear" w:color="auto" w:fill="DBDBDB"/>
          </w:tcPr>
          <w:p>
            <w:pPr>
              <w:spacing w:after="0"/>
              <w:rPr>
                <w:sz w:val="15"/>
                <w:szCs w:val="15"/>
                <w:color w:val="auto"/>
              </w:rPr>
            </w:pPr>
          </w:p>
        </w:tc>
        <w:tc>
          <w:tcPr>
            <w:tcW w:w="68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spacing w:after="0"/>
              <w:rPr>
                <w:sz w:val="15"/>
                <w:szCs w:val="15"/>
                <w:color w:val="auto"/>
              </w:rPr>
            </w:pPr>
          </w:p>
        </w:tc>
        <w:tc>
          <w:tcPr>
            <w:tcW w:w="280" w:type="dxa"/>
            <w:vAlign w:val="bottom"/>
            <w:tcBorders>
              <w:bottom w:val="single" w:sz="8" w:color="DBDBDB"/>
            </w:tcBorders>
            <w:shd w:val="clear" w:color="auto" w:fill="DBDBDB"/>
          </w:tcPr>
          <w:p>
            <w:pPr>
              <w:spacing w:after="0"/>
              <w:rPr>
                <w:sz w:val="15"/>
                <w:szCs w:val="15"/>
                <w:color w:val="auto"/>
              </w:rPr>
            </w:pPr>
          </w:p>
        </w:tc>
        <w:tc>
          <w:tcPr>
            <w:tcW w:w="280" w:type="dxa"/>
            <w:vAlign w:val="bottom"/>
            <w:tcBorders>
              <w:bottom w:val="single" w:sz="8" w:color="DBDBDB"/>
            </w:tcBorders>
            <w:shd w:val="clear" w:color="auto" w:fill="DBDBDB"/>
          </w:tcPr>
          <w:p>
            <w:pPr>
              <w:spacing w:after="0"/>
              <w:rPr>
                <w:sz w:val="15"/>
                <w:szCs w:val="15"/>
                <w:color w:val="auto"/>
              </w:rPr>
            </w:pPr>
          </w:p>
        </w:tc>
        <w:tc>
          <w:tcPr>
            <w:tcW w:w="86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spacing w:after="0"/>
              <w:rPr>
                <w:sz w:val="15"/>
                <w:szCs w:val="15"/>
                <w:color w:val="auto"/>
              </w:rPr>
            </w:pPr>
          </w:p>
        </w:tc>
        <w:tc>
          <w:tcPr>
            <w:tcW w:w="50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spacing w:after="0"/>
              <w:rPr>
                <w:sz w:val="15"/>
                <w:szCs w:val="15"/>
                <w:color w:val="auto"/>
              </w:rPr>
            </w:pPr>
          </w:p>
        </w:tc>
      </w:tr>
      <w:tr>
        <w:trPr>
          <w:trHeight w:val="193"/>
        </w:trPr>
        <w:tc>
          <w:tcPr>
            <w:tcW w:w="1920" w:type="dxa"/>
            <w:vAlign w:val="bottom"/>
          </w:tcPr>
          <w:p>
            <w:pPr>
              <w:ind w:left="120"/>
              <w:spacing w:after="0"/>
              <w:rPr>
                <w:sz w:val="20"/>
                <w:szCs w:val="20"/>
                <w:color w:val="auto"/>
              </w:rPr>
            </w:pPr>
            <w:r>
              <w:rPr>
                <w:rFonts w:ascii="Arial" w:cs="Arial" w:eastAsia="Arial" w:hAnsi="Arial"/>
                <w:sz w:val="12"/>
                <w:szCs w:val="12"/>
                <w:color w:val="auto"/>
              </w:rPr>
              <w:t>Directors/Officers</w:t>
            </w:r>
            <w:r>
              <w:rPr>
                <w:rFonts w:ascii="Arial" w:cs="Arial" w:eastAsia="Arial" w:hAnsi="Arial"/>
                <w:sz w:val="15"/>
                <w:szCs w:val="15"/>
                <w:color w:val="auto"/>
                <w:vertAlign w:val="superscript"/>
              </w:rPr>
              <w:t>(1)</w:t>
            </w:r>
          </w:p>
        </w:tc>
        <w:tc>
          <w:tcPr>
            <w:tcW w:w="26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0.1</w:t>
            </w:r>
          </w:p>
        </w:tc>
        <w:tc>
          <w:tcPr>
            <w:tcW w:w="220" w:type="dxa"/>
            <w:vAlign w:val="bottom"/>
          </w:tcPr>
          <w:p>
            <w:pPr>
              <w:spacing w:after="0"/>
              <w:rPr>
                <w:sz w:val="16"/>
                <w:szCs w:val="16"/>
                <w:color w:val="auto"/>
              </w:rPr>
            </w:pP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19.6</w:t>
            </w:r>
          </w:p>
        </w:tc>
        <w:tc>
          <w:tcPr>
            <w:tcW w:w="460" w:type="dxa"/>
            <w:vAlign w:val="bottom"/>
          </w:tcPr>
          <w:p>
            <w:pPr>
              <w:spacing w:after="0"/>
              <w:rPr>
                <w:sz w:val="16"/>
                <w:szCs w:val="16"/>
                <w:color w:val="auto"/>
              </w:rPr>
            </w:pP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1.2</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20.8</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0.2</w:t>
            </w:r>
          </w:p>
        </w:tc>
        <w:tc>
          <w:tcPr>
            <w:tcW w:w="160" w:type="dxa"/>
            <w:vAlign w:val="bottom"/>
          </w:tcPr>
          <w:p>
            <w:pPr>
              <w:spacing w:after="0"/>
              <w:rPr>
                <w:sz w:val="16"/>
                <w:szCs w:val="16"/>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20.0</w:t>
            </w:r>
          </w:p>
        </w:tc>
        <w:tc>
          <w:tcPr>
            <w:tcW w:w="500" w:type="dxa"/>
            <w:vAlign w:val="bottom"/>
          </w:tcPr>
          <w:p>
            <w:pPr>
              <w:spacing w:after="0"/>
              <w:rPr>
                <w:sz w:val="16"/>
                <w:szCs w:val="16"/>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21.7</w:t>
            </w:r>
          </w:p>
        </w:tc>
      </w:tr>
      <w:tr>
        <w:trPr>
          <w:trHeight w:val="193"/>
        </w:trPr>
        <w:tc>
          <w:tcPr>
            <w:tcW w:w="1920" w:type="dxa"/>
            <w:vAlign w:val="bottom"/>
            <w:tcBorders>
              <w:bottom w:val="single" w:sz="8" w:color="auto"/>
            </w:tcBorders>
            <w:shd w:val="clear" w:color="auto" w:fill="DBDBDB"/>
          </w:tcPr>
          <w:p>
            <w:pPr>
              <w:ind w:left="120"/>
              <w:spacing w:after="0"/>
              <w:rPr>
                <w:sz w:val="20"/>
                <w:szCs w:val="20"/>
                <w:color w:val="auto"/>
              </w:rPr>
            </w:pPr>
            <w:r>
              <w:rPr>
                <w:rFonts w:ascii="Arial" w:cs="Arial" w:eastAsia="Arial" w:hAnsi="Arial"/>
                <w:sz w:val="12"/>
                <w:szCs w:val="12"/>
                <w:color w:val="auto"/>
              </w:rPr>
              <w:t>Employees</w:t>
            </w:r>
            <w:r>
              <w:rPr>
                <w:rFonts w:ascii="Arial" w:cs="Arial" w:eastAsia="Arial" w:hAnsi="Arial"/>
                <w:sz w:val="15"/>
                <w:szCs w:val="15"/>
                <w:color w:val="auto"/>
                <w:vertAlign w:val="superscript"/>
              </w:rPr>
              <w:t>(2)</w:t>
            </w:r>
          </w:p>
        </w:tc>
        <w:tc>
          <w:tcPr>
            <w:tcW w:w="260" w:type="dxa"/>
            <w:vAlign w:val="bottom"/>
            <w:tcBorders>
              <w:bottom w:val="single" w:sz="8" w:color="auto"/>
            </w:tcBorders>
            <w:shd w:val="clear" w:color="auto" w:fill="DBDBDB"/>
          </w:tcPr>
          <w:p>
            <w:pPr>
              <w:spacing w:after="0"/>
              <w:rPr>
                <w:sz w:val="16"/>
                <w:szCs w:val="16"/>
                <w:color w:val="auto"/>
              </w:rPr>
            </w:pPr>
          </w:p>
        </w:tc>
        <w:tc>
          <w:tcPr>
            <w:tcW w:w="820" w:type="dxa"/>
            <w:vAlign w:val="bottom"/>
            <w:tcBorders>
              <w:bottom w:val="single" w:sz="8" w:color="auto"/>
            </w:tcBorders>
            <w:shd w:val="clear" w:color="auto" w:fill="DBDBDB"/>
          </w:tcPr>
          <w:p>
            <w:pPr>
              <w:jc w:val="right"/>
              <w:ind w:right="6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DBDBDB"/>
          </w:tcPr>
          <w:p>
            <w:pPr>
              <w:spacing w:after="0"/>
              <w:rPr>
                <w:sz w:val="16"/>
                <w:szCs w:val="16"/>
                <w:color w:val="auto"/>
              </w:rPr>
            </w:pPr>
          </w:p>
        </w:tc>
        <w:tc>
          <w:tcPr>
            <w:tcW w:w="680" w:type="dxa"/>
            <w:vAlign w:val="bottom"/>
            <w:tcBorders>
              <w:bottom w:val="single" w:sz="8" w:color="auto"/>
            </w:tcBorders>
            <w:shd w:val="clear" w:color="auto" w:fill="DBDBDB"/>
          </w:tcPr>
          <w:p>
            <w:pPr>
              <w:jc w:val="right"/>
              <w:ind w:right="60"/>
              <w:spacing w:after="0"/>
              <w:rPr>
                <w:sz w:val="20"/>
                <w:szCs w:val="20"/>
                <w:color w:val="auto"/>
              </w:rPr>
            </w:pPr>
            <w:r>
              <w:rPr>
                <w:rFonts w:ascii="Arial" w:cs="Arial" w:eastAsia="Arial" w:hAnsi="Arial"/>
                <w:sz w:val="12"/>
                <w:szCs w:val="12"/>
                <w:color w:val="auto"/>
              </w:rPr>
              <w:t>1.0</w:t>
            </w:r>
          </w:p>
        </w:tc>
        <w:tc>
          <w:tcPr>
            <w:tcW w:w="260" w:type="dxa"/>
            <w:vAlign w:val="bottom"/>
            <w:tcBorders>
              <w:bottom w:val="single" w:sz="8" w:color="auto"/>
            </w:tcBorders>
            <w:shd w:val="clear" w:color="auto" w:fill="DBDBDB"/>
          </w:tcPr>
          <w:p>
            <w:pPr>
              <w:spacing w:after="0"/>
              <w:rPr>
                <w:sz w:val="16"/>
                <w:szCs w:val="16"/>
                <w:color w:val="auto"/>
              </w:rPr>
            </w:pPr>
          </w:p>
        </w:tc>
        <w:tc>
          <w:tcPr>
            <w:tcW w:w="1120" w:type="dxa"/>
            <w:vAlign w:val="bottom"/>
            <w:tcBorders>
              <w:bottom w:val="single" w:sz="8" w:color="auto"/>
            </w:tcBorders>
            <w:gridSpan w:val="2"/>
            <w:shd w:val="clear" w:color="auto" w:fill="DBDBDB"/>
          </w:tcPr>
          <w:p>
            <w:pPr>
              <w:jc w:val="right"/>
              <w:ind w:right="34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tcBorders>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ind w:right="80"/>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DBDBDB"/>
          </w:tcPr>
          <w:p>
            <w:pPr>
              <w:spacing w:after="0"/>
              <w:rPr>
                <w:sz w:val="16"/>
                <w:szCs w:val="16"/>
                <w:color w:val="auto"/>
              </w:rPr>
            </w:pPr>
          </w:p>
        </w:tc>
        <w:tc>
          <w:tcPr>
            <w:tcW w:w="660" w:type="dxa"/>
            <w:vAlign w:val="bottom"/>
            <w:tcBorders>
              <w:bottom w:val="single" w:sz="8" w:color="auto"/>
            </w:tcBorders>
            <w:shd w:val="clear" w:color="auto" w:fill="DBDBDB"/>
          </w:tcPr>
          <w:p>
            <w:pPr>
              <w:jc w:val="right"/>
              <w:ind w:right="60"/>
              <w:spacing w:after="0"/>
              <w:rPr>
                <w:sz w:val="20"/>
                <w:szCs w:val="20"/>
                <w:color w:val="auto"/>
              </w:rPr>
            </w:pPr>
            <w:r>
              <w:rPr>
                <w:rFonts w:ascii="Arial" w:cs="Arial" w:eastAsia="Arial" w:hAnsi="Arial"/>
                <w:sz w:val="12"/>
                <w:szCs w:val="12"/>
                <w:color w:val="auto"/>
              </w:rPr>
              <w:t>0.4</w:t>
            </w:r>
          </w:p>
        </w:tc>
        <w:tc>
          <w:tcPr>
            <w:tcW w:w="260" w:type="dxa"/>
            <w:vAlign w:val="bottom"/>
            <w:tcBorders>
              <w:bottom w:val="single" w:sz="8" w:color="auto"/>
            </w:tcBorders>
            <w:shd w:val="clear" w:color="auto" w:fill="DBDBDB"/>
          </w:tcPr>
          <w:p>
            <w:pPr>
              <w:spacing w:after="0"/>
              <w:rPr>
                <w:sz w:val="16"/>
                <w:szCs w:val="16"/>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80" w:type="dxa"/>
            <w:vAlign w:val="bottom"/>
            <w:gridSpan w:val="5"/>
          </w:tcPr>
          <w:p>
            <w:pPr>
              <w:ind w:left="80"/>
              <w:spacing w:after="0"/>
              <w:rPr>
                <w:sz w:val="20"/>
                <w:szCs w:val="20"/>
                <w:color w:val="auto"/>
              </w:rPr>
            </w:pPr>
            <w:r>
              <w:rPr>
                <w:rFonts w:ascii="Arial" w:cs="Arial" w:eastAsia="Arial" w:hAnsi="Arial"/>
                <w:sz w:val="12"/>
                <w:szCs w:val="12"/>
                <w:b w:val="1"/>
                <w:bCs w:val="1"/>
                <w:color w:val="auto"/>
              </w:rPr>
              <w:t>Condensed Consolidated Statements of Income</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2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6"/>
        </w:trPr>
        <w:tc>
          <w:tcPr>
            <w:tcW w:w="2920" w:type="dxa"/>
            <w:vAlign w:val="bottom"/>
          </w:tcPr>
          <w:p>
            <w:pPr>
              <w:ind w:left="20"/>
              <w:spacing w:after="0"/>
              <w:rPr>
                <w:sz w:val="20"/>
                <w:szCs w:val="20"/>
                <w:color w:val="auto"/>
              </w:rPr>
            </w:pPr>
            <w:r>
              <w:rPr>
                <w:rFonts w:ascii="Arial" w:cs="Arial" w:eastAsia="Arial" w:hAnsi="Arial"/>
                <w:sz w:val="12"/>
                <w:szCs w:val="12"/>
                <w:color w:val="auto"/>
              </w:rPr>
              <w:t>(In millions)</w:t>
            </w: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Net sales</w:t>
            </w:r>
          </w:p>
        </w:tc>
        <w:tc>
          <w:tcPr>
            <w:tcW w:w="240" w:type="dxa"/>
            <w:vAlign w:val="bottom"/>
          </w:tcPr>
          <w:p>
            <w:pPr>
              <w:spacing w:after="0"/>
              <w:rPr>
                <w:sz w:val="14"/>
                <w:szCs w:val="14"/>
                <w:color w:val="auto"/>
              </w:rPr>
            </w:pPr>
          </w:p>
        </w:tc>
        <w:tc>
          <w:tcPr>
            <w:tcW w:w="1180" w:type="dxa"/>
            <w:vAlign w:val="bottom"/>
          </w:tcPr>
          <w:p>
            <w:pPr>
              <w:jc w:val="right"/>
              <w:ind w:right="20"/>
              <w:spacing w:after="0"/>
              <w:rPr>
                <w:sz w:val="20"/>
                <w:szCs w:val="20"/>
                <w:color w:val="auto"/>
              </w:rPr>
            </w:pPr>
            <w:r>
              <w:rPr>
                <w:rFonts w:ascii="Arial" w:cs="Arial" w:eastAsia="Arial" w:hAnsi="Arial"/>
                <w:sz w:val="12"/>
                <w:szCs w:val="12"/>
                <w:b w:val="1"/>
                <w:bCs w:val="1"/>
                <w:color w:val="auto"/>
              </w:rPr>
              <w:t>Cost of sales</w:t>
            </w: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Interest expense</w:t>
            </w:r>
          </w:p>
        </w:tc>
        <w:tc>
          <w:tcPr>
            <w:tcW w:w="40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b w:val="1"/>
                <w:bCs w:val="1"/>
                <w:color w:val="auto"/>
              </w:rPr>
              <w:t>Net sales</w:t>
            </w:r>
          </w:p>
        </w:tc>
        <w:tc>
          <w:tcPr>
            <w:tcW w:w="16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Cost of sales</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Interest expense</w:t>
            </w: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56"/>
        </w:trPr>
        <w:tc>
          <w:tcPr>
            <w:tcW w:w="292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1420" w:type="dxa"/>
            <w:vAlign w:val="bottom"/>
            <w:gridSpan w:val="2"/>
            <w:shd w:val="clear" w:color="auto" w:fill="DBDBDB"/>
          </w:tcPr>
          <w:p>
            <w:pPr>
              <w:jc w:val="center"/>
              <w:ind w:right="20"/>
              <w:spacing w:after="0"/>
              <w:rPr>
                <w:sz w:val="20"/>
                <w:szCs w:val="20"/>
                <w:color w:val="auto"/>
              </w:rPr>
            </w:pPr>
            <w:r>
              <w:rPr>
                <w:rFonts w:ascii="Arial" w:cs="Arial" w:eastAsia="Arial" w:hAnsi="Arial"/>
                <w:sz w:val="12"/>
                <w:szCs w:val="12"/>
                <w:b w:val="1"/>
                <w:bCs w:val="1"/>
                <w:color w:val="auto"/>
                <w:w w:val="99"/>
              </w:rPr>
              <w:t>Three Months Ended</w:t>
            </w:r>
          </w:p>
        </w:tc>
        <w:tc>
          <w:tcPr>
            <w:tcW w:w="20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1400" w:type="dxa"/>
            <w:vAlign w:val="bottom"/>
            <w:gridSpan w:val="2"/>
            <w:shd w:val="clear" w:color="auto" w:fill="DBDBDB"/>
          </w:tcPr>
          <w:p>
            <w:pPr>
              <w:jc w:val="center"/>
              <w:spacing w:after="0"/>
              <w:rPr>
                <w:sz w:val="20"/>
                <w:szCs w:val="20"/>
                <w:color w:val="auto"/>
              </w:rPr>
            </w:pPr>
            <w:r>
              <w:rPr>
                <w:rFonts w:ascii="Arial" w:cs="Arial" w:eastAsia="Arial" w:hAnsi="Arial"/>
                <w:sz w:val="12"/>
                <w:szCs w:val="12"/>
                <w:b w:val="1"/>
                <w:bCs w:val="1"/>
                <w:color w:val="auto"/>
              </w:rPr>
              <w:t>Three Months Ended</w:t>
            </w:r>
          </w:p>
        </w:tc>
        <w:tc>
          <w:tcPr>
            <w:tcW w:w="26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r>
      <w:tr>
        <w:trPr>
          <w:trHeight w:val="172"/>
        </w:trPr>
        <w:tc>
          <w:tcPr>
            <w:tcW w:w="2920" w:type="dxa"/>
            <w:vAlign w:val="bottom"/>
            <w:shd w:val="clear" w:color="auto" w:fill="DBDBDB"/>
          </w:tcPr>
          <w:p>
            <w:pPr>
              <w:spacing w:after="0"/>
              <w:rPr>
                <w:sz w:val="14"/>
                <w:szCs w:val="14"/>
                <w:color w:val="auto"/>
              </w:rPr>
            </w:pPr>
          </w:p>
        </w:tc>
        <w:tc>
          <w:tcPr>
            <w:tcW w:w="400" w:type="dxa"/>
            <w:vAlign w:val="bottom"/>
            <w:tcBorders>
              <w:bottom w:val="single" w:sz="8" w:color="auto"/>
            </w:tcBorders>
            <w:shd w:val="clear" w:color="auto" w:fill="DBDBDB"/>
          </w:tcPr>
          <w:p>
            <w:pPr>
              <w:spacing w:after="0"/>
              <w:rPr>
                <w:sz w:val="14"/>
                <w:szCs w:val="14"/>
                <w:color w:val="auto"/>
              </w:rPr>
            </w:pPr>
          </w:p>
        </w:tc>
        <w:tc>
          <w:tcPr>
            <w:tcW w:w="900" w:type="dxa"/>
            <w:vAlign w:val="bottom"/>
            <w:tcBorders>
              <w:bottom w:val="single" w:sz="8" w:color="auto"/>
            </w:tcBorders>
            <w:shd w:val="clear" w:color="auto" w:fill="DBDBDB"/>
          </w:tcPr>
          <w:p>
            <w:pPr>
              <w:spacing w:after="0"/>
              <w:rPr>
                <w:sz w:val="14"/>
                <w:szCs w:val="14"/>
                <w:color w:val="auto"/>
              </w:rPr>
            </w:pPr>
          </w:p>
        </w:tc>
        <w:tc>
          <w:tcPr>
            <w:tcW w:w="240" w:type="dxa"/>
            <w:vAlign w:val="bottom"/>
            <w:tcBorders>
              <w:bottom w:val="single" w:sz="8" w:color="auto"/>
            </w:tcBorders>
            <w:shd w:val="clear" w:color="auto" w:fill="DBDBDB"/>
          </w:tcPr>
          <w:p>
            <w:pPr>
              <w:spacing w:after="0"/>
              <w:rPr>
                <w:sz w:val="14"/>
                <w:szCs w:val="14"/>
                <w:color w:val="auto"/>
              </w:rPr>
            </w:pPr>
          </w:p>
        </w:tc>
        <w:tc>
          <w:tcPr>
            <w:tcW w:w="1180" w:type="dxa"/>
            <w:vAlign w:val="bottom"/>
            <w:tcBorders>
              <w:bottom w:val="single" w:sz="8" w:color="auto"/>
            </w:tcBorders>
            <w:shd w:val="clear" w:color="auto" w:fill="DBDBDB"/>
          </w:tcPr>
          <w:p>
            <w:pPr>
              <w:jc w:val="center"/>
              <w:ind w:right="220"/>
              <w:spacing w:after="0"/>
              <w:rPr>
                <w:sz w:val="20"/>
                <w:szCs w:val="20"/>
                <w:color w:val="auto"/>
              </w:rPr>
            </w:pPr>
            <w:r>
              <w:rPr>
                <w:rFonts w:ascii="Arial" w:cs="Arial" w:eastAsia="Arial" w:hAnsi="Arial"/>
                <w:sz w:val="12"/>
                <w:szCs w:val="12"/>
                <w:b w:val="1"/>
                <w:bCs w:val="1"/>
                <w:color w:val="auto"/>
              </w:rPr>
              <w:t>April 30, 2025</w:t>
            </w:r>
          </w:p>
        </w:tc>
        <w:tc>
          <w:tcPr>
            <w:tcW w:w="200" w:type="dxa"/>
            <w:vAlign w:val="bottom"/>
            <w:tcBorders>
              <w:bottom w:val="single" w:sz="8" w:color="auto"/>
            </w:tcBorders>
            <w:shd w:val="clear" w:color="auto" w:fill="DBDBDB"/>
          </w:tcPr>
          <w:p>
            <w:pPr>
              <w:spacing w:after="0"/>
              <w:rPr>
                <w:sz w:val="14"/>
                <w:szCs w:val="14"/>
                <w:color w:val="auto"/>
              </w:rPr>
            </w:pPr>
          </w:p>
        </w:tc>
        <w:tc>
          <w:tcPr>
            <w:tcW w:w="1040" w:type="dxa"/>
            <w:vAlign w:val="bottom"/>
            <w:tcBorders>
              <w:bottom w:val="single" w:sz="8" w:color="auto"/>
            </w:tcBorders>
            <w:shd w:val="clear" w:color="auto" w:fill="DBDBDB"/>
          </w:tcPr>
          <w:p>
            <w:pPr>
              <w:spacing w:after="0"/>
              <w:rPr>
                <w:sz w:val="14"/>
                <w:szCs w:val="14"/>
                <w:color w:val="auto"/>
              </w:rPr>
            </w:pPr>
          </w:p>
        </w:tc>
        <w:tc>
          <w:tcPr>
            <w:tcW w:w="300" w:type="dxa"/>
            <w:vAlign w:val="bottom"/>
            <w:shd w:val="clear" w:color="auto" w:fill="DBDBDB"/>
          </w:tcPr>
          <w:p>
            <w:pPr>
              <w:spacing w:after="0"/>
              <w:rPr>
                <w:sz w:val="14"/>
                <w:szCs w:val="14"/>
                <w:color w:val="auto"/>
              </w:rPr>
            </w:pPr>
          </w:p>
        </w:tc>
        <w:tc>
          <w:tcPr>
            <w:tcW w:w="400" w:type="dxa"/>
            <w:vAlign w:val="bottom"/>
            <w:tcBorders>
              <w:bottom w:val="single" w:sz="8" w:color="auto"/>
            </w:tcBorders>
            <w:shd w:val="clear" w:color="auto" w:fill="DBDBDB"/>
          </w:tcPr>
          <w:p>
            <w:pPr>
              <w:spacing w:after="0"/>
              <w:rPr>
                <w:sz w:val="14"/>
                <w:szCs w:val="14"/>
                <w:color w:val="auto"/>
              </w:rPr>
            </w:pPr>
          </w:p>
        </w:tc>
        <w:tc>
          <w:tcPr>
            <w:tcW w:w="940" w:type="dxa"/>
            <w:vAlign w:val="bottom"/>
            <w:tcBorders>
              <w:bottom w:val="single" w:sz="8" w:color="auto"/>
            </w:tcBorders>
            <w:shd w:val="clear" w:color="auto" w:fill="DBDBDB"/>
          </w:tcPr>
          <w:p>
            <w:pPr>
              <w:spacing w:after="0"/>
              <w:rPr>
                <w:sz w:val="14"/>
                <w:szCs w:val="14"/>
                <w:color w:val="auto"/>
              </w:rPr>
            </w:pPr>
          </w:p>
        </w:tc>
        <w:tc>
          <w:tcPr>
            <w:tcW w:w="160" w:type="dxa"/>
            <w:vAlign w:val="bottom"/>
            <w:tcBorders>
              <w:bottom w:val="single" w:sz="8" w:color="auto"/>
            </w:tcBorders>
            <w:shd w:val="clear" w:color="auto" w:fill="DBDBDB"/>
          </w:tcPr>
          <w:p>
            <w:pPr>
              <w:spacing w:after="0"/>
              <w:rPr>
                <w:sz w:val="14"/>
                <w:szCs w:val="14"/>
                <w:color w:val="auto"/>
              </w:rPr>
            </w:pPr>
          </w:p>
        </w:tc>
        <w:tc>
          <w:tcPr>
            <w:tcW w:w="1240" w:type="dxa"/>
            <w:vAlign w:val="bottom"/>
            <w:tcBorders>
              <w:bottom w:val="single" w:sz="8" w:color="auto"/>
            </w:tcBorders>
            <w:shd w:val="clear" w:color="auto" w:fill="DBDBDB"/>
          </w:tcPr>
          <w:p>
            <w:pPr>
              <w:jc w:val="center"/>
              <w:ind w:right="120"/>
              <w:spacing w:after="0"/>
              <w:rPr>
                <w:sz w:val="20"/>
                <w:szCs w:val="20"/>
                <w:color w:val="auto"/>
              </w:rPr>
            </w:pPr>
            <w:r>
              <w:rPr>
                <w:rFonts w:ascii="Arial" w:cs="Arial" w:eastAsia="Arial" w:hAnsi="Arial"/>
                <w:sz w:val="12"/>
                <w:szCs w:val="12"/>
                <w:b w:val="1"/>
                <w:bCs w:val="1"/>
                <w:color w:val="auto"/>
              </w:rPr>
              <w:t>April 30, 2024</w:t>
            </w:r>
          </w:p>
        </w:tc>
        <w:tc>
          <w:tcPr>
            <w:tcW w:w="260" w:type="dxa"/>
            <w:vAlign w:val="bottom"/>
            <w:tcBorders>
              <w:bottom w:val="single" w:sz="8" w:color="auto"/>
            </w:tcBorders>
            <w:shd w:val="clear" w:color="auto" w:fill="DBDBDB"/>
          </w:tcPr>
          <w:p>
            <w:pPr>
              <w:spacing w:after="0"/>
              <w:rPr>
                <w:sz w:val="14"/>
                <w:szCs w:val="14"/>
                <w:color w:val="auto"/>
              </w:rPr>
            </w:pPr>
          </w:p>
        </w:tc>
        <w:tc>
          <w:tcPr>
            <w:tcW w:w="1060" w:type="dxa"/>
            <w:vAlign w:val="bottom"/>
            <w:tcBorders>
              <w:bottom w:val="single" w:sz="8" w:color="auto"/>
            </w:tcBorders>
            <w:shd w:val="clear" w:color="auto" w:fill="DBDBDB"/>
          </w:tcPr>
          <w:p>
            <w:pPr>
              <w:spacing w:after="0"/>
              <w:rPr>
                <w:sz w:val="14"/>
                <w:szCs w:val="14"/>
                <w:color w:val="auto"/>
              </w:rPr>
            </w:pPr>
          </w:p>
        </w:tc>
      </w:tr>
      <w:tr>
        <w:trPr>
          <w:trHeight w:val="153"/>
        </w:trPr>
        <w:tc>
          <w:tcPr>
            <w:tcW w:w="2920" w:type="dxa"/>
            <w:vAlign w:val="bottom"/>
          </w:tcPr>
          <w:p>
            <w:pPr>
              <w:ind w:left="20"/>
              <w:spacing w:after="0"/>
              <w:rPr>
                <w:sz w:val="20"/>
                <w:szCs w:val="20"/>
                <w:color w:val="auto"/>
              </w:rPr>
            </w:pPr>
            <w:r>
              <w:rPr>
                <w:rFonts w:ascii="Arial" w:cs="Arial" w:eastAsia="Arial" w:hAnsi="Arial"/>
                <w:sz w:val="12"/>
                <w:szCs w:val="12"/>
                <w:b w:val="1"/>
                <w:bCs w:val="1"/>
                <w:color w:val="auto"/>
              </w:rPr>
              <w:t>Equity method investees:</w:t>
            </w: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
        </w:trPr>
        <w:tc>
          <w:tcPr>
            <w:tcW w:w="2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73"/>
        </w:trPr>
        <w:tc>
          <w:tcPr>
            <w:tcW w:w="29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2"/>
                <w:szCs w:val="12"/>
                <w:color w:val="auto"/>
              </w:rPr>
              <w:t>Henry Avocado</w:t>
            </w:r>
          </w:p>
        </w:tc>
        <w:tc>
          <w:tcPr>
            <w:tcW w:w="400" w:type="dxa"/>
            <w:vAlign w:val="bottom"/>
            <w:tcBorders>
              <w:bottom w:val="single" w:sz="8" w:color="DBDBDB"/>
            </w:tcBorders>
            <w:shd w:val="clear" w:color="auto" w:fill="DBDBDB"/>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2"/>
                <w:szCs w:val="12"/>
                <w:color w:val="auto"/>
              </w:rPr>
              <w:t>0.1</w:t>
            </w:r>
          </w:p>
        </w:tc>
        <w:tc>
          <w:tcPr>
            <w:tcW w:w="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DBDBDB"/>
            </w:tcBorders>
            <w:shd w:val="clear" w:color="auto" w:fill="DBDBDB"/>
          </w:tcPr>
          <w:p>
            <w:pPr>
              <w:jc w:val="right"/>
              <w:ind w:right="6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DBDBDB"/>
            </w:tcBorders>
            <w:gridSpan w:val="2"/>
            <w:shd w:val="clear" w:color="auto" w:fill="DBDBDB"/>
          </w:tcPr>
          <w:p>
            <w:pPr>
              <w:jc w:val="right"/>
              <w:ind w:right="36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DBDBDB"/>
            </w:tcBorders>
            <w:shd w:val="clear" w:color="auto" w:fill="DBDBDB"/>
          </w:tcPr>
          <w:p>
            <w:pPr>
              <w:jc w:val="right"/>
              <w:ind w:right="2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DBDBDB"/>
            </w:tcBorders>
            <w:shd w:val="clear" w:color="auto" w:fill="DBDBDB"/>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DBDBDB"/>
            </w:tcBorders>
            <w:shd w:val="clear" w:color="auto" w:fill="DBDBDB"/>
          </w:tcPr>
          <w:p>
            <w:pPr>
              <w:jc w:val="right"/>
              <w:ind w:right="8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jc w:val="right"/>
              <w:ind w:right="4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173"/>
        </w:trPr>
        <w:tc>
          <w:tcPr>
            <w:tcW w:w="2920" w:type="dxa"/>
            <w:vAlign w:val="bottom"/>
          </w:tcPr>
          <w:p>
            <w:pPr>
              <w:ind w:left="20"/>
              <w:spacing w:after="0"/>
              <w:rPr>
                <w:sz w:val="20"/>
                <w:szCs w:val="20"/>
                <w:color w:val="auto"/>
              </w:rPr>
            </w:pPr>
            <w:r>
              <w:rPr>
                <w:rFonts w:ascii="Arial" w:cs="Arial" w:eastAsia="Arial" w:hAnsi="Arial"/>
                <w:sz w:val="12"/>
                <w:szCs w:val="12"/>
                <w:b w:val="1"/>
                <w:bCs w:val="1"/>
                <w:color w:val="auto"/>
              </w:rPr>
              <w:t>Other:</w:t>
            </w: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2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3"/>
        </w:trPr>
        <w:tc>
          <w:tcPr>
            <w:tcW w:w="2920" w:type="dxa"/>
            <w:vAlign w:val="bottom"/>
            <w:shd w:val="clear" w:color="auto" w:fill="DBDBDB"/>
          </w:tcPr>
          <w:p>
            <w:pPr>
              <w:ind w:left="120"/>
              <w:spacing w:after="0"/>
              <w:rPr>
                <w:sz w:val="20"/>
                <w:szCs w:val="20"/>
                <w:color w:val="auto"/>
              </w:rPr>
            </w:pPr>
            <w:r>
              <w:rPr>
                <w:rFonts w:ascii="Arial" w:cs="Arial" w:eastAsia="Arial" w:hAnsi="Arial"/>
                <w:sz w:val="12"/>
                <w:szCs w:val="12"/>
                <w:color w:val="auto"/>
              </w:rPr>
              <w:t>Directors/Officers</w:t>
            </w:r>
            <w:r>
              <w:rPr>
                <w:rFonts w:ascii="Arial" w:cs="Arial" w:eastAsia="Arial" w:hAnsi="Arial"/>
                <w:sz w:val="15"/>
                <w:szCs w:val="15"/>
                <w:color w:val="auto"/>
                <w:vertAlign w:val="superscript"/>
              </w:rPr>
              <w:t>(1)</w:t>
            </w:r>
          </w:p>
        </w:tc>
        <w:tc>
          <w:tcPr>
            <w:tcW w:w="400" w:type="dxa"/>
            <w:vAlign w:val="bottom"/>
            <w:shd w:val="clear" w:color="auto" w:fill="DBDBDB"/>
          </w:tcPr>
          <w:p>
            <w:pPr>
              <w:spacing w:after="0"/>
              <w:rPr>
                <w:sz w:val="16"/>
                <w:szCs w:val="16"/>
                <w:color w:val="auto"/>
              </w:rPr>
            </w:pPr>
          </w:p>
        </w:tc>
        <w:tc>
          <w:tcPr>
            <w:tcW w:w="900" w:type="dxa"/>
            <w:vAlign w:val="bottom"/>
            <w:shd w:val="clear" w:color="auto" w:fill="DBDBDB"/>
          </w:tcPr>
          <w:p>
            <w:pPr>
              <w:jc w:val="right"/>
              <w:ind w:right="60"/>
              <w:spacing w:after="0"/>
              <w:rPr>
                <w:sz w:val="20"/>
                <w:szCs w:val="20"/>
                <w:color w:val="auto"/>
              </w:rPr>
            </w:pPr>
            <w:r>
              <w:rPr>
                <w:rFonts w:ascii="Arial" w:cs="Arial" w:eastAsia="Arial" w:hAnsi="Arial"/>
                <w:sz w:val="12"/>
                <w:szCs w:val="12"/>
                <w:color w:val="auto"/>
              </w:rPr>
              <w:t>0.8</w:t>
            </w:r>
          </w:p>
        </w:tc>
        <w:tc>
          <w:tcPr>
            <w:tcW w:w="240" w:type="dxa"/>
            <w:vAlign w:val="bottom"/>
            <w:shd w:val="clear" w:color="auto" w:fill="DBDBDB"/>
          </w:tcPr>
          <w:p>
            <w:pPr>
              <w:spacing w:after="0"/>
              <w:rPr>
                <w:sz w:val="16"/>
                <w:szCs w:val="16"/>
                <w:color w:val="auto"/>
              </w:rPr>
            </w:pPr>
          </w:p>
        </w:tc>
        <w:tc>
          <w:tcPr>
            <w:tcW w:w="1180" w:type="dxa"/>
            <w:vAlign w:val="bottom"/>
            <w:shd w:val="clear" w:color="auto" w:fill="DBDBDB"/>
          </w:tcPr>
          <w:p>
            <w:pPr>
              <w:jc w:val="right"/>
              <w:ind w:right="60"/>
              <w:spacing w:after="0"/>
              <w:rPr>
                <w:sz w:val="20"/>
                <w:szCs w:val="20"/>
                <w:color w:val="auto"/>
              </w:rPr>
            </w:pPr>
            <w:r>
              <w:rPr>
                <w:rFonts w:ascii="Arial" w:cs="Arial" w:eastAsia="Arial" w:hAnsi="Arial"/>
                <w:sz w:val="12"/>
                <w:szCs w:val="12"/>
                <w:color w:val="auto"/>
              </w:rPr>
              <w:t>1.5</w:t>
            </w:r>
          </w:p>
        </w:tc>
        <w:tc>
          <w:tcPr>
            <w:tcW w:w="200" w:type="dxa"/>
            <w:vAlign w:val="bottom"/>
            <w:shd w:val="clear" w:color="auto" w:fill="DBDBDB"/>
          </w:tcPr>
          <w:p>
            <w:pPr>
              <w:spacing w:after="0"/>
              <w:rPr>
                <w:sz w:val="16"/>
                <w:szCs w:val="16"/>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0.5</w:t>
            </w:r>
          </w:p>
        </w:tc>
        <w:tc>
          <w:tcPr>
            <w:tcW w:w="30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940" w:type="dxa"/>
            <w:vAlign w:val="bottom"/>
            <w:shd w:val="clear" w:color="auto" w:fill="DBDBDB"/>
          </w:tcPr>
          <w:p>
            <w:pPr>
              <w:jc w:val="right"/>
              <w:ind w:right="80"/>
              <w:spacing w:after="0"/>
              <w:rPr>
                <w:sz w:val="20"/>
                <w:szCs w:val="20"/>
                <w:color w:val="auto"/>
              </w:rPr>
            </w:pPr>
            <w:r>
              <w:rPr>
                <w:rFonts w:ascii="Arial" w:cs="Arial" w:eastAsia="Arial" w:hAnsi="Arial"/>
                <w:sz w:val="12"/>
                <w:szCs w:val="12"/>
                <w:color w:val="auto"/>
              </w:rPr>
              <w:t>0.3</w:t>
            </w:r>
          </w:p>
        </w:tc>
        <w:tc>
          <w:tcPr>
            <w:tcW w:w="160" w:type="dxa"/>
            <w:vAlign w:val="bottom"/>
            <w:shd w:val="clear" w:color="auto" w:fill="DBDBDB"/>
          </w:tcPr>
          <w:p>
            <w:pPr>
              <w:spacing w:after="0"/>
              <w:rPr>
                <w:sz w:val="16"/>
                <w:szCs w:val="16"/>
                <w:color w:val="auto"/>
              </w:rPr>
            </w:pPr>
          </w:p>
        </w:tc>
        <w:tc>
          <w:tcPr>
            <w:tcW w:w="1240" w:type="dxa"/>
            <w:vAlign w:val="bottom"/>
            <w:shd w:val="clear" w:color="auto" w:fill="DBDBDB"/>
          </w:tcPr>
          <w:p>
            <w:pPr>
              <w:jc w:val="right"/>
              <w:ind w:right="80"/>
              <w:spacing w:after="0"/>
              <w:rPr>
                <w:sz w:val="20"/>
                <w:szCs w:val="20"/>
                <w:color w:val="auto"/>
              </w:rPr>
            </w:pPr>
            <w:r>
              <w:rPr>
                <w:rFonts w:ascii="Arial" w:cs="Arial" w:eastAsia="Arial" w:hAnsi="Arial"/>
                <w:sz w:val="12"/>
                <w:szCs w:val="12"/>
                <w:color w:val="auto"/>
              </w:rPr>
              <w:t>0.9</w:t>
            </w:r>
          </w:p>
        </w:tc>
        <w:tc>
          <w:tcPr>
            <w:tcW w:w="26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0.5</w:t>
            </w:r>
          </w:p>
        </w:tc>
      </w:tr>
      <w:tr>
        <w:trPr>
          <w:trHeight w:val="193"/>
        </w:trPr>
        <w:tc>
          <w:tcPr>
            <w:tcW w:w="292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Employees</w:t>
            </w:r>
            <w:r>
              <w:rPr>
                <w:rFonts w:ascii="Arial" w:cs="Arial" w:eastAsia="Arial" w:hAnsi="Arial"/>
                <w:sz w:val="15"/>
                <w:szCs w:val="15"/>
                <w:color w:val="auto"/>
                <w:vertAlign w:val="superscript"/>
              </w:rPr>
              <w:t>(2)</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3.2</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1.6</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94"/>
        </w:trPr>
        <w:tc>
          <w:tcPr>
            <w:tcW w:w="2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Six Months Ended</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100"/>
              <w:spacing w:after="0"/>
              <w:rPr>
                <w:sz w:val="20"/>
                <w:szCs w:val="20"/>
                <w:color w:val="auto"/>
              </w:rPr>
            </w:pPr>
            <w:r>
              <w:rPr>
                <w:rFonts w:ascii="Arial" w:cs="Arial" w:eastAsia="Arial" w:hAnsi="Arial"/>
                <w:sz w:val="12"/>
                <w:szCs w:val="12"/>
                <w:b w:val="1"/>
                <w:bCs w:val="1"/>
                <w:color w:val="auto"/>
                <w:w w:val="99"/>
              </w:rPr>
              <w:t>Six Months Ended</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69"/>
        </w:trPr>
        <w:tc>
          <w:tcPr>
            <w:tcW w:w="292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rPr>
              <w:t>April 30, 2025</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rPr>
              <w:t>April 30, 2024</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70"/>
        </w:trPr>
        <w:tc>
          <w:tcPr>
            <w:tcW w:w="2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Equity method investees:</w:t>
            </w:r>
          </w:p>
        </w:tc>
        <w:tc>
          <w:tcPr>
            <w:tcW w:w="40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c>
          <w:tcPr>
            <w:tcW w:w="240" w:type="dxa"/>
            <w:vAlign w:val="bottom"/>
            <w:tcBorders>
              <w:bottom w:val="single" w:sz="8" w:color="DBDBDB"/>
            </w:tcBorders>
            <w:shd w:val="clear" w:color="auto" w:fill="DBDBDB"/>
          </w:tcPr>
          <w:p>
            <w:pPr>
              <w:spacing w:after="0"/>
              <w:rPr>
                <w:sz w:val="14"/>
                <w:szCs w:val="14"/>
                <w:color w:val="auto"/>
              </w:rPr>
            </w:pPr>
          </w:p>
        </w:tc>
        <w:tc>
          <w:tcPr>
            <w:tcW w:w="1180" w:type="dxa"/>
            <w:vAlign w:val="bottom"/>
            <w:tcBorders>
              <w:bottom w:val="single" w:sz="8" w:color="DBDBDB"/>
            </w:tcBorders>
            <w:shd w:val="clear" w:color="auto" w:fill="DBDBDB"/>
          </w:tcPr>
          <w:p>
            <w:pPr>
              <w:spacing w:after="0"/>
              <w:rPr>
                <w:sz w:val="14"/>
                <w:szCs w:val="14"/>
                <w:color w:val="auto"/>
              </w:rPr>
            </w:pPr>
          </w:p>
        </w:tc>
        <w:tc>
          <w:tcPr>
            <w:tcW w:w="200" w:type="dxa"/>
            <w:vAlign w:val="bottom"/>
            <w:tcBorders>
              <w:bottom w:val="single" w:sz="8" w:color="DBDBDB"/>
            </w:tcBorders>
            <w:shd w:val="clear" w:color="auto" w:fill="DBDBDB"/>
          </w:tcPr>
          <w:p>
            <w:pPr>
              <w:spacing w:after="0"/>
              <w:rPr>
                <w:sz w:val="14"/>
                <w:szCs w:val="14"/>
                <w:color w:val="auto"/>
              </w:rPr>
            </w:pPr>
          </w:p>
        </w:tc>
        <w:tc>
          <w:tcPr>
            <w:tcW w:w="1040" w:type="dxa"/>
            <w:vAlign w:val="bottom"/>
            <w:tcBorders>
              <w:bottom w:val="single" w:sz="8" w:color="DBDBDB"/>
            </w:tcBorders>
            <w:shd w:val="clear" w:color="auto" w:fill="DBDBDB"/>
          </w:tcPr>
          <w:p>
            <w:pPr>
              <w:spacing w:after="0"/>
              <w:rPr>
                <w:sz w:val="14"/>
                <w:szCs w:val="14"/>
                <w:color w:val="auto"/>
              </w:rPr>
            </w:pPr>
          </w:p>
        </w:tc>
        <w:tc>
          <w:tcPr>
            <w:tcW w:w="300" w:type="dxa"/>
            <w:vAlign w:val="bottom"/>
            <w:tcBorders>
              <w:bottom w:val="single" w:sz="8" w:color="DBDBDB"/>
            </w:tcBorders>
            <w:shd w:val="clear" w:color="auto" w:fill="DBDBDB"/>
          </w:tcPr>
          <w:p>
            <w:pPr>
              <w:spacing w:after="0"/>
              <w:rPr>
                <w:sz w:val="14"/>
                <w:szCs w:val="14"/>
                <w:color w:val="auto"/>
              </w:rPr>
            </w:pPr>
          </w:p>
        </w:tc>
        <w:tc>
          <w:tcPr>
            <w:tcW w:w="40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160" w:type="dxa"/>
            <w:vAlign w:val="bottom"/>
            <w:tcBorders>
              <w:bottom w:val="single" w:sz="8" w:color="DBDBDB"/>
            </w:tcBorders>
            <w:shd w:val="clear" w:color="auto" w:fill="DBDBDB"/>
          </w:tcPr>
          <w:p>
            <w:pPr>
              <w:spacing w:after="0"/>
              <w:rPr>
                <w:sz w:val="14"/>
                <w:szCs w:val="14"/>
                <w:color w:val="auto"/>
              </w:rPr>
            </w:pPr>
          </w:p>
        </w:tc>
        <w:tc>
          <w:tcPr>
            <w:tcW w:w="1240" w:type="dxa"/>
            <w:vAlign w:val="bottom"/>
            <w:tcBorders>
              <w:bottom w:val="single" w:sz="8" w:color="DBDBDB"/>
            </w:tcBorders>
            <w:shd w:val="clear" w:color="auto" w:fill="DBDBDB"/>
          </w:tcPr>
          <w:p>
            <w:pPr>
              <w:spacing w:after="0"/>
              <w:rPr>
                <w:sz w:val="14"/>
                <w:szCs w:val="14"/>
                <w:color w:val="auto"/>
              </w:rPr>
            </w:pPr>
          </w:p>
        </w:tc>
        <w:tc>
          <w:tcPr>
            <w:tcW w:w="260" w:type="dxa"/>
            <w:vAlign w:val="bottom"/>
            <w:tcBorders>
              <w:bottom w:val="single" w:sz="8" w:color="DBDBDB"/>
            </w:tcBorders>
            <w:shd w:val="clear" w:color="auto" w:fill="DBDBDB"/>
          </w:tcPr>
          <w:p>
            <w:pPr>
              <w:spacing w:after="0"/>
              <w:rPr>
                <w:sz w:val="14"/>
                <w:szCs w:val="14"/>
                <w:color w:val="auto"/>
              </w:rPr>
            </w:pPr>
          </w:p>
        </w:tc>
        <w:tc>
          <w:tcPr>
            <w:tcW w:w="1060" w:type="dxa"/>
            <w:vAlign w:val="bottom"/>
            <w:tcBorders>
              <w:bottom w:val="single" w:sz="8" w:color="DBDBDB"/>
            </w:tcBorders>
            <w:shd w:val="clear" w:color="auto" w:fill="DBDBDB"/>
          </w:tcPr>
          <w:p>
            <w:pPr>
              <w:spacing w:after="0"/>
              <w:rPr>
                <w:sz w:val="14"/>
                <w:szCs w:val="14"/>
                <w:color w:val="auto"/>
              </w:rPr>
            </w:pPr>
          </w:p>
        </w:tc>
      </w:tr>
      <w:tr>
        <w:trPr>
          <w:trHeight w:val="167"/>
        </w:trPr>
        <w:tc>
          <w:tcPr>
            <w:tcW w:w="2920" w:type="dxa"/>
            <w:vAlign w:val="bottom"/>
          </w:tcPr>
          <w:p>
            <w:pPr>
              <w:ind w:left="120"/>
              <w:spacing w:after="0"/>
              <w:rPr>
                <w:sz w:val="20"/>
                <w:szCs w:val="20"/>
                <w:color w:val="auto"/>
              </w:rPr>
            </w:pPr>
            <w:r>
              <w:rPr>
                <w:rFonts w:ascii="Arial" w:cs="Arial" w:eastAsia="Arial" w:hAnsi="Arial"/>
                <w:sz w:val="12"/>
                <w:szCs w:val="12"/>
                <w:color w:val="auto"/>
              </w:rPr>
              <w:t>Henry Avocado</w:t>
            </w:r>
          </w:p>
        </w:tc>
        <w:tc>
          <w:tcPr>
            <w:tcW w:w="40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0.1</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00" w:type="dxa"/>
            <w:vAlign w:val="bottom"/>
          </w:tcPr>
          <w:p>
            <w:pPr>
              <w:ind w:left="6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6"/>
        </w:trPr>
        <w:tc>
          <w:tcPr>
            <w:tcW w:w="2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73"/>
        </w:trPr>
        <w:tc>
          <w:tcPr>
            <w:tcW w:w="2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Other:</w:t>
            </w:r>
          </w:p>
        </w:tc>
        <w:tc>
          <w:tcPr>
            <w:tcW w:w="40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spacing w:after="0"/>
              <w:rPr>
                <w:sz w:val="15"/>
                <w:szCs w:val="15"/>
                <w:color w:val="auto"/>
              </w:rPr>
            </w:pPr>
          </w:p>
        </w:tc>
        <w:tc>
          <w:tcPr>
            <w:tcW w:w="24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DBDBDB"/>
            </w:tcBorders>
            <w:shd w:val="clear" w:color="auto" w:fill="DBDBDB"/>
          </w:tcPr>
          <w:p>
            <w:pPr>
              <w:spacing w:after="0"/>
              <w:rPr>
                <w:sz w:val="15"/>
                <w:szCs w:val="15"/>
                <w:color w:val="auto"/>
              </w:rPr>
            </w:pPr>
          </w:p>
        </w:tc>
        <w:tc>
          <w:tcPr>
            <w:tcW w:w="104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spacing w:after="0"/>
              <w:rPr>
                <w:sz w:val="15"/>
                <w:szCs w:val="15"/>
                <w:color w:val="auto"/>
              </w:rPr>
            </w:pPr>
          </w:p>
        </w:tc>
        <w:tc>
          <w:tcPr>
            <w:tcW w:w="40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124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spacing w:after="0"/>
              <w:rPr>
                <w:sz w:val="15"/>
                <w:szCs w:val="15"/>
                <w:color w:val="auto"/>
              </w:rPr>
            </w:pPr>
          </w:p>
        </w:tc>
      </w:tr>
      <w:tr>
        <w:trPr>
          <w:trHeight w:val="193"/>
        </w:trPr>
        <w:tc>
          <w:tcPr>
            <w:tcW w:w="2920" w:type="dxa"/>
            <w:vAlign w:val="bottom"/>
          </w:tcPr>
          <w:p>
            <w:pPr>
              <w:ind w:left="120"/>
              <w:spacing w:after="0"/>
              <w:rPr>
                <w:sz w:val="20"/>
                <w:szCs w:val="20"/>
                <w:color w:val="auto"/>
              </w:rPr>
            </w:pPr>
            <w:r>
              <w:rPr>
                <w:rFonts w:ascii="Arial" w:cs="Arial" w:eastAsia="Arial" w:hAnsi="Arial"/>
                <w:sz w:val="12"/>
                <w:szCs w:val="12"/>
                <w:color w:val="auto"/>
              </w:rPr>
              <w:t>Directors/Officers</w:t>
            </w:r>
            <w:r>
              <w:rPr>
                <w:rFonts w:ascii="Arial" w:cs="Arial" w:eastAsia="Arial" w:hAnsi="Arial"/>
                <w:sz w:val="15"/>
                <w:szCs w:val="15"/>
                <w:color w:val="auto"/>
                <w:vertAlign w:val="superscript"/>
              </w:rPr>
              <w:t>(1))</w:t>
            </w:r>
          </w:p>
        </w:tc>
        <w:tc>
          <w:tcPr>
            <w:tcW w:w="40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1.4</w:t>
            </w:r>
          </w:p>
        </w:tc>
        <w:tc>
          <w:tcPr>
            <w:tcW w:w="240" w:type="dxa"/>
            <w:vAlign w:val="bottom"/>
          </w:tcPr>
          <w:p>
            <w:pPr>
              <w:spacing w:after="0"/>
              <w:rPr>
                <w:sz w:val="16"/>
                <w:szCs w:val="16"/>
                <w:color w:val="auto"/>
              </w:rPr>
            </w:pP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1.8</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80"/>
              <w:spacing w:after="0"/>
              <w:rPr>
                <w:sz w:val="20"/>
                <w:szCs w:val="20"/>
                <w:color w:val="auto"/>
              </w:rPr>
            </w:pPr>
            <w:r>
              <w:rPr>
                <w:rFonts w:ascii="Arial" w:cs="Arial" w:eastAsia="Arial" w:hAnsi="Arial"/>
                <w:sz w:val="12"/>
                <w:szCs w:val="12"/>
                <w:color w:val="auto"/>
              </w:rPr>
              <w:t>0.5</w:t>
            </w:r>
          </w:p>
        </w:tc>
        <w:tc>
          <w:tcPr>
            <w:tcW w:w="160" w:type="dxa"/>
            <w:vAlign w:val="bottom"/>
          </w:tcPr>
          <w:p>
            <w:pPr>
              <w:spacing w:after="0"/>
              <w:rPr>
                <w:sz w:val="16"/>
                <w:szCs w:val="16"/>
                <w:color w:val="auto"/>
              </w:rPr>
            </w:pPr>
          </w:p>
        </w:tc>
        <w:tc>
          <w:tcPr>
            <w:tcW w:w="1240" w:type="dxa"/>
            <w:vAlign w:val="bottom"/>
          </w:tcPr>
          <w:p>
            <w:pPr>
              <w:jc w:val="right"/>
              <w:ind w:right="80"/>
              <w:spacing w:after="0"/>
              <w:rPr>
                <w:sz w:val="20"/>
                <w:szCs w:val="20"/>
                <w:color w:val="auto"/>
              </w:rPr>
            </w:pPr>
            <w:r>
              <w:rPr>
                <w:rFonts w:ascii="Arial" w:cs="Arial" w:eastAsia="Arial" w:hAnsi="Arial"/>
                <w:sz w:val="12"/>
                <w:szCs w:val="12"/>
                <w:color w:val="auto"/>
              </w:rPr>
              <w:t>1.1</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93"/>
        </w:trPr>
        <w:tc>
          <w:tcPr>
            <w:tcW w:w="2920" w:type="dxa"/>
            <w:vAlign w:val="bottom"/>
            <w:tcBorders>
              <w:bottom w:val="single" w:sz="8" w:color="auto"/>
            </w:tcBorders>
            <w:shd w:val="clear" w:color="auto" w:fill="DBDBDB"/>
          </w:tcPr>
          <w:p>
            <w:pPr>
              <w:ind w:left="120"/>
              <w:spacing w:after="0"/>
              <w:rPr>
                <w:sz w:val="20"/>
                <w:szCs w:val="20"/>
                <w:color w:val="auto"/>
              </w:rPr>
            </w:pPr>
            <w:r>
              <w:rPr>
                <w:rFonts w:ascii="Arial" w:cs="Arial" w:eastAsia="Arial" w:hAnsi="Arial"/>
                <w:sz w:val="12"/>
                <w:szCs w:val="12"/>
                <w:color w:val="auto"/>
              </w:rPr>
              <w:t>Employees</w:t>
            </w:r>
            <w:r>
              <w:rPr>
                <w:rFonts w:ascii="Arial" w:cs="Arial" w:eastAsia="Arial" w:hAnsi="Arial"/>
                <w:sz w:val="15"/>
                <w:szCs w:val="15"/>
                <w:color w:val="auto"/>
                <w:vertAlign w:val="superscript"/>
              </w:rPr>
              <w:t>(2)</w:t>
            </w:r>
          </w:p>
        </w:tc>
        <w:tc>
          <w:tcPr>
            <w:tcW w:w="40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shd w:val="clear" w:color="auto" w:fill="DBDBDB"/>
          </w:tcPr>
          <w:p>
            <w:pPr>
              <w:spacing w:after="0"/>
              <w:rPr>
                <w:sz w:val="16"/>
                <w:szCs w:val="16"/>
                <w:color w:val="auto"/>
              </w:rPr>
            </w:pPr>
          </w:p>
        </w:tc>
        <w:tc>
          <w:tcPr>
            <w:tcW w:w="1180" w:type="dxa"/>
            <w:vAlign w:val="bottom"/>
            <w:tcBorders>
              <w:bottom w:val="single" w:sz="8" w:color="auto"/>
            </w:tcBorders>
            <w:shd w:val="clear" w:color="auto" w:fill="DBDBDB"/>
          </w:tcPr>
          <w:p>
            <w:pPr>
              <w:jc w:val="right"/>
              <w:ind w:right="60"/>
              <w:spacing w:after="0"/>
              <w:rPr>
                <w:sz w:val="20"/>
                <w:szCs w:val="20"/>
                <w:color w:val="auto"/>
              </w:rPr>
            </w:pPr>
            <w:r>
              <w:rPr>
                <w:rFonts w:ascii="Arial" w:cs="Arial" w:eastAsia="Arial" w:hAnsi="Arial"/>
                <w:sz w:val="12"/>
                <w:szCs w:val="12"/>
                <w:color w:val="auto"/>
              </w:rPr>
              <w:t>4.4</w:t>
            </w:r>
          </w:p>
        </w:tc>
        <w:tc>
          <w:tcPr>
            <w:tcW w:w="200" w:type="dxa"/>
            <w:vAlign w:val="bottom"/>
            <w:tcBorders>
              <w:bottom w:val="single" w:sz="8" w:color="auto"/>
            </w:tcBorders>
            <w:shd w:val="clear" w:color="auto" w:fill="DBDBDB"/>
          </w:tcPr>
          <w:p>
            <w:pPr>
              <w:spacing w:after="0"/>
              <w:rPr>
                <w:sz w:val="16"/>
                <w:szCs w:val="16"/>
                <w:color w:val="auto"/>
              </w:rPr>
            </w:pPr>
          </w:p>
        </w:tc>
        <w:tc>
          <w:tcPr>
            <w:tcW w:w="1340" w:type="dxa"/>
            <w:vAlign w:val="bottom"/>
            <w:tcBorders>
              <w:bottom w:val="single" w:sz="8" w:color="auto"/>
            </w:tcBorders>
            <w:gridSpan w:val="2"/>
            <w:shd w:val="clear" w:color="auto" w:fill="DBDBDB"/>
          </w:tcPr>
          <w:p>
            <w:pPr>
              <w:jc w:val="right"/>
              <w:ind w:right="36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DBDBDB"/>
          </w:tcPr>
          <w:p>
            <w:pPr>
              <w:spacing w:after="0"/>
              <w:rPr>
                <w:sz w:val="16"/>
                <w:szCs w:val="16"/>
                <w:color w:val="auto"/>
              </w:rPr>
            </w:pPr>
          </w:p>
        </w:tc>
        <w:tc>
          <w:tcPr>
            <w:tcW w:w="1240" w:type="dxa"/>
            <w:vAlign w:val="bottom"/>
            <w:tcBorders>
              <w:bottom w:val="single" w:sz="8" w:color="auto"/>
            </w:tcBorders>
            <w:shd w:val="clear" w:color="auto" w:fill="DBDBDB"/>
          </w:tcPr>
          <w:p>
            <w:pPr>
              <w:jc w:val="right"/>
              <w:ind w:right="80"/>
              <w:spacing w:after="0"/>
              <w:rPr>
                <w:sz w:val="20"/>
                <w:szCs w:val="20"/>
                <w:color w:val="auto"/>
              </w:rPr>
            </w:pPr>
            <w:r>
              <w:rPr>
                <w:rFonts w:ascii="Arial" w:cs="Arial" w:eastAsia="Arial" w:hAnsi="Arial"/>
                <w:sz w:val="12"/>
                <w:szCs w:val="12"/>
                <w:color w:val="auto"/>
              </w:rPr>
              <w:t>6.1</w:t>
            </w:r>
          </w:p>
        </w:tc>
        <w:tc>
          <w:tcPr>
            <w:tcW w:w="26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r>
    </w:tbl>
    <w:p>
      <w:pPr>
        <w:spacing w:after="0" w:line="124" w:lineRule="exact"/>
        <w:rPr>
          <w:sz w:val="20"/>
          <w:szCs w:val="20"/>
          <w:color w:val="auto"/>
        </w:rPr>
      </w:pPr>
    </w:p>
    <w:p>
      <w:pPr>
        <w:ind w:left="240" w:right="80" w:hanging="237"/>
        <w:spacing w:after="0" w:line="258" w:lineRule="auto"/>
        <w:tabs>
          <w:tab w:leader="none" w:pos="232"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Company purchases from and sells fruit to, and provides logistics services to, a small number of entities having full or partial ownership by some of our directors/officers. These transactions are made under substantially similar terms as with other growers and customers. Our blueberries business leases land under a long-term lease with a company owned by one of our directors. The rental rate in the lease was comparable to market rates and reflective of an arms-length transaction. The lease was accounted for as a finance lease right-of-use asset and is included in property, plant and equipment, net in the consolidated balance sheets, with amortization and interest expense recognized in cost of sales and interest expense, respectively, in the condensed consolidated statements of income. The portion of lease costs attributable to noncontrolling interest, net of income taxes, was $0.3 million for both the three months ended April 30, 2025 and 2024 and $0.5 million for both the six months ended April 30, 2025 and 2024; amounts were included as part of net income attributable to noncontrolling interest in the condensed consolidated statements of income.</w:t>
      </w:r>
    </w:p>
    <w:p>
      <w:pPr>
        <w:spacing w:after="0" w:line="25" w:lineRule="exact"/>
        <w:rPr>
          <w:rFonts w:ascii="Arial" w:cs="Arial" w:eastAsia="Arial" w:hAnsi="Arial"/>
          <w:sz w:val="12"/>
          <w:szCs w:val="12"/>
          <w:color w:val="auto"/>
        </w:rPr>
      </w:pPr>
    </w:p>
    <w:p>
      <w:pPr>
        <w:ind w:left="240" w:right="100" w:hanging="237"/>
        <w:spacing w:after="0" w:line="282" w:lineRule="auto"/>
        <w:tabs>
          <w:tab w:leader="none" w:pos="232"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Company utilizes a small number of transportation vendors in Mexico having full or partial ownership by some of our employees. The Company also purchases avocados from a small number of entities having full or partial ownership by some employees. These transactions are made under substantially similar terms as with other transportation carriers and growers.</w:t>
      </w:r>
    </w:p>
    <w:p>
      <w:pPr>
        <w:spacing w:after="0" w:line="216" w:lineRule="exact"/>
        <w:rPr>
          <w:sz w:val="20"/>
          <w:szCs w:val="20"/>
          <w:color w:val="auto"/>
        </w:rPr>
      </w:pPr>
    </w:p>
    <w:p>
      <w:pPr>
        <w:ind w:left="480" w:hanging="477"/>
        <w:spacing w:after="0"/>
        <w:tabs>
          <w:tab w:leader="none" w:pos="48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Segment and Revenue Information</w:t>
      </w:r>
    </w:p>
    <w:p>
      <w:pPr>
        <w:spacing w:after="0" w:line="228" w:lineRule="exact"/>
        <w:rPr>
          <w:sz w:val="20"/>
          <w:szCs w:val="20"/>
          <w:color w:val="auto"/>
        </w:rPr>
      </w:pPr>
    </w:p>
    <w:p>
      <w:pPr>
        <w:ind w:right="260" w:firstLine="619"/>
        <w:spacing w:after="0" w:line="278" w:lineRule="auto"/>
        <w:rPr>
          <w:sz w:val="20"/>
          <w:szCs w:val="20"/>
          <w:color w:val="auto"/>
        </w:rPr>
      </w:pPr>
      <w:r>
        <w:rPr>
          <w:rFonts w:ascii="Arial" w:cs="Arial" w:eastAsia="Arial" w:hAnsi="Arial"/>
          <w:sz w:val="14"/>
          <w:szCs w:val="14"/>
          <w:color w:val="auto"/>
        </w:rPr>
        <w:t>We have three operating segments which are also reportable segments. Our reportable segments are presented based on how information is used by our CEO, who is the chief operating decision maker, to measure performance and allocate resources.</w:t>
      </w:r>
    </w:p>
    <w:p>
      <w:pPr>
        <w:spacing w:after="0" w:line="130" w:lineRule="exact"/>
        <w:rPr>
          <w:sz w:val="20"/>
          <w:szCs w:val="20"/>
          <w:color w:val="auto"/>
        </w:rPr>
      </w:pPr>
    </w:p>
    <w:p>
      <w:pPr>
        <w:ind w:left="620" w:hanging="307"/>
        <w:spacing w:after="0"/>
        <w:tabs>
          <w:tab w:leader="none" w:pos="620" w:val="left"/>
        </w:tabs>
        <w:numPr>
          <w:ilvl w:val="0"/>
          <w:numId w:val="13"/>
        </w:numPr>
        <w:rPr>
          <w:rFonts w:ascii="Arial" w:cs="Arial" w:eastAsia="Arial" w:hAnsi="Arial"/>
          <w:sz w:val="14"/>
          <w:szCs w:val="14"/>
          <w:color w:val="auto"/>
        </w:rPr>
      </w:pPr>
      <w:r>
        <w:rPr>
          <w:rFonts w:ascii="Arial" w:cs="Arial" w:eastAsia="Arial" w:hAnsi="Arial"/>
          <w:sz w:val="14"/>
          <w:szCs w:val="14"/>
          <w:i w:val="1"/>
          <w:iCs w:val="1"/>
          <w:color w:val="auto"/>
        </w:rPr>
        <w:t xml:space="preserve">Marketing &amp; Distribution. </w:t>
      </w:r>
      <w:r>
        <w:rPr>
          <w:rFonts w:ascii="Arial" w:cs="Arial" w:eastAsia="Arial" w:hAnsi="Arial"/>
          <w:sz w:val="14"/>
          <w:szCs w:val="14"/>
          <w:color w:val="auto"/>
        </w:rPr>
        <w:t>Our Marketing &amp; Distribution reportable segment sources fruit from growers and then distributes the fruit through our global distribution network.</w:t>
      </w:r>
    </w:p>
    <w:p>
      <w:pPr>
        <w:spacing w:after="0" w:line="187" w:lineRule="exact"/>
        <w:rPr>
          <w:rFonts w:ascii="Arial" w:cs="Arial" w:eastAsia="Arial" w:hAnsi="Arial"/>
          <w:sz w:val="14"/>
          <w:szCs w:val="14"/>
          <w:color w:val="auto"/>
        </w:rPr>
      </w:pPr>
    </w:p>
    <w:p>
      <w:pPr>
        <w:ind w:left="620" w:right="220" w:hanging="307"/>
        <w:spacing w:after="0" w:line="254" w:lineRule="auto"/>
        <w:tabs>
          <w:tab w:leader="none" w:pos="616"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International Farming. </w:t>
      </w:r>
      <w:r>
        <w:rPr>
          <w:rFonts w:ascii="Arial" w:cs="Arial" w:eastAsia="Arial" w:hAnsi="Arial"/>
          <w:sz w:val="14"/>
          <w:szCs w:val="14"/>
          <w:color w:val="auto"/>
        </w:rPr>
        <w:t>International Farming owns and operates orchards from which the vast majority of fruit produced is sold to our Marketing &amp; Distribution segment. The</w:t>
      </w:r>
      <w:r>
        <w:rPr>
          <w:rFonts w:ascii="Arial" w:cs="Arial" w:eastAsia="Arial" w:hAnsi="Arial"/>
          <w:sz w:val="14"/>
          <w:szCs w:val="14"/>
          <w:i w:val="1"/>
          <w:iCs w:val="1"/>
          <w:color w:val="auto"/>
        </w:rPr>
        <w:t xml:space="preserve"> </w:t>
      </w:r>
      <w:r>
        <w:rPr>
          <w:rFonts w:ascii="Arial" w:cs="Arial" w:eastAsia="Arial" w:hAnsi="Arial"/>
          <w:sz w:val="14"/>
          <w:szCs w:val="14"/>
          <w:color w:val="auto"/>
        </w:rPr>
        <w:t>segment’s farming activities range from cultivating early-stage plantings to harvesting from mature trees. It also earns service revenues for packing and processing fruit for both our Blueberries segment, as well as for third-party producers of other crops. Operations are principally located in Peru and Guatemala.</w:t>
      </w:r>
    </w:p>
    <w:p>
      <w:pPr>
        <w:spacing w:after="0" w:line="146" w:lineRule="exact"/>
        <w:rPr>
          <w:rFonts w:ascii="Arial" w:cs="Arial" w:eastAsia="Arial" w:hAnsi="Arial"/>
          <w:sz w:val="14"/>
          <w:szCs w:val="14"/>
          <w:i w:val="1"/>
          <w:iCs w:val="1"/>
          <w:color w:val="auto"/>
        </w:rPr>
      </w:pPr>
    </w:p>
    <w:p>
      <w:pPr>
        <w:ind w:left="620" w:right="340" w:hanging="307"/>
        <w:spacing w:after="0" w:line="278" w:lineRule="auto"/>
        <w:tabs>
          <w:tab w:leader="none" w:pos="616" w:val="left"/>
        </w:tabs>
        <w:numPr>
          <w:ilvl w:val="0"/>
          <w:numId w:val="13"/>
        </w:numPr>
        <w:rPr>
          <w:rFonts w:ascii="Arial" w:cs="Arial" w:eastAsia="Arial" w:hAnsi="Arial"/>
          <w:sz w:val="14"/>
          <w:szCs w:val="14"/>
          <w:color w:val="auto"/>
        </w:rPr>
      </w:pPr>
      <w:r>
        <w:rPr>
          <w:rFonts w:ascii="Arial" w:cs="Arial" w:eastAsia="Arial" w:hAnsi="Arial"/>
          <w:sz w:val="14"/>
          <w:szCs w:val="14"/>
          <w:i w:val="1"/>
          <w:iCs w:val="1"/>
          <w:color w:val="auto"/>
        </w:rPr>
        <w:t xml:space="preserve">Blueberries. </w:t>
      </w:r>
      <w:r>
        <w:rPr>
          <w:rFonts w:ascii="Arial" w:cs="Arial" w:eastAsia="Arial" w:hAnsi="Arial"/>
          <w:sz w:val="14"/>
          <w:szCs w:val="14"/>
          <w:color w:val="auto"/>
        </w:rPr>
        <w:t>The Blueberries segment consists of farming activities that include cultivating early-stage blueberry plantings and harvesting mature bushes. Substantially all</w:t>
      </w:r>
      <w:r>
        <w:rPr>
          <w:rFonts w:ascii="Arial" w:cs="Arial" w:eastAsia="Arial" w:hAnsi="Arial"/>
          <w:sz w:val="14"/>
          <w:szCs w:val="14"/>
          <w:i w:val="1"/>
          <w:iCs w:val="1"/>
          <w:color w:val="auto"/>
        </w:rPr>
        <w:t xml:space="preserve"> </w:t>
      </w:r>
      <w:r>
        <w:rPr>
          <w:rFonts w:ascii="Arial" w:cs="Arial" w:eastAsia="Arial" w:hAnsi="Arial"/>
          <w:sz w:val="14"/>
          <w:szCs w:val="14"/>
          <w:color w:val="auto"/>
        </w:rPr>
        <w:t>blueberries produced are sold to a single distributor under an exclusive marketing agreement.</w:t>
      </w:r>
    </w:p>
    <w:p>
      <w:pPr>
        <w:spacing w:after="0" w:line="168" w:lineRule="exact"/>
        <w:rPr>
          <w:sz w:val="20"/>
          <w:szCs w:val="20"/>
          <w:color w:val="auto"/>
        </w:rPr>
      </w:pPr>
    </w:p>
    <w:p>
      <w:pPr>
        <w:ind w:firstLine="619"/>
        <w:spacing w:after="0" w:line="269" w:lineRule="auto"/>
        <w:rPr>
          <w:sz w:val="20"/>
          <w:szCs w:val="20"/>
          <w:color w:val="auto"/>
        </w:rPr>
      </w:pPr>
      <w:r>
        <w:rPr>
          <w:rFonts w:ascii="Arial" w:cs="Arial" w:eastAsia="Arial" w:hAnsi="Arial"/>
          <w:sz w:val="13"/>
          <w:szCs w:val="13"/>
          <w:color w:val="auto"/>
        </w:rPr>
        <w:t>The CEO evaluates and monitors segment performance primarily through segment sales and segment adjusted EBITDA. Adjusted EBITDA refers to net income (loss), before interest expense, income taxes, depreciation and amortization expense, stock-based compensation expense, other income (expense), and income (loss) from equity method investees, further adjusted by asset impairment and disposals, farming costs for nonproductive orchards (which represents land lease costs), recognition of deferred ERP costs, transaction costs, and any special, non-recurring, or one-time items such as remeasurements or impairments, and any portion of these items attributable to the noncontrolling interest, all of which are excluded from the results the CEO uses to assess segment performance and results. We believe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 Effective for the fourth quarter of 2024, the Company made a change in presentation of its reconciliation of adjusted EBITDA to its comparable GAAP financial measure to include a subtotal of the non-GAAP adjustments before the effect of the noncontrolling interest adjustment called “adjusted EBITDA before adjustment for noncontrolling interest.” The presentation change has no impact to total adjusted EBITDA. We believe the addition of the subtotal within the reconciliation is useful because it better aligns with management’s sequence of review of the information in the reconciliation.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Net sales from each of our reportable segments were as follows.</w:t>
      </w: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129"/>
        </w:trPr>
        <w:tc>
          <w:tcPr>
            <w:tcW w:w="1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ind w:right="48"/>
              <w:spacing w:after="0"/>
              <w:rPr>
                <w:sz w:val="20"/>
                <w:szCs w:val="20"/>
                <w:color w:val="auto"/>
              </w:rPr>
            </w:pPr>
            <w:r>
              <w:rPr>
                <w:rFonts w:ascii="Arial" w:cs="Arial" w:eastAsia="Arial" w:hAnsi="Arial"/>
                <w:sz w:val="10"/>
                <w:szCs w:val="10"/>
                <w:b w:val="1"/>
                <w:bCs w:val="1"/>
                <w:color w:val="auto"/>
              </w:rPr>
              <w:t>Marketing &amp;</w:t>
            </w:r>
          </w:p>
        </w:tc>
        <w:tc>
          <w:tcPr>
            <w:tcW w:w="300" w:type="dxa"/>
            <w:vAlign w:val="bottom"/>
          </w:tcPr>
          <w:p>
            <w:pPr>
              <w:spacing w:after="0"/>
              <w:rPr>
                <w:sz w:val="11"/>
                <w:szCs w:val="11"/>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b w:val="1"/>
                <w:bCs w:val="1"/>
                <w:color w:val="auto"/>
              </w:rPr>
              <w:t>International</w:t>
            </w:r>
          </w:p>
        </w:tc>
        <w:tc>
          <w:tcPr>
            <w:tcW w:w="320" w:type="dxa"/>
            <w:vAlign w:val="bottom"/>
          </w:tcPr>
          <w:p>
            <w:pPr>
              <w:spacing w:after="0"/>
              <w:rPr>
                <w:sz w:val="11"/>
                <w:szCs w:val="11"/>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rPr>
              <w:t>Blueberries</w:t>
            </w:r>
          </w:p>
        </w:tc>
        <w:tc>
          <w:tcPr>
            <w:tcW w:w="440" w:type="dxa"/>
            <w:vAlign w:val="bottom"/>
          </w:tcPr>
          <w:p>
            <w:pPr>
              <w:spacing w:after="0"/>
              <w:rPr>
                <w:sz w:val="11"/>
                <w:szCs w:val="11"/>
                <w:color w:val="auto"/>
              </w:rPr>
            </w:pPr>
          </w:p>
        </w:tc>
        <w:tc>
          <w:tcPr>
            <w:tcW w:w="920" w:type="dxa"/>
            <w:vAlign w:val="bottom"/>
            <w:gridSpan w:val="2"/>
            <w:vMerge w:val="restart"/>
          </w:tcPr>
          <w:p>
            <w:pPr>
              <w:ind w:left="400"/>
              <w:spacing w:after="0"/>
              <w:rPr>
                <w:sz w:val="20"/>
                <w:szCs w:val="20"/>
                <w:color w:val="auto"/>
              </w:rPr>
            </w:pPr>
            <w:r>
              <w:rPr>
                <w:rFonts w:ascii="Arial" w:cs="Arial" w:eastAsia="Arial" w:hAnsi="Arial"/>
                <w:sz w:val="10"/>
                <w:szCs w:val="10"/>
                <w:b w:val="1"/>
                <w:bCs w:val="1"/>
                <w:color w:val="auto"/>
              </w:rPr>
              <w:t>Total</w:t>
            </w:r>
          </w:p>
        </w:tc>
        <w:tc>
          <w:tcPr>
            <w:tcW w:w="380" w:type="dxa"/>
            <w:vAlign w:val="bottom"/>
          </w:tcPr>
          <w:p>
            <w:pPr>
              <w:spacing w:after="0"/>
              <w:rPr>
                <w:sz w:val="11"/>
                <w:szCs w:val="11"/>
                <w:color w:val="auto"/>
              </w:rPr>
            </w:pPr>
          </w:p>
        </w:tc>
        <w:tc>
          <w:tcPr>
            <w:tcW w:w="700" w:type="dxa"/>
            <w:vAlign w:val="bottom"/>
          </w:tcPr>
          <w:p>
            <w:pPr>
              <w:jc w:val="right"/>
              <w:ind w:right="48"/>
              <w:spacing w:after="0"/>
              <w:rPr>
                <w:sz w:val="20"/>
                <w:szCs w:val="20"/>
                <w:color w:val="auto"/>
              </w:rPr>
            </w:pPr>
            <w:r>
              <w:rPr>
                <w:rFonts w:ascii="Arial" w:cs="Arial" w:eastAsia="Arial" w:hAnsi="Arial"/>
                <w:sz w:val="10"/>
                <w:szCs w:val="10"/>
                <w:b w:val="1"/>
                <w:bCs w:val="1"/>
                <w:color w:val="auto"/>
              </w:rPr>
              <w:t>Marketing &amp;</w:t>
            </w:r>
          </w:p>
        </w:tc>
        <w:tc>
          <w:tcPr>
            <w:tcW w:w="300" w:type="dxa"/>
            <w:vAlign w:val="bottom"/>
          </w:tcPr>
          <w:p>
            <w:pPr>
              <w:spacing w:after="0"/>
              <w:rPr>
                <w:sz w:val="11"/>
                <w:szCs w:val="11"/>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b w:val="1"/>
                <w:bCs w:val="1"/>
                <w:color w:val="auto"/>
              </w:rPr>
              <w:t>International</w:t>
            </w:r>
          </w:p>
        </w:tc>
        <w:tc>
          <w:tcPr>
            <w:tcW w:w="320" w:type="dxa"/>
            <w:vAlign w:val="bottom"/>
          </w:tcPr>
          <w:p>
            <w:pPr>
              <w:spacing w:after="0"/>
              <w:rPr>
                <w:sz w:val="11"/>
                <w:szCs w:val="11"/>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rPr>
              <w:t>Blueberries</w:t>
            </w:r>
          </w:p>
        </w:tc>
        <w:tc>
          <w:tcPr>
            <w:tcW w:w="4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Distribution</w:t>
            </w: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Farming</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Distribution</w:t>
            </w: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Farming</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gridSpan w:val="3"/>
          </w:tcPr>
          <w:p>
            <w:pPr>
              <w:jc w:val="center"/>
              <w:ind w:left="228"/>
              <w:spacing w:after="0"/>
              <w:rPr>
                <w:sz w:val="20"/>
                <w:szCs w:val="20"/>
                <w:color w:val="auto"/>
              </w:rPr>
            </w:pPr>
            <w:r>
              <w:rPr>
                <w:rFonts w:ascii="Arial" w:cs="Arial" w:eastAsia="Arial" w:hAnsi="Arial"/>
                <w:sz w:val="10"/>
                <w:szCs w:val="10"/>
                <w:b w:val="1"/>
                <w:bCs w:val="1"/>
                <w:color w:val="auto"/>
              </w:rPr>
              <w:t>Three Months Ended</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center"/>
              <w:ind w:left="208"/>
              <w:spacing w:after="0"/>
              <w:rPr>
                <w:sz w:val="20"/>
                <w:szCs w:val="20"/>
                <w:color w:val="auto"/>
              </w:rPr>
            </w:pPr>
            <w:r>
              <w:rPr>
                <w:rFonts w:ascii="Arial" w:cs="Arial" w:eastAsia="Arial" w:hAnsi="Arial"/>
                <w:sz w:val="10"/>
                <w:szCs w:val="10"/>
                <w:b w:val="1"/>
                <w:bCs w:val="1"/>
                <w:color w:val="auto"/>
              </w:rPr>
              <w:t>April 30,</w:t>
            </w:r>
          </w:p>
        </w:tc>
        <w:tc>
          <w:tcPr>
            <w:tcW w:w="7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80" w:type="dxa"/>
            <w:vAlign w:val="bottom"/>
          </w:tcPr>
          <w:p>
            <w:pPr>
              <w:ind w:left="20"/>
              <w:spacing w:after="0"/>
              <w:rPr>
                <w:sz w:val="20"/>
                <w:szCs w:val="20"/>
                <w:color w:val="auto"/>
              </w:rPr>
            </w:pPr>
            <w:r>
              <w:rPr>
                <w:rFonts w:ascii="Arial" w:cs="Arial" w:eastAsia="Arial" w:hAnsi="Arial"/>
                <w:sz w:val="10"/>
                <w:szCs w:val="10"/>
                <w:color w:val="auto"/>
              </w:rPr>
              <w:t>(In millions)</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2025</w:t>
            </w: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2024</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Third party sales</w:t>
            </w:r>
          </w:p>
        </w:tc>
        <w:tc>
          <w:tcPr>
            <w:tcW w:w="24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362.5</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2.1</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15.7</w:t>
            </w:r>
          </w:p>
        </w:tc>
        <w:tc>
          <w:tcPr>
            <w:tcW w:w="44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380.3</w:t>
            </w:r>
          </w:p>
        </w:tc>
        <w:tc>
          <w:tcPr>
            <w:tcW w:w="260" w:type="dxa"/>
            <w:vAlign w:val="bottom"/>
            <w:tcBorders>
              <w:bottom w:val="single" w:sz="8" w:color="DBDBDB"/>
            </w:tcBorders>
            <w:shd w:val="clear" w:color="auto" w:fill="DBDBDB"/>
          </w:tcPr>
          <w:p>
            <w:pPr>
              <w:spacing w:after="0"/>
              <w:rPr>
                <w:sz w:val="13"/>
                <w:szCs w:val="13"/>
                <w:color w:val="auto"/>
              </w:rPr>
            </w:pPr>
          </w:p>
        </w:tc>
        <w:tc>
          <w:tcPr>
            <w:tcW w:w="3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287.1</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0.5</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10.0</w:t>
            </w:r>
          </w:p>
        </w:tc>
        <w:tc>
          <w:tcPr>
            <w:tcW w:w="4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297.6</w:t>
            </w:r>
          </w:p>
        </w:tc>
        <w:tc>
          <w:tcPr>
            <w:tcW w:w="0" w:type="dxa"/>
            <w:vAlign w:val="bottom"/>
          </w:tcPr>
          <w:p>
            <w:pPr>
              <w:spacing w:after="0"/>
              <w:rPr>
                <w:sz w:val="1"/>
                <w:szCs w:val="1"/>
                <w:color w:val="auto"/>
              </w:rPr>
            </w:pPr>
          </w:p>
        </w:tc>
      </w:tr>
      <w:tr>
        <w:trPr>
          <w:trHeight w:val="148"/>
        </w:trPr>
        <w:tc>
          <w:tcPr>
            <w:tcW w:w="1880" w:type="dxa"/>
            <w:vAlign w:val="bottom"/>
          </w:tcPr>
          <w:p>
            <w:pPr>
              <w:ind w:left="20"/>
              <w:spacing w:after="0"/>
              <w:rPr>
                <w:sz w:val="20"/>
                <w:szCs w:val="20"/>
                <w:color w:val="auto"/>
              </w:rPr>
            </w:pPr>
            <w:r>
              <w:rPr>
                <w:rFonts w:ascii="Arial" w:cs="Arial" w:eastAsia="Arial" w:hAnsi="Arial"/>
                <w:sz w:val="10"/>
                <w:szCs w:val="10"/>
                <w:color w:val="auto"/>
              </w:rPr>
              <w:t>Affiliated sales</w:t>
            </w:r>
          </w:p>
        </w:tc>
        <w:tc>
          <w:tcPr>
            <w:tcW w:w="240" w:type="dxa"/>
            <w:vAlign w:val="bottom"/>
          </w:tcPr>
          <w:p>
            <w:pPr>
              <w:spacing w:after="0"/>
              <w:rPr>
                <w:sz w:val="12"/>
                <w:szCs w:val="12"/>
                <w:color w:val="auto"/>
              </w:rPr>
            </w:pPr>
          </w:p>
        </w:tc>
        <w:tc>
          <w:tcPr>
            <w:tcW w:w="84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6.0</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6.0</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0.9</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0.9</w:t>
            </w:r>
          </w:p>
        </w:tc>
        <w:tc>
          <w:tcPr>
            <w:tcW w:w="0" w:type="dxa"/>
            <w:vAlign w:val="bottom"/>
          </w:tcPr>
          <w:p>
            <w:pPr>
              <w:spacing w:after="0"/>
              <w:rPr>
                <w:sz w:val="1"/>
                <w:szCs w:val="1"/>
                <w:color w:val="auto"/>
              </w:rPr>
            </w:pPr>
          </w:p>
        </w:tc>
      </w:tr>
      <w:tr>
        <w:trPr>
          <w:trHeight w:val="32"/>
        </w:trPr>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segment sales</w:t>
            </w:r>
          </w:p>
        </w:tc>
        <w:tc>
          <w:tcPr>
            <w:tcW w:w="24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362.5</w:t>
            </w:r>
          </w:p>
        </w:tc>
        <w:tc>
          <w:tcPr>
            <w:tcW w:w="3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8.1</w:t>
            </w:r>
          </w:p>
        </w:tc>
        <w:tc>
          <w:tcPr>
            <w:tcW w:w="3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15.7</w:t>
            </w:r>
          </w:p>
        </w:tc>
        <w:tc>
          <w:tcPr>
            <w:tcW w:w="440" w:type="dxa"/>
            <w:vAlign w:val="bottom"/>
            <w:tcBorders>
              <w:bottom w:val="single" w:sz="8" w:color="DBDBDB"/>
            </w:tcBorders>
            <w:shd w:val="clear" w:color="auto" w:fill="DBDBDB"/>
          </w:tcPr>
          <w:p>
            <w:pPr>
              <w:spacing w:after="0"/>
              <w:rPr>
                <w:sz w:val="13"/>
                <w:szCs w:val="13"/>
                <w:color w:val="auto"/>
              </w:rPr>
            </w:pP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386.3</w:t>
            </w:r>
          </w:p>
        </w:tc>
        <w:tc>
          <w:tcPr>
            <w:tcW w:w="260" w:type="dxa"/>
            <w:vAlign w:val="bottom"/>
            <w:tcBorders>
              <w:bottom w:val="single" w:sz="8" w:color="DBDBDB"/>
            </w:tcBorders>
            <w:shd w:val="clear" w:color="auto" w:fill="DBDBDB"/>
          </w:tcPr>
          <w:p>
            <w:pPr>
              <w:spacing w:after="0"/>
              <w:rPr>
                <w:sz w:val="13"/>
                <w:szCs w:val="13"/>
                <w:color w:val="auto"/>
              </w:rPr>
            </w:pPr>
          </w:p>
        </w:tc>
        <w:tc>
          <w:tcPr>
            <w:tcW w:w="380" w:type="dxa"/>
            <w:vAlign w:val="bottom"/>
            <w:tcBorders>
              <w:bottom w:val="single" w:sz="8" w:color="DBDBDB"/>
            </w:tcBorders>
            <w:shd w:val="clear" w:color="auto" w:fill="DBDBDB"/>
          </w:tcPr>
          <w:p>
            <w:pPr>
              <w:spacing w:after="0"/>
              <w:rPr>
                <w:sz w:val="13"/>
                <w:szCs w:val="13"/>
                <w:color w:val="auto"/>
              </w:rPr>
            </w:pPr>
          </w:p>
        </w:tc>
        <w:tc>
          <w:tcPr>
            <w:tcW w:w="70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287.1</w:t>
            </w:r>
          </w:p>
        </w:tc>
        <w:tc>
          <w:tcPr>
            <w:tcW w:w="3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1.4</w:t>
            </w:r>
          </w:p>
        </w:tc>
        <w:tc>
          <w:tcPr>
            <w:tcW w:w="3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10.0</w:t>
            </w:r>
          </w:p>
        </w:tc>
        <w:tc>
          <w:tcPr>
            <w:tcW w:w="48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298.5</w:t>
            </w:r>
          </w:p>
        </w:tc>
        <w:tc>
          <w:tcPr>
            <w:tcW w:w="0" w:type="dxa"/>
            <w:vAlign w:val="bottom"/>
          </w:tcPr>
          <w:p>
            <w:pPr>
              <w:spacing w:after="0"/>
              <w:rPr>
                <w:sz w:val="1"/>
                <w:szCs w:val="1"/>
                <w:color w:val="auto"/>
              </w:rPr>
            </w:pPr>
          </w:p>
        </w:tc>
      </w:tr>
      <w:tr>
        <w:trPr>
          <w:trHeight w:val="148"/>
        </w:trPr>
        <w:tc>
          <w:tcPr>
            <w:tcW w:w="1880" w:type="dxa"/>
            <w:vAlign w:val="bottom"/>
          </w:tcPr>
          <w:p>
            <w:pPr>
              <w:ind w:left="20"/>
              <w:spacing w:after="0"/>
              <w:rPr>
                <w:sz w:val="20"/>
                <w:szCs w:val="20"/>
                <w:color w:val="auto"/>
              </w:rPr>
            </w:pPr>
            <w:r>
              <w:rPr>
                <w:rFonts w:ascii="Arial" w:cs="Arial" w:eastAsia="Arial" w:hAnsi="Arial"/>
                <w:sz w:val="10"/>
                <w:szCs w:val="10"/>
                <w:color w:val="auto"/>
              </w:rPr>
              <w:t>Intercompany eliminations</w:t>
            </w:r>
          </w:p>
        </w:tc>
        <w:tc>
          <w:tcPr>
            <w:tcW w:w="240" w:type="dxa"/>
            <w:vAlign w:val="bottom"/>
          </w:tcPr>
          <w:p>
            <w:pPr>
              <w:spacing w:after="0"/>
              <w:rPr>
                <w:sz w:val="12"/>
                <w:szCs w:val="12"/>
                <w:color w:val="auto"/>
              </w:rPr>
            </w:pPr>
          </w:p>
        </w:tc>
        <w:tc>
          <w:tcPr>
            <w:tcW w:w="84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(6.0)</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(6.0)</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(0.9)</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(0.9)</w:t>
            </w:r>
          </w:p>
        </w:tc>
        <w:tc>
          <w:tcPr>
            <w:tcW w:w="0" w:type="dxa"/>
            <w:vAlign w:val="bottom"/>
          </w:tcPr>
          <w:p>
            <w:pPr>
              <w:spacing w:after="0"/>
              <w:rPr>
                <w:sz w:val="1"/>
                <w:szCs w:val="1"/>
                <w:color w:val="auto"/>
              </w:rPr>
            </w:pPr>
          </w:p>
        </w:tc>
      </w:tr>
      <w:tr>
        <w:trPr>
          <w:trHeight w:val="32"/>
        </w:trPr>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net sales</w:t>
            </w:r>
          </w:p>
        </w:tc>
        <w:tc>
          <w:tcPr>
            <w:tcW w:w="24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362.5</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2.1</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15.7</w:t>
            </w:r>
          </w:p>
        </w:tc>
        <w:tc>
          <w:tcPr>
            <w:tcW w:w="44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380.3</w:t>
            </w:r>
          </w:p>
        </w:tc>
        <w:tc>
          <w:tcPr>
            <w:tcW w:w="260" w:type="dxa"/>
            <w:vAlign w:val="bottom"/>
            <w:tcBorders>
              <w:bottom w:val="single" w:sz="8" w:color="DBDBDB"/>
            </w:tcBorders>
            <w:shd w:val="clear" w:color="auto" w:fill="DBDBDB"/>
          </w:tcPr>
          <w:p>
            <w:pPr>
              <w:spacing w:after="0"/>
              <w:rPr>
                <w:sz w:val="15"/>
                <w:szCs w:val="15"/>
                <w:color w:val="auto"/>
              </w:rPr>
            </w:pPr>
          </w:p>
        </w:tc>
        <w:tc>
          <w:tcPr>
            <w:tcW w:w="3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287.1</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0.5</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10.0</w:t>
            </w:r>
          </w:p>
        </w:tc>
        <w:tc>
          <w:tcPr>
            <w:tcW w:w="4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297.6</w:t>
            </w:r>
          </w:p>
        </w:tc>
        <w:tc>
          <w:tcPr>
            <w:tcW w:w="0" w:type="dxa"/>
            <w:vAlign w:val="bottom"/>
          </w:tcPr>
          <w:p>
            <w:pPr>
              <w:spacing w:after="0"/>
              <w:rPr>
                <w:sz w:val="1"/>
                <w:szCs w:val="1"/>
                <w:color w:val="auto"/>
              </w:rPr>
            </w:pPr>
          </w:p>
        </w:tc>
      </w:tr>
      <w:tr>
        <w:trPr>
          <w:trHeight w:val="135"/>
        </w:trPr>
        <w:tc>
          <w:tcPr>
            <w:tcW w:w="18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tcPr>
          <w:p>
            <w:pPr>
              <w:jc w:val="center"/>
              <w:ind w:left="228"/>
              <w:spacing w:after="0"/>
              <w:rPr>
                <w:sz w:val="20"/>
                <w:szCs w:val="20"/>
                <w:color w:val="auto"/>
              </w:rPr>
            </w:pPr>
            <w:r>
              <w:rPr>
                <w:rFonts w:ascii="Arial" w:cs="Arial" w:eastAsia="Arial" w:hAnsi="Arial"/>
                <w:sz w:val="10"/>
                <w:szCs w:val="10"/>
                <w:b w:val="1"/>
                <w:bCs w:val="1"/>
                <w:color w:val="auto"/>
              </w:rPr>
              <w:t>Six Months Ended</w:t>
            </w:r>
          </w:p>
        </w:tc>
        <w:tc>
          <w:tcPr>
            <w:tcW w:w="7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center"/>
              <w:ind w:left="208"/>
              <w:spacing w:after="0"/>
              <w:rPr>
                <w:sz w:val="20"/>
                <w:szCs w:val="20"/>
                <w:color w:val="auto"/>
              </w:rPr>
            </w:pPr>
            <w:r>
              <w:rPr>
                <w:rFonts w:ascii="Arial" w:cs="Arial" w:eastAsia="Arial" w:hAnsi="Arial"/>
                <w:sz w:val="10"/>
                <w:szCs w:val="10"/>
                <w:b w:val="1"/>
                <w:bCs w:val="1"/>
                <w:color w:val="auto"/>
              </w:rPr>
              <w:t>April 30,</w:t>
            </w:r>
          </w:p>
        </w:tc>
        <w:tc>
          <w:tcPr>
            <w:tcW w:w="7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2025</w:t>
            </w: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2024</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88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Third party sales</w:t>
            </w:r>
          </w:p>
        </w:tc>
        <w:tc>
          <w:tcPr>
            <w:tcW w:w="24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658.3</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4.1</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52.1</w:t>
            </w:r>
          </w:p>
        </w:tc>
        <w:tc>
          <w:tcPr>
            <w:tcW w:w="44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714.5</w:t>
            </w:r>
          </w:p>
        </w:tc>
        <w:tc>
          <w:tcPr>
            <w:tcW w:w="260" w:type="dxa"/>
            <w:vAlign w:val="bottom"/>
            <w:tcBorders>
              <w:bottom w:val="single" w:sz="8" w:color="DBDBDB"/>
            </w:tcBorders>
            <w:shd w:val="clear" w:color="auto" w:fill="DBDBDB"/>
          </w:tcPr>
          <w:p>
            <w:pPr>
              <w:spacing w:after="0"/>
              <w:rPr>
                <w:sz w:val="13"/>
                <w:szCs w:val="13"/>
                <w:color w:val="auto"/>
              </w:rPr>
            </w:pPr>
          </w:p>
        </w:tc>
        <w:tc>
          <w:tcPr>
            <w:tcW w:w="3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511.7</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2.1</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42.5</w:t>
            </w:r>
          </w:p>
        </w:tc>
        <w:tc>
          <w:tcPr>
            <w:tcW w:w="4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556.3</w:t>
            </w:r>
          </w:p>
        </w:tc>
        <w:tc>
          <w:tcPr>
            <w:tcW w:w="0" w:type="dxa"/>
            <w:vAlign w:val="bottom"/>
          </w:tcPr>
          <w:p>
            <w:pPr>
              <w:spacing w:after="0"/>
              <w:rPr>
                <w:sz w:val="1"/>
                <w:szCs w:val="1"/>
                <w:color w:val="auto"/>
              </w:rPr>
            </w:pPr>
          </w:p>
        </w:tc>
      </w:tr>
      <w:tr>
        <w:trPr>
          <w:trHeight w:val="148"/>
        </w:trPr>
        <w:tc>
          <w:tcPr>
            <w:tcW w:w="1880" w:type="dxa"/>
            <w:vAlign w:val="bottom"/>
          </w:tcPr>
          <w:p>
            <w:pPr>
              <w:ind w:left="20"/>
              <w:spacing w:after="0"/>
              <w:rPr>
                <w:sz w:val="20"/>
                <w:szCs w:val="20"/>
                <w:color w:val="auto"/>
              </w:rPr>
            </w:pPr>
            <w:r>
              <w:rPr>
                <w:rFonts w:ascii="Arial" w:cs="Arial" w:eastAsia="Arial" w:hAnsi="Arial"/>
                <w:sz w:val="10"/>
                <w:szCs w:val="10"/>
                <w:color w:val="auto"/>
              </w:rPr>
              <w:t>Affiliated sales</w:t>
            </w:r>
          </w:p>
        </w:tc>
        <w:tc>
          <w:tcPr>
            <w:tcW w:w="240" w:type="dxa"/>
            <w:vAlign w:val="bottom"/>
          </w:tcPr>
          <w:p>
            <w:pPr>
              <w:spacing w:after="0"/>
              <w:rPr>
                <w:sz w:val="12"/>
                <w:szCs w:val="12"/>
                <w:color w:val="auto"/>
              </w:rPr>
            </w:pPr>
          </w:p>
        </w:tc>
        <w:tc>
          <w:tcPr>
            <w:tcW w:w="84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13.2</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13.2</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5.1</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5.1</w:t>
            </w:r>
          </w:p>
        </w:tc>
        <w:tc>
          <w:tcPr>
            <w:tcW w:w="0" w:type="dxa"/>
            <w:vAlign w:val="bottom"/>
          </w:tcPr>
          <w:p>
            <w:pPr>
              <w:spacing w:after="0"/>
              <w:rPr>
                <w:sz w:val="1"/>
                <w:szCs w:val="1"/>
                <w:color w:val="auto"/>
              </w:rPr>
            </w:pPr>
          </w:p>
        </w:tc>
      </w:tr>
      <w:tr>
        <w:trPr>
          <w:trHeight w:val="32"/>
        </w:trPr>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segment sales</w:t>
            </w:r>
          </w:p>
        </w:tc>
        <w:tc>
          <w:tcPr>
            <w:tcW w:w="24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658.3</w:t>
            </w:r>
          </w:p>
        </w:tc>
        <w:tc>
          <w:tcPr>
            <w:tcW w:w="3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17.3</w:t>
            </w:r>
          </w:p>
        </w:tc>
        <w:tc>
          <w:tcPr>
            <w:tcW w:w="3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52.1</w:t>
            </w:r>
          </w:p>
        </w:tc>
        <w:tc>
          <w:tcPr>
            <w:tcW w:w="440" w:type="dxa"/>
            <w:vAlign w:val="bottom"/>
            <w:tcBorders>
              <w:bottom w:val="single" w:sz="8" w:color="DBDBDB"/>
            </w:tcBorders>
            <w:shd w:val="clear" w:color="auto" w:fill="DBDBDB"/>
          </w:tcPr>
          <w:p>
            <w:pPr>
              <w:spacing w:after="0"/>
              <w:rPr>
                <w:sz w:val="13"/>
                <w:szCs w:val="13"/>
                <w:color w:val="auto"/>
              </w:rPr>
            </w:pP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727.7</w:t>
            </w:r>
          </w:p>
        </w:tc>
        <w:tc>
          <w:tcPr>
            <w:tcW w:w="260" w:type="dxa"/>
            <w:vAlign w:val="bottom"/>
            <w:tcBorders>
              <w:bottom w:val="single" w:sz="8" w:color="DBDBDB"/>
            </w:tcBorders>
            <w:shd w:val="clear" w:color="auto" w:fill="DBDBDB"/>
          </w:tcPr>
          <w:p>
            <w:pPr>
              <w:spacing w:after="0"/>
              <w:rPr>
                <w:sz w:val="13"/>
                <w:szCs w:val="13"/>
                <w:color w:val="auto"/>
              </w:rPr>
            </w:pPr>
          </w:p>
        </w:tc>
        <w:tc>
          <w:tcPr>
            <w:tcW w:w="380" w:type="dxa"/>
            <w:vAlign w:val="bottom"/>
            <w:tcBorders>
              <w:bottom w:val="single" w:sz="8" w:color="DBDBDB"/>
            </w:tcBorders>
            <w:shd w:val="clear" w:color="auto" w:fill="DBDBDB"/>
          </w:tcPr>
          <w:p>
            <w:pPr>
              <w:spacing w:after="0"/>
              <w:rPr>
                <w:sz w:val="13"/>
                <w:szCs w:val="13"/>
                <w:color w:val="auto"/>
              </w:rPr>
            </w:pPr>
          </w:p>
        </w:tc>
        <w:tc>
          <w:tcPr>
            <w:tcW w:w="70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511.7</w:t>
            </w:r>
          </w:p>
        </w:tc>
        <w:tc>
          <w:tcPr>
            <w:tcW w:w="3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7.2</w:t>
            </w:r>
          </w:p>
        </w:tc>
        <w:tc>
          <w:tcPr>
            <w:tcW w:w="3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42.5</w:t>
            </w:r>
          </w:p>
        </w:tc>
        <w:tc>
          <w:tcPr>
            <w:tcW w:w="48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561.4</w:t>
            </w:r>
          </w:p>
        </w:tc>
        <w:tc>
          <w:tcPr>
            <w:tcW w:w="0" w:type="dxa"/>
            <w:vAlign w:val="bottom"/>
          </w:tcPr>
          <w:p>
            <w:pPr>
              <w:spacing w:after="0"/>
              <w:rPr>
                <w:sz w:val="1"/>
                <w:szCs w:val="1"/>
                <w:color w:val="auto"/>
              </w:rPr>
            </w:pPr>
          </w:p>
        </w:tc>
      </w:tr>
      <w:tr>
        <w:trPr>
          <w:trHeight w:val="148"/>
        </w:trPr>
        <w:tc>
          <w:tcPr>
            <w:tcW w:w="1880" w:type="dxa"/>
            <w:vAlign w:val="bottom"/>
          </w:tcPr>
          <w:p>
            <w:pPr>
              <w:ind w:left="20"/>
              <w:spacing w:after="0"/>
              <w:rPr>
                <w:sz w:val="20"/>
                <w:szCs w:val="20"/>
                <w:color w:val="auto"/>
              </w:rPr>
            </w:pPr>
            <w:r>
              <w:rPr>
                <w:rFonts w:ascii="Arial" w:cs="Arial" w:eastAsia="Arial" w:hAnsi="Arial"/>
                <w:sz w:val="10"/>
                <w:szCs w:val="10"/>
                <w:color w:val="auto"/>
              </w:rPr>
              <w:t>Intercompany eliminations</w:t>
            </w:r>
          </w:p>
        </w:tc>
        <w:tc>
          <w:tcPr>
            <w:tcW w:w="240" w:type="dxa"/>
            <w:vAlign w:val="bottom"/>
          </w:tcPr>
          <w:p>
            <w:pPr>
              <w:spacing w:after="0"/>
              <w:rPr>
                <w:sz w:val="12"/>
                <w:szCs w:val="12"/>
                <w:color w:val="auto"/>
              </w:rPr>
            </w:pPr>
          </w:p>
        </w:tc>
        <w:tc>
          <w:tcPr>
            <w:tcW w:w="84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(13.2)</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(13.2)</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(5.1)</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(5.1)</w:t>
            </w:r>
          </w:p>
        </w:tc>
        <w:tc>
          <w:tcPr>
            <w:tcW w:w="0" w:type="dxa"/>
            <w:vAlign w:val="bottom"/>
          </w:tcPr>
          <w:p>
            <w:pPr>
              <w:spacing w:after="0"/>
              <w:rPr>
                <w:sz w:val="1"/>
                <w:szCs w:val="1"/>
                <w:color w:val="auto"/>
              </w:rPr>
            </w:pPr>
          </w:p>
        </w:tc>
      </w:tr>
      <w:tr>
        <w:trPr>
          <w:trHeight w:val="32"/>
        </w:trPr>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net sales</w:t>
            </w:r>
          </w:p>
        </w:tc>
        <w:tc>
          <w:tcPr>
            <w:tcW w:w="24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658.3</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4.1</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52.1</w:t>
            </w:r>
          </w:p>
        </w:tc>
        <w:tc>
          <w:tcPr>
            <w:tcW w:w="44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714.5</w:t>
            </w:r>
          </w:p>
        </w:tc>
        <w:tc>
          <w:tcPr>
            <w:tcW w:w="260" w:type="dxa"/>
            <w:vAlign w:val="bottom"/>
            <w:tcBorders>
              <w:bottom w:val="single" w:sz="8" w:color="DBDBDB"/>
            </w:tcBorders>
            <w:shd w:val="clear" w:color="auto" w:fill="DBDBDB"/>
          </w:tcPr>
          <w:p>
            <w:pPr>
              <w:spacing w:after="0"/>
              <w:rPr>
                <w:sz w:val="13"/>
                <w:szCs w:val="13"/>
                <w:color w:val="auto"/>
              </w:rPr>
            </w:pPr>
          </w:p>
        </w:tc>
        <w:tc>
          <w:tcPr>
            <w:tcW w:w="3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511.7</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2.1</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42.5</w:t>
            </w:r>
          </w:p>
        </w:tc>
        <w:tc>
          <w:tcPr>
            <w:tcW w:w="4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556.3</w:t>
            </w: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20" w:type="dxa"/>
            <w:vAlign w:val="bottom"/>
          </w:tcPr>
          <w:p>
            <w:pPr>
              <w:ind w:left="620"/>
              <w:spacing w:after="0"/>
              <w:rPr>
                <w:sz w:val="20"/>
                <w:szCs w:val="20"/>
                <w:color w:val="auto"/>
              </w:rPr>
            </w:pPr>
            <w:r>
              <w:rPr>
                <w:rFonts w:ascii="Arial" w:cs="Arial" w:eastAsia="Arial" w:hAnsi="Arial"/>
                <w:sz w:val="14"/>
                <w:szCs w:val="14"/>
                <w:color w:val="auto"/>
              </w:rPr>
              <w:t>Supplemental sales information is as follows.</w:t>
            </w: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98"/>
        </w:trPr>
        <w:tc>
          <w:tcPr>
            <w:tcW w:w="4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gridSpan w:val="2"/>
          </w:tcPr>
          <w:p>
            <w:pPr>
              <w:jc w:val="right"/>
              <w:ind w:right="231"/>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80" w:type="dxa"/>
            <w:vAlign w:val="bottom"/>
            <w:gridSpan w:val="2"/>
          </w:tcPr>
          <w:p>
            <w:pPr>
              <w:jc w:val="right"/>
              <w:ind w:right="291"/>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24"/>
                <w:szCs w:val="24"/>
                <w:color w:val="auto"/>
              </w:rPr>
            </w:pPr>
          </w:p>
        </w:tc>
      </w:tr>
      <w:tr>
        <w:trPr>
          <w:trHeight w:val="188"/>
        </w:trPr>
        <w:tc>
          <w:tcPr>
            <w:tcW w:w="4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60" w:type="dxa"/>
            <w:vAlign w:val="bottom"/>
            <w:gridSpan w:val="2"/>
          </w:tcPr>
          <w:p>
            <w:pPr>
              <w:jc w:val="right"/>
              <w:ind w:right="651"/>
              <w:spacing w:after="0"/>
              <w:rPr>
                <w:sz w:val="20"/>
                <w:szCs w:val="20"/>
                <w:color w:val="auto"/>
              </w:rPr>
            </w:pPr>
            <w:r>
              <w:rPr>
                <w:rFonts w:ascii="Arial" w:cs="Arial" w:eastAsia="Arial" w:hAnsi="Arial"/>
                <w:sz w:val="14"/>
                <w:szCs w:val="14"/>
                <w:b w:val="1"/>
                <w:bCs w:val="1"/>
                <w:color w:val="auto"/>
              </w:rPr>
              <w:t>April 30,</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80" w:type="dxa"/>
            <w:vAlign w:val="bottom"/>
            <w:gridSpan w:val="2"/>
          </w:tcPr>
          <w:p>
            <w:pPr>
              <w:jc w:val="right"/>
              <w:ind w:right="631"/>
              <w:spacing w:after="0"/>
              <w:rPr>
                <w:sz w:val="20"/>
                <w:szCs w:val="20"/>
                <w:color w:val="auto"/>
              </w:rPr>
            </w:pPr>
            <w:r>
              <w:rPr>
                <w:rFonts w:ascii="Arial" w:cs="Arial" w:eastAsia="Arial" w:hAnsi="Arial"/>
                <w:sz w:val="14"/>
                <w:szCs w:val="14"/>
                <w:b w:val="1"/>
                <w:bCs w:val="1"/>
                <w:color w:val="auto"/>
              </w:rPr>
              <w:t>April 30,</w:t>
            </w:r>
          </w:p>
        </w:tc>
        <w:tc>
          <w:tcPr>
            <w:tcW w:w="780" w:type="dxa"/>
            <w:vAlign w:val="bottom"/>
          </w:tcPr>
          <w:p>
            <w:pPr>
              <w:spacing w:after="0"/>
              <w:rPr>
                <w:sz w:val="16"/>
                <w:szCs w:val="16"/>
                <w:color w:val="auto"/>
              </w:rPr>
            </w:pPr>
          </w:p>
        </w:tc>
      </w:tr>
      <w:tr>
        <w:trPr>
          <w:trHeight w:val="27"/>
        </w:trPr>
        <w:tc>
          <w:tcPr>
            <w:tcW w:w="40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8"/>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2025</w:t>
            </w:r>
          </w:p>
        </w:tc>
        <w:tc>
          <w:tcPr>
            <w:tcW w:w="10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2025</w:t>
            </w:r>
          </w:p>
        </w:tc>
        <w:tc>
          <w:tcPr>
            <w:tcW w:w="10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r>
      <w:tr>
        <w:trPr>
          <w:trHeight w:val="196"/>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i w:val="1"/>
                <w:iCs w:val="1"/>
                <w:color w:val="auto"/>
              </w:rPr>
              <w:t>By type</w:t>
            </w:r>
          </w:p>
        </w:tc>
        <w:tc>
          <w:tcPr>
            <w:tcW w:w="56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r>
      <w:tr>
        <w:trPr>
          <w:trHeight w:val="199"/>
        </w:trPr>
        <w:tc>
          <w:tcPr>
            <w:tcW w:w="4020" w:type="dxa"/>
            <w:vAlign w:val="bottom"/>
          </w:tcPr>
          <w:p>
            <w:pPr>
              <w:ind w:left="220"/>
              <w:spacing w:after="0"/>
              <w:rPr>
                <w:sz w:val="20"/>
                <w:szCs w:val="20"/>
                <w:color w:val="auto"/>
              </w:rPr>
            </w:pPr>
            <w:r>
              <w:rPr>
                <w:rFonts w:ascii="Arial" w:cs="Arial" w:eastAsia="Arial" w:hAnsi="Arial"/>
                <w:sz w:val="14"/>
                <w:szCs w:val="14"/>
                <w:color w:val="auto"/>
              </w:rPr>
              <w:t>Avocado</w:t>
            </w:r>
          </w:p>
        </w:tc>
        <w:tc>
          <w:tcPr>
            <w:tcW w:w="560" w:type="dxa"/>
            <w:vAlign w:val="bottom"/>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332.6</w:t>
            </w:r>
          </w:p>
        </w:tc>
        <w:tc>
          <w:tcPr>
            <w:tcW w:w="1020" w:type="dxa"/>
            <w:vAlign w:val="bottom"/>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267.5</w:t>
            </w:r>
          </w:p>
        </w:tc>
        <w:tc>
          <w:tcPr>
            <w:tcW w:w="260" w:type="dxa"/>
            <w:vAlign w:val="bottom"/>
          </w:tcPr>
          <w:p>
            <w:pPr>
              <w:spacing w:after="0"/>
              <w:rPr>
                <w:sz w:val="17"/>
                <w:szCs w:val="17"/>
                <w:color w:val="auto"/>
              </w:rPr>
            </w:pPr>
          </w:p>
        </w:tc>
        <w:tc>
          <w:tcPr>
            <w:tcW w:w="620" w:type="dxa"/>
            <w:vAlign w:val="bottom"/>
          </w:tcPr>
          <w:p>
            <w:pPr>
              <w:jc w:val="right"/>
              <w:ind w:right="47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611.8</w:t>
            </w:r>
          </w:p>
        </w:tc>
        <w:tc>
          <w:tcPr>
            <w:tcW w:w="100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479.8</w:t>
            </w: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Blueberry</w:t>
            </w:r>
          </w:p>
        </w:tc>
        <w:tc>
          <w:tcPr>
            <w:tcW w:w="56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15.7</w:t>
            </w:r>
          </w:p>
        </w:tc>
        <w:tc>
          <w:tcPr>
            <w:tcW w:w="10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10.0</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52.1</w:t>
            </w:r>
          </w:p>
        </w:tc>
        <w:tc>
          <w:tcPr>
            <w:tcW w:w="10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42.5</w:t>
            </w:r>
          </w:p>
        </w:tc>
      </w:tr>
      <w:tr>
        <w:trPr>
          <w:trHeight w:val="199"/>
        </w:trPr>
        <w:tc>
          <w:tcPr>
            <w:tcW w:w="4020" w:type="dxa"/>
            <w:vAlign w:val="bottom"/>
          </w:tcPr>
          <w:p>
            <w:pPr>
              <w:ind w:left="220"/>
              <w:spacing w:after="0"/>
              <w:rPr>
                <w:sz w:val="20"/>
                <w:szCs w:val="20"/>
                <w:color w:val="auto"/>
              </w:rPr>
            </w:pPr>
            <w:r>
              <w:rPr>
                <w:rFonts w:ascii="Arial" w:cs="Arial" w:eastAsia="Arial" w:hAnsi="Arial"/>
                <w:sz w:val="14"/>
                <w:szCs w:val="14"/>
                <w:color w:val="auto"/>
              </w:rPr>
              <w:t>Mango</w:t>
            </w:r>
          </w:p>
        </w:tc>
        <w:tc>
          <w:tcPr>
            <w:tcW w:w="560" w:type="dxa"/>
            <w:vAlign w:val="bottom"/>
          </w:tcPr>
          <w:p>
            <w:pPr>
              <w:spacing w:after="0"/>
              <w:rPr>
                <w:sz w:val="17"/>
                <w:szCs w:val="17"/>
                <w:color w:val="auto"/>
              </w:rPr>
            </w:pP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29.9</w:t>
            </w:r>
          </w:p>
        </w:tc>
        <w:tc>
          <w:tcPr>
            <w:tcW w:w="102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18.2</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44.7</w:t>
            </w:r>
          </w:p>
        </w:tc>
        <w:tc>
          <w:tcPr>
            <w:tcW w:w="10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29.1</w:t>
            </w: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4"/>
        </w:trPr>
        <w:tc>
          <w:tcPr>
            <w:tcW w:w="40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Other</w:t>
            </w:r>
          </w:p>
        </w:tc>
        <w:tc>
          <w:tcPr>
            <w:tcW w:w="56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2.1</w:t>
            </w:r>
          </w:p>
        </w:tc>
        <w:tc>
          <w:tcPr>
            <w:tcW w:w="102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1.9</w:t>
            </w:r>
          </w:p>
        </w:tc>
        <w:tc>
          <w:tcPr>
            <w:tcW w:w="260" w:type="dxa"/>
            <w:vAlign w:val="bottom"/>
            <w:tcBorders>
              <w:bottom w:val="single" w:sz="8" w:color="DBDBDB"/>
            </w:tcBorders>
            <w:shd w:val="clear" w:color="auto" w:fill="DBDBDB"/>
          </w:tcPr>
          <w:p>
            <w:pPr>
              <w:spacing w:after="0"/>
              <w:rPr>
                <w:sz w:val="19"/>
                <w:szCs w:val="19"/>
                <w:color w:val="auto"/>
              </w:rPr>
            </w:pPr>
          </w:p>
        </w:tc>
        <w:tc>
          <w:tcPr>
            <w:tcW w:w="620" w:type="dxa"/>
            <w:vAlign w:val="bottom"/>
            <w:tcBorders>
              <w:bottom w:val="single" w:sz="8" w:color="DBDBDB"/>
            </w:tcBorders>
            <w:shd w:val="clear" w:color="auto" w:fill="DBDBDB"/>
          </w:tcPr>
          <w:p>
            <w:pPr>
              <w:spacing w:after="0"/>
              <w:rPr>
                <w:sz w:val="19"/>
                <w:szCs w:val="19"/>
                <w:color w:val="auto"/>
              </w:rPr>
            </w:pPr>
          </w:p>
        </w:tc>
        <w:tc>
          <w:tcPr>
            <w:tcW w:w="10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5.9</w:t>
            </w:r>
          </w:p>
        </w:tc>
        <w:tc>
          <w:tcPr>
            <w:tcW w:w="1000" w:type="dxa"/>
            <w:vAlign w:val="bottom"/>
            <w:tcBorders>
              <w:bottom w:val="single" w:sz="8" w:color="DBDBDB"/>
            </w:tcBorders>
            <w:shd w:val="clear" w:color="auto" w:fill="DBDBDB"/>
          </w:tcPr>
          <w:p>
            <w:pPr>
              <w:spacing w:after="0"/>
              <w:rPr>
                <w:sz w:val="19"/>
                <w:szCs w:val="19"/>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4.9</w:t>
            </w:r>
          </w:p>
        </w:tc>
      </w:tr>
      <w:tr>
        <w:trPr>
          <w:trHeight w:val="192"/>
        </w:trPr>
        <w:tc>
          <w:tcPr>
            <w:tcW w:w="40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net sales</w:t>
            </w:r>
          </w:p>
        </w:tc>
        <w:tc>
          <w:tcPr>
            <w:tcW w:w="56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380.3</w:t>
            </w:r>
          </w:p>
        </w:tc>
        <w:tc>
          <w:tcPr>
            <w:tcW w:w="1020" w:type="dxa"/>
            <w:vAlign w:val="bottom"/>
            <w:tcBorders>
              <w:top w:val="single" w:sz="8" w:color="auto"/>
            </w:tcBorders>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297.6</w:t>
            </w:r>
          </w:p>
        </w:tc>
        <w:tc>
          <w:tcPr>
            <w:tcW w:w="2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714.5</w:t>
            </w:r>
          </w:p>
        </w:tc>
        <w:tc>
          <w:tcPr>
            <w:tcW w:w="1000" w:type="dxa"/>
            <w:vAlign w:val="bottom"/>
            <w:tcBorders>
              <w:top w:val="single" w:sz="8" w:color="auto"/>
            </w:tcBorders>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556.3</w:t>
            </w: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i w:val="1"/>
                <w:iCs w:val="1"/>
                <w:color w:val="auto"/>
              </w:rPr>
              <w:t>By customer location</w:t>
            </w:r>
          </w:p>
        </w:tc>
        <w:tc>
          <w:tcPr>
            <w:tcW w:w="56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r>
      <w:tr>
        <w:trPr>
          <w:trHeight w:val="199"/>
        </w:trPr>
        <w:tc>
          <w:tcPr>
            <w:tcW w:w="4020" w:type="dxa"/>
            <w:vAlign w:val="bottom"/>
          </w:tcPr>
          <w:p>
            <w:pPr>
              <w:ind w:left="220"/>
              <w:spacing w:after="0"/>
              <w:rPr>
                <w:sz w:val="20"/>
                <w:szCs w:val="20"/>
                <w:color w:val="auto"/>
              </w:rPr>
            </w:pPr>
            <w:r>
              <w:rPr>
                <w:rFonts w:ascii="Arial" w:cs="Arial" w:eastAsia="Arial" w:hAnsi="Arial"/>
                <w:sz w:val="14"/>
                <w:szCs w:val="14"/>
                <w:color w:val="auto"/>
              </w:rPr>
              <w:t>United States</w:t>
            </w:r>
          </w:p>
        </w:tc>
        <w:tc>
          <w:tcPr>
            <w:tcW w:w="560" w:type="dxa"/>
            <w:vAlign w:val="bottom"/>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317.9</w:t>
            </w:r>
          </w:p>
        </w:tc>
        <w:tc>
          <w:tcPr>
            <w:tcW w:w="1020" w:type="dxa"/>
            <w:vAlign w:val="bottom"/>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254.0</w:t>
            </w:r>
          </w:p>
        </w:tc>
        <w:tc>
          <w:tcPr>
            <w:tcW w:w="260" w:type="dxa"/>
            <w:vAlign w:val="bottom"/>
          </w:tcPr>
          <w:p>
            <w:pPr>
              <w:spacing w:after="0"/>
              <w:rPr>
                <w:sz w:val="17"/>
                <w:szCs w:val="17"/>
                <w:color w:val="auto"/>
              </w:rPr>
            </w:pPr>
          </w:p>
        </w:tc>
        <w:tc>
          <w:tcPr>
            <w:tcW w:w="620" w:type="dxa"/>
            <w:vAlign w:val="bottom"/>
          </w:tcPr>
          <w:p>
            <w:pPr>
              <w:jc w:val="right"/>
              <w:ind w:right="47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582.7</w:t>
            </w:r>
          </w:p>
        </w:tc>
        <w:tc>
          <w:tcPr>
            <w:tcW w:w="100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465.8</w:t>
            </w: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4"/>
        </w:trPr>
        <w:tc>
          <w:tcPr>
            <w:tcW w:w="40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Rest of world</w:t>
            </w:r>
          </w:p>
        </w:tc>
        <w:tc>
          <w:tcPr>
            <w:tcW w:w="56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62.4</w:t>
            </w:r>
          </w:p>
        </w:tc>
        <w:tc>
          <w:tcPr>
            <w:tcW w:w="102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43.6</w:t>
            </w:r>
          </w:p>
        </w:tc>
        <w:tc>
          <w:tcPr>
            <w:tcW w:w="260" w:type="dxa"/>
            <w:vAlign w:val="bottom"/>
            <w:tcBorders>
              <w:bottom w:val="single" w:sz="8" w:color="DBDBDB"/>
            </w:tcBorders>
            <w:shd w:val="clear" w:color="auto" w:fill="DBDBDB"/>
          </w:tcPr>
          <w:p>
            <w:pPr>
              <w:spacing w:after="0"/>
              <w:rPr>
                <w:sz w:val="19"/>
                <w:szCs w:val="19"/>
                <w:color w:val="auto"/>
              </w:rPr>
            </w:pPr>
          </w:p>
        </w:tc>
        <w:tc>
          <w:tcPr>
            <w:tcW w:w="620" w:type="dxa"/>
            <w:vAlign w:val="bottom"/>
            <w:tcBorders>
              <w:bottom w:val="single" w:sz="8" w:color="DBDBDB"/>
            </w:tcBorders>
            <w:shd w:val="clear" w:color="auto" w:fill="DBDBDB"/>
          </w:tcPr>
          <w:p>
            <w:pPr>
              <w:spacing w:after="0"/>
              <w:rPr>
                <w:sz w:val="19"/>
                <w:szCs w:val="19"/>
                <w:color w:val="auto"/>
              </w:rPr>
            </w:pPr>
          </w:p>
        </w:tc>
        <w:tc>
          <w:tcPr>
            <w:tcW w:w="10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131.8</w:t>
            </w:r>
          </w:p>
        </w:tc>
        <w:tc>
          <w:tcPr>
            <w:tcW w:w="1000" w:type="dxa"/>
            <w:vAlign w:val="bottom"/>
            <w:tcBorders>
              <w:bottom w:val="single" w:sz="8" w:color="DBDBDB"/>
            </w:tcBorders>
            <w:shd w:val="clear" w:color="auto" w:fill="DBDBDB"/>
          </w:tcPr>
          <w:p>
            <w:pPr>
              <w:spacing w:after="0"/>
              <w:rPr>
                <w:sz w:val="19"/>
                <w:szCs w:val="19"/>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90.5</w:t>
            </w:r>
          </w:p>
        </w:tc>
      </w:tr>
      <w:tr>
        <w:trPr>
          <w:trHeight w:val="192"/>
        </w:trPr>
        <w:tc>
          <w:tcPr>
            <w:tcW w:w="40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net sales</w:t>
            </w:r>
          </w:p>
        </w:tc>
        <w:tc>
          <w:tcPr>
            <w:tcW w:w="56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380.3</w:t>
            </w:r>
          </w:p>
        </w:tc>
        <w:tc>
          <w:tcPr>
            <w:tcW w:w="1020" w:type="dxa"/>
            <w:vAlign w:val="bottom"/>
            <w:tcBorders>
              <w:top w:val="single" w:sz="8" w:color="auto"/>
            </w:tcBorders>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297.6</w:t>
            </w:r>
          </w:p>
        </w:tc>
        <w:tc>
          <w:tcPr>
            <w:tcW w:w="2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714.5</w:t>
            </w:r>
          </w:p>
        </w:tc>
        <w:tc>
          <w:tcPr>
            <w:tcW w:w="1000" w:type="dxa"/>
            <w:vAlign w:val="bottom"/>
            <w:tcBorders>
              <w:top w:val="single" w:sz="8" w:color="auto"/>
            </w:tcBorders>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556.3</w:t>
            </w: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Adjusted EBITDA (as defined above) for each of our reportable segments was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60" w:type="dxa"/>
            <w:vAlign w:val="bottom"/>
            <w:gridSpan w:val="2"/>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60" w:type="dxa"/>
            <w:vAlign w:val="bottom"/>
            <w:gridSpan w:val="2"/>
          </w:tcPr>
          <w:p>
            <w:pPr>
              <w:jc w:val="right"/>
              <w:ind w:right="291"/>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r>
      <w:tr>
        <w:trPr>
          <w:trHeight w:val="196"/>
        </w:trPr>
        <w:tc>
          <w:tcPr>
            <w:tcW w:w="40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right"/>
              <w:ind w:right="651"/>
              <w:spacing w:after="0"/>
              <w:rPr>
                <w:sz w:val="20"/>
                <w:szCs w:val="20"/>
                <w:color w:val="auto"/>
              </w:rPr>
            </w:pPr>
            <w:r>
              <w:rPr>
                <w:rFonts w:ascii="Arial" w:cs="Arial" w:eastAsia="Arial" w:hAnsi="Arial"/>
                <w:sz w:val="14"/>
                <w:szCs w:val="14"/>
                <w:b w:val="1"/>
                <w:bCs w:val="1"/>
                <w:color w:val="auto"/>
              </w:rPr>
              <w:t>April 30,</w:t>
            </w:r>
          </w:p>
        </w:tc>
        <w:tc>
          <w:tcPr>
            <w:tcW w:w="7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tcPr>
          <w:p>
            <w:pPr>
              <w:jc w:val="right"/>
              <w:ind w:right="611"/>
              <w:spacing w:after="0"/>
              <w:rPr>
                <w:sz w:val="20"/>
                <w:szCs w:val="20"/>
                <w:color w:val="auto"/>
              </w:rPr>
            </w:pPr>
            <w:r>
              <w:rPr>
                <w:rFonts w:ascii="Arial" w:cs="Arial" w:eastAsia="Arial" w:hAnsi="Arial"/>
                <w:sz w:val="14"/>
                <w:szCs w:val="14"/>
                <w:b w:val="1"/>
                <w:bCs w:val="1"/>
                <w:color w:val="auto"/>
              </w:rPr>
              <w:t>April 30,</w:t>
            </w:r>
          </w:p>
        </w:tc>
        <w:tc>
          <w:tcPr>
            <w:tcW w:w="780" w:type="dxa"/>
            <w:vAlign w:val="bottom"/>
            <w:tcBorders>
              <w:bottom w:val="single" w:sz="8" w:color="auto"/>
            </w:tcBorders>
          </w:tcPr>
          <w:p>
            <w:pPr>
              <w:spacing w:after="0"/>
              <w:rPr>
                <w:sz w:val="17"/>
                <w:szCs w:val="17"/>
                <w:color w:val="auto"/>
              </w:rPr>
            </w:pPr>
          </w:p>
        </w:tc>
      </w:tr>
      <w:tr>
        <w:trPr>
          <w:trHeight w:val="212"/>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2025</w:t>
            </w:r>
          </w:p>
        </w:tc>
        <w:tc>
          <w:tcPr>
            <w:tcW w:w="10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2025</w:t>
            </w:r>
          </w:p>
        </w:tc>
        <w:tc>
          <w:tcPr>
            <w:tcW w:w="9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r>
      <w:tr>
        <w:trPr>
          <w:trHeight w:val="199"/>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Marketing &amp; Distribution adjusted EBITDA</w:t>
            </w:r>
          </w:p>
        </w:tc>
        <w:tc>
          <w:tcPr>
            <w:tcW w:w="56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16.8</w:t>
            </w:r>
          </w:p>
        </w:tc>
        <w:tc>
          <w:tcPr>
            <w:tcW w:w="100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21.7</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ind w:right="45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26.5</w:t>
            </w:r>
          </w:p>
        </w:tc>
        <w:tc>
          <w:tcPr>
            <w:tcW w:w="960" w:type="dxa"/>
            <w:vAlign w:val="bottom"/>
            <w:tcBorders>
              <w:bottom w:val="single" w:sz="8" w:color="DBDBDB"/>
            </w:tcBorders>
            <w:shd w:val="clear" w:color="auto" w:fill="DBDBDB"/>
          </w:tcPr>
          <w:p>
            <w:pPr>
              <w:jc w:val="right"/>
              <w:ind w:right="7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32.7</w:t>
            </w:r>
          </w:p>
        </w:tc>
      </w:tr>
      <w:tr>
        <w:trPr>
          <w:trHeight w:val="199"/>
        </w:trPr>
        <w:tc>
          <w:tcPr>
            <w:tcW w:w="4060" w:type="dxa"/>
            <w:vAlign w:val="bottom"/>
          </w:tcPr>
          <w:p>
            <w:pPr>
              <w:ind w:left="20"/>
              <w:spacing w:after="0"/>
              <w:rPr>
                <w:sz w:val="20"/>
                <w:szCs w:val="20"/>
                <w:color w:val="auto"/>
              </w:rPr>
            </w:pPr>
            <w:r>
              <w:rPr>
                <w:rFonts w:ascii="Arial" w:cs="Arial" w:eastAsia="Arial" w:hAnsi="Arial"/>
                <w:sz w:val="14"/>
                <w:szCs w:val="14"/>
                <w:color w:val="auto"/>
              </w:rPr>
              <w:t>International Farming adjusted EBITDA</w:t>
            </w:r>
          </w:p>
        </w:tc>
        <w:tc>
          <w:tcPr>
            <w:tcW w:w="56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1.5</w:t>
            </w:r>
          </w:p>
        </w:tc>
        <w:tc>
          <w:tcPr>
            <w:tcW w:w="10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3.3</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0"/>
        </w:trPr>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4"/>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Blueberries adjusted EBITDA</w:t>
            </w:r>
          </w:p>
        </w:tc>
        <w:tc>
          <w:tcPr>
            <w:tcW w:w="56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0.8</w:t>
            </w:r>
          </w:p>
        </w:tc>
        <w:tc>
          <w:tcPr>
            <w:tcW w:w="100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0.7</w:t>
            </w:r>
          </w:p>
        </w:tc>
        <w:tc>
          <w:tcPr>
            <w:tcW w:w="260" w:type="dxa"/>
            <w:vAlign w:val="bottom"/>
            <w:tcBorders>
              <w:bottom w:val="single" w:sz="8" w:color="DBDBDB"/>
            </w:tcBorders>
            <w:shd w:val="clear" w:color="auto" w:fill="DBDBDB"/>
          </w:tcPr>
          <w:p>
            <w:pPr>
              <w:spacing w:after="0"/>
              <w:rPr>
                <w:sz w:val="19"/>
                <w:szCs w:val="19"/>
                <w:color w:val="auto"/>
              </w:rPr>
            </w:pPr>
          </w:p>
        </w:tc>
        <w:tc>
          <w:tcPr>
            <w:tcW w:w="620" w:type="dxa"/>
            <w:vAlign w:val="bottom"/>
            <w:tcBorders>
              <w:bottom w:val="single" w:sz="8" w:color="DBDBDB"/>
            </w:tcBorders>
            <w:shd w:val="clear" w:color="auto" w:fill="DBDBDB"/>
          </w:tcPr>
          <w:p>
            <w:pPr>
              <w:spacing w:after="0"/>
              <w:rPr>
                <w:sz w:val="19"/>
                <w:szCs w:val="19"/>
                <w:color w:val="auto"/>
              </w:rPr>
            </w:pP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7.0</w:t>
            </w:r>
          </w:p>
        </w:tc>
        <w:tc>
          <w:tcPr>
            <w:tcW w:w="960" w:type="dxa"/>
            <w:vAlign w:val="bottom"/>
            <w:tcBorders>
              <w:bottom w:val="single" w:sz="8" w:color="DBDBDB"/>
            </w:tcBorders>
            <w:shd w:val="clear" w:color="auto" w:fill="DBDBDB"/>
          </w:tcPr>
          <w:p>
            <w:pPr>
              <w:spacing w:after="0"/>
              <w:rPr>
                <w:sz w:val="19"/>
                <w:szCs w:val="19"/>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9.4</w:t>
            </w:r>
          </w:p>
        </w:tc>
      </w:tr>
      <w:tr>
        <w:trPr>
          <w:trHeight w:val="192"/>
        </w:trPr>
        <w:tc>
          <w:tcPr>
            <w:tcW w:w="40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reportable segment adjusted EBITDA</w:t>
            </w:r>
          </w:p>
        </w:tc>
        <w:tc>
          <w:tcPr>
            <w:tcW w:w="56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19.1</w:t>
            </w:r>
          </w:p>
        </w:tc>
        <w:tc>
          <w:tcPr>
            <w:tcW w:w="1000" w:type="dxa"/>
            <w:vAlign w:val="bottom"/>
            <w:tcBorders>
              <w:top w:val="single" w:sz="8" w:color="auto"/>
            </w:tcBorders>
          </w:tcPr>
          <w:p>
            <w:pPr>
              <w:jc w:val="right"/>
              <w:ind w:right="751"/>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2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36.8</w:t>
            </w:r>
          </w:p>
        </w:tc>
        <w:tc>
          <w:tcPr>
            <w:tcW w:w="960" w:type="dxa"/>
            <w:vAlign w:val="bottom"/>
            <w:tcBorders>
              <w:top w:val="single" w:sz="8" w:color="auto"/>
            </w:tcBorders>
          </w:tcPr>
          <w:p>
            <w:pPr>
              <w:jc w:val="right"/>
              <w:ind w:right="7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39.4</w:t>
            </w: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2"/>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w:t>
            </w:r>
          </w:p>
        </w:tc>
        <w:tc>
          <w:tcPr>
            <w:tcW w:w="56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3.0</w:t>
            </w:r>
          </w:p>
        </w:tc>
        <w:tc>
          <w:tcPr>
            <w:tcW w:w="100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7.0</w:t>
            </w:r>
          </w:p>
        </w:tc>
        <w:tc>
          <w:tcPr>
            <w:tcW w:w="260" w:type="dxa"/>
            <w:vAlign w:val="bottom"/>
            <w:tcBorders>
              <w:bottom w:val="single" w:sz="8" w:color="DBDBDB"/>
            </w:tcBorders>
            <w:shd w:val="clear" w:color="auto" w:fill="DBDBDB"/>
          </w:tcPr>
          <w:p>
            <w:pPr>
              <w:spacing w:after="0"/>
              <w:rPr>
                <w:sz w:val="16"/>
                <w:szCs w:val="16"/>
                <w:color w:val="auto"/>
              </w:rPr>
            </w:pPr>
          </w:p>
        </w:tc>
        <w:tc>
          <w:tcPr>
            <w:tcW w:w="6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9.2</w:t>
            </w:r>
          </w:p>
        </w:tc>
        <w:tc>
          <w:tcPr>
            <w:tcW w:w="96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9.0</w:t>
            </w:r>
          </w:p>
        </w:tc>
      </w:tr>
      <w:tr>
        <w:trPr>
          <w:trHeight w:val="219"/>
        </w:trPr>
        <w:tc>
          <w:tcPr>
            <w:tcW w:w="4060" w:type="dxa"/>
            <w:vAlign w:val="bottom"/>
          </w:tcPr>
          <w:p>
            <w:pPr>
              <w:ind w:left="20"/>
              <w:spacing w:after="0"/>
              <w:rPr>
                <w:sz w:val="20"/>
                <w:szCs w:val="20"/>
                <w:color w:val="auto"/>
              </w:rPr>
            </w:pPr>
            <w:r>
              <w:rPr>
                <w:rFonts w:ascii="Arial" w:cs="Arial" w:eastAsia="Arial" w:hAnsi="Arial"/>
                <w:sz w:val="14"/>
                <w:szCs w:val="14"/>
                <w:color w:val="auto"/>
              </w:rPr>
              <w:t>Interest expense</w:t>
            </w:r>
            <w:r>
              <w:rPr>
                <w:rFonts w:ascii="Arial" w:cs="Arial" w:eastAsia="Arial" w:hAnsi="Arial"/>
                <w:sz w:val="17"/>
                <w:szCs w:val="17"/>
                <w:color w:val="auto"/>
                <w:vertAlign w:val="superscript"/>
              </w:rPr>
              <w:t>(1)</w:t>
            </w:r>
          </w:p>
        </w:tc>
        <w:tc>
          <w:tcPr>
            <w:tcW w:w="56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2.5</w:t>
            </w:r>
          </w:p>
        </w:tc>
        <w:tc>
          <w:tcPr>
            <w:tcW w:w="10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4.7</w:t>
            </w:r>
          </w:p>
        </w:tc>
        <w:tc>
          <w:tcPr>
            <w:tcW w:w="9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99"/>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Provision for income taxes</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1.7</w:t>
            </w:r>
          </w:p>
        </w:tc>
        <w:tc>
          <w:tcPr>
            <w:tcW w:w="100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3.4</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4.9</w:t>
            </w:r>
          </w:p>
        </w:tc>
        <w:tc>
          <w:tcPr>
            <w:tcW w:w="9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5.5</w:t>
            </w:r>
          </w:p>
        </w:tc>
      </w:tr>
      <w:tr>
        <w:trPr>
          <w:trHeight w:val="219"/>
        </w:trPr>
        <w:tc>
          <w:tcPr>
            <w:tcW w:w="4060" w:type="dxa"/>
            <w:vAlign w:val="bottom"/>
          </w:tcPr>
          <w:p>
            <w:pPr>
              <w:ind w:left="20"/>
              <w:spacing w:after="0"/>
              <w:rPr>
                <w:sz w:val="20"/>
                <w:szCs w:val="20"/>
                <w:color w:val="auto"/>
              </w:rPr>
            </w:pPr>
            <w:r>
              <w:rPr>
                <w:rFonts w:ascii="Arial" w:cs="Arial" w:eastAsia="Arial" w:hAnsi="Arial"/>
                <w:sz w:val="14"/>
                <w:szCs w:val="14"/>
                <w:color w:val="auto"/>
              </w:rPr>
              <w:t>Depreciation and amortization</w:t>
            </w:r>
            <w:r>
              <w:rPr>
                <w:rFonts w:ascii="Arial" w:cs="Arial" w:eastAsia="Arial" w:hAnsi="Arial"/>
                <w:sz w:val="17"/>
                <w:szCs w:val="17"/>
                <w:color w:val="auto"/>
                <w:vertAlign w:val="superscript"/>
              </w:rPr>
              <w:t>(2)</w:t>
            </w:r>
          </w:p>
        </w:tc>
        <w:tc>
          <w:tcPr>
            <w:tcW w:w="56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7.0</w:t>
            </w:r>
          </w:p>
        </w:tc>
        <w:tc>
          <w:tcPr>
            <w:tcW w:w="10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15.7</w:t>
            </w:r>
          </w:p>
        </w:tc>
        <w:tc>
          <w:tcPr>
            <w:tcW w:w="9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18.6</w:t>
            </w:r>
          </w:p>
        </w:tc>
      </w:tr>
      <w:tr>
        <w:trPr>
          <w:trHeight w:val="199"/>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(0.9)</w:t>
            </w:r>
          </w:p>
        </w:tc>
        <w:tc>
          <w:tcPr>
            <w:tcW w:w="100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(0.5)</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(1.7)</w:t>
            </w:r>
          </w:p>
        </w:tc>
        <w:tc>
          <w:tcPr>
            <w:tcW w:w="9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(0.9)</w:t>
            </w:r>
          </w:p>
        </w:tc>
      </w:tr>
      <w:tr>
        <w:trPr>
          <w:trHeight w:val="199"/>
        </w:trPr>
        <w:tc>
          <w:tcPr>
            <w:tcW w:w="40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56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1.9</w:t>
            </w:r>
          </w:p>
        </w:tc>
        <w:tc>
          <w:tcPr>
            <w:tcW w:w="10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3.9</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0"/>
        </w:trPr>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Losses on asset impairment and disposals</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1.7</w:t>
            </w:r>
          </w:p>
        </w:tc>
        <w:tc>
          <w:tcPr>
            <w:tcW w:w="100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0.2</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1.8</w:t>
            </w:r>
          </w:p>
        </w:tc>
        <w:tc>
          <w:tcPr>
            <w:tcW w:w="9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0.4</w:t>
            </w:r>
          </w:p>
        </w:tc>
      </w:tr>
      <w:tr>
        <w:trPr>
          <w:trHeight w:val="199"/>
        </w:trPr>
        <w:tc>
          <w:tcPr>
            <w:tcW w:w="4060" w:type="dxa"/>
            <w:vAlign w:val="bottom"/>
          </w:tcPr>
          <w:p>
            <w:pPr>
              <w:ind w:left="20"/>
              <w:spacing w:after="0"/>
              <w:rPr>
                <w:sz w:val="20"/>
                <w:szCs w:val="20"/>
                <w:color w:val="auto"/>
              </w:rPr>
            </w:pPr>
            <w:r>
              <w:rPr>
                <w:rFonts w:ascii="Arial" w:cs="Arial" w:eastAsia="Arial" w:hAnsi="Arial"/>
                <w:sz w:val="14"/>
                <w:szCs w:val="14"/>
                <w:color w:val="auto"/>
              </w:rPr>
              <w:t>Farming costs for nonproductive orchards</w:t>
            </w:r>
          </w:p>
        </w:tc>
        <w:tc>
          <w:tcPr>
            <w:tcW w:w="56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0.3</w:t>
            </w:r>
          </w:p>
        </w:tc>
        <w:tc>
          <w:tcPr>
            <w:tcW w:w="10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0.3</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0.8</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0"/>
        </w:trPr>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Recognition of deferred ERP costs</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0.5</w:t>
            </w:r>
          </w:p>
        </w:tc>
        <w:tc>
          <w:tcPr>
            <w:tcW w:w="100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0.6</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1.1</w:t>
            </w:r>
          </w:p>
        </w:tc>
        <w:tc>
          <w:tcPr>
            <w:tcW w:w="9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w:t>
            </w:r>
          </w:p>
        </w:tc>
      </w:tr>
      <w:tr>
        <w:trPr>
          <w:trHeight w:val="199"/>
        </w:trPr>
        <w:tc>
          <w:tcPr>
            <w:tcW w:w="4060" w:type="dxa"/>
            <w:vAlign w:val="bottom"/>
          </w:tcPr>
          <w:p>
            <w:pPr>
              <w:ind w:left="20"/>
              <w:spacing w:after="0"/>
              <w:rPr>
                <w:sz w:val="20"/>
                <w:szCs w:val="20"/>
                <w:color w:val="auto"/>
              </w:rPr>
            </w:pPr>
            <w:r>
              <w:rPr>
                <w:rFonts w:ascii="Arial" w:cs="Arial" w:eastAsia="Arial" w:hAnsi="Arial"/>
                <w:sz w:val="14"/>
                <w:szCs w:val="14"/>
                <w:color w:val="auto"/>
              </w:rPr>
              <w:t>Severance</w:t>
            </w:r>
          </w:p>
        </w:tc>
        <w:tc>
          <w:tcPr>
            <w:tcW w:w="56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Legal settlement</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gridSpan w:val="2"/>
            <w:shd w:val="clear" w:color="auto" w:fill="DBDBDB"/>
          </w:tcPr>
          <w:p>
            <w:pPr>
              <w:jc w:val="right"/>
              <w:ind w:right="3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0.2</w:t>
            </w:r>
          </w:p>
        </w:tc>
      </w:tr>
      <w:tr>
        <w:trPr>
          <w:trHeight w:val="199"/>
        </w:trPr>
        <w:tc>
          <w:tcPr>
            <w:tcW w:w="4060" w:type="dxa"/>
            <w:vAlign w:val="bottom"/>
          </w:tcPr>
          <w:p>
            <w:pPr>
              <w:ind w:left="20"/>
              <w:spacing w:after="0"/>
              <w:rPr>
                <w:sz w:val="20"/>
                <w:szCs w:val="20"/>
                <w:color w:val="auto"/>
              </w:rPr>
            </w:pPr>
            <w:r>
              <w:rPr>
                <w:rFonts w:ascii="Arial" w:cs="Arial" w:eastAsia="Arial" w:hAnsi="Arial"/>
                <w:sz w:val="14"/>
                <w:szCs w:val="14"/>
                <w:color w:val="auto"/>
              </w:rPr>
              <w:t>Transaction costs</w:t>
            </w:r>
          </w:p>
        </w:tc>
        <w:tc>
          <w:tcPr>
            <w:tcW w:w="56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0.1</w:t>
            </w:r>
          </w:p>
        </w:tc>
        <w:tc>
          <w:tcPr>
            <w:tcW w:w="100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0.2</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9"/>
        </w:trPr>
        <w:tc>
          <w:tcPr>
            <w:tcW w:w="4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Canada site closures</w:t>
            </w:r>
            <w:r>
              <w:rPr>
                <w:rFonts w:ascii="Arial" w:cs="Arial" w:eastAsia="Arial" w:hAnsi="Arial"/>
                <w:sz w:val="17"/>
                <w:szCs w:val="17"/>
                <w:color w:val="auto"/>
                <w:vertAlign w:val="superscript"/>
              </w:rPr>
              <w:t>(3)</w:t>
            </w:r>
          </w:p>
        </w:tc>
        <w:tc>
          <w:tcPr>
            <w:tcW w:w="5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71"/>
              <w:spacing w:after="0"/>
              <w:rPr>
                <w:sz w:val="20"/>
                <w:szCs w:val="20"/>
                <w:color w:val="auto"/>
              </w:rPr>
            </w:pPr>
            <w:r>
              <w:rPr>
                <w:rFonts w:ascii="Arial" w:cs="Arial" w:eastAsia="Arial" w:hAnsi="Arial"/>
                <w:sz w:val="14"/>
                <w:szCs w:val="14"/>
                <w:color w:val="auto"/>
              </w:rPr>
              <w:t>0.2</w:t>
            </w:r>
          </w:p>
        </w:tc>
        <w:tc>
          <w:tcPr>
            <w:tcW w:w="10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320"/>
              <w:spacing w:after="0"/>
              <w:rPr>
                <w:sz w:val="20"/>
                <w:szCs w:val="20"/>
                <w:color w:val="auto"/>
              </w:rPr>
            </w:pPr>
            <w:r>
              <w:rPr>
                <w:rFonts w:ascii="Arial" w:cs="Arial" w:eastAsia="Arial" w:hAnsi="Arial"/>
                <w:sz w:val="14"/>
                <w:szCs w:val="14"/>
                <w:color w:val="auto"/>
              </w:rPr>
              <w:t>—</w:t>
            </w:r>
          </w:p>
        </w:tc>
        <w:tc>
          <w:tcPr>
            <w:tcW w:w="6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71"/>
              <w:spacing w:after="0"/>
              <w:rPr>
                <w:sz w:val="20"/>
                <w:szCs w:val="20"/>
                <w:color w:val="auto"/>
              </w:rPr>
            </w:pPr>
            <w:r>
              <w:rPr>
                <w:rFonts w:ascii="Arial" w:cs="Arial" w:eastAsia="Arial" w:hAnsi="Arial"/>
                <w:sz w:val="14"/>
                <w:szCs w:val="14"/>
                <w:color w:val="auto"/>
              </w:rPr>
              <w:t>0.7</w:t>
            </w:r>
          </w:p>
        </w:tc>
        <w:tc>
          <w:tcPr>
            <w:tcW w:w="96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4060" w:type="dxa"/>
            <w:vAlign w:val="bottom"/>
          </w:tcPr>
          <w:p>
            <w:pPr>
              <w:ind w:left="20"/>
              <w:spacing w:after="0"/>
              <w:rPr>
                <w:sz w:val="20"/>
                <w:szCs w:val="20"/>
                <w:color w:val="auto"/>
              </w:rPr>
            </w:pPr>
            <w:r>
              <w:rPr>
                <w:rFonts w:ascii="Arial" w:cs="Arial" w:eastAsia="Arial" w:hAnsi="Arial"/>
                <w:sz w:val="14"/>
                <w:szCs w:val="14"/>
                <w:color w:val="auto"/>
              </w:rPr>
              <w:t>Tariffs</w:t>
            </w:r>
            <w:r>
              <w:rPr>
                <w:rFonts w:ascii="Arial" w:cs="Arial" w:eastAsia="Arial" w:hAnsi="Arial"/>
                <w:sz w:val="17"/>
                <w:szCs w:val="17"/>
                <w:color w:val="auto"/>
                <w:vertAlign w:val="superscript"/>
              </w:rPr>
              <w:t>(4)</w:t>
            </w:r>
          </w:p>
        </w:tc>
        <w:tc>
          <w:tcPr>
            <w:tcW w:w="56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1.1</w:t>
            </w:r>
          </w:p>
        </w:tc>
        <w:tc>
          <w:tcPr>
            <w:tcW w:w="10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1.1</w:t>
            </w:r>
          </w:p>
        </w:tc>
        <w:tc>
          <w:tcPr>
            <w:tcW w:w="9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4"/>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 expense (income), net</w:t>
            </w:r>
          </w:p>
        </w:tc>
        <w:tc>
          <w:tcPr>
            <w:tcW w:w="56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0.6</w:t>
            </w:r>
          </w:p>
        </w:tc>
        <w:tc>
          <w:tcPr>
            <w:tcW w:w="100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DBDBDB"/>
            </w:tcBorders>
            <w:shd w:val="clear" w:color="auto" w:fill="DBDBDB"/>
          </w:tcPr>
          <w:p>
            <w:pPr>
              <w:spacing w:after="0"/>
              <w:rPr>
                <w:sz w:val="19"/>
                <w:szCs w:val="19"/>
                <w:color w:val="auto"/>
              </w:rPr>
            </w:pPr>
          </w:p>
        </w:tc>
        <w:tc>
          <w:tcPr>
            <w:tcW w:w="620" w:type="dxa"/>
            <w:vAlign w:val="bottom"/>
            <w:tcBorders>
              <w:bottom w:val="single" w:sz="8" w:color="DBDBDB"/>
            </w:tcBorders>
            <w:shd w:val="clear" w:color="auto" w:fill="DBDBDB"/>
          </w:tcPr>
          <w:p>
            <w:pPr>
              <w:spacing w:after="0"/>
              <w:rPr>
                <w:sz w:val="19"/>
                <w:szCs w:val="19"/>
                <w:color w:val="auto"/>
              </w:rPr>
            </w:pPr>
          </w:p>
        </w:tc>
        <w:tc>
          <w:tcPr>
            <w:tcW w:w="110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(0.9)</w:t>
            </w:r>
          </w:p>
        </w:tc>
        <w:tc>
          <w:tcPr>
            <w:tcW w:w="960" w:type="dxa"/>
            <w:vAlign w:val="bottom"/>
            <w:tcBorders>
              <w:bottom w:val="single" w:sz="8" w:color="DBDBDB"/>
            </w:tcBorders>
            <w:shd w:val="clear" w:color="auto" w:fill="DBDBDB"/>
          </w:tcPr>
          <w:p>
            <w:pPr>
              <w:spacing w:after="0"/>
              <w:rPr>
                <w:sz w:val="19"/>
                <w:szCs w:val="19"/>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40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Adjusted EBITDA before adjustment for noncontrolling interest</w:t>
            </w:r>
          </w:p>
        </w:tc>
        <w:tc>
          <w:tcPr>
            <w:tcW w:w="5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19.7</w:t>
            </w:r>
          </w:p>
        </w:tc>
        <w:tc>
          <w:tcPr>
            <w:tcW w:w="10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2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41.5</w:t>
            </w:r>
          </w:p>
        </w:tc>
        <w:tc>
          <w:tcPr>
            <w:tcW w:w="9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45.7</w:t>
            </w:r>
          </w:p>
        </w:tc>
      </w:tr>
      <w:tr>
        <w:trPr>
          <w:trHeight w:val="20"/>
        </w:trPr>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9"/>
        </w:trPr>
        <w:tc>
          <w:tcPr>
            <w:tcW w:w="40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Noncontrolling interest</w:t>
            </w:r>
            <w:r>
              <w:rPr>
                <w:rFonts w:ascii="Arial" w:cs="Arial" w:eastAsia="Arial" w:hAnsi="Arial"/>
                <w:sz w:val="17"/>
                <w:szCs w:val="17"/>
                <w:color w:val="auto"/>
                <w:vertAlign w:val="superscript"/>
              </w:rPr>
              <w:t>(5)</w:t>
            </w:r>
          </w:p>
        </w:tc>
        <w:tc>
          <w:tcPr>
            <w:tcW w:w="56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4"/>
                <w:szCs w:val="14"/>
                <w:color w:val="auto"/>
              </w:rPr>
              <w:t>(0.6)</w:t>
            </w:r>
          </w:p>
        </w:tc>
        <w:tc>
          <w:tcPr>
            <w:tcW w:w="1000" w:type="dxa"/>
            <w:vAlign w:val="bottom"/>
            <w:tcBorders>
              <w:bottom w:val="single" w:sz="8" w:color="auto"/>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(0.5)</w:t>
            </w:r>
          </w:p>
        </w:tc>
        <w:tc>
          <w:tcPr>
            <w:tcW w:w="26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4"/>
                <w:szCs w:val="14"/>
                <w:color w:val="auto"/>
              </w:rPr>
              <w:t>(4.7)</w:t>
            </w:r>
          </w:p>
        </w:tc>
        <w:tc>
          <w:tcPr>
            <w:tcW w:w="96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(6.3)</w:t>
            </w:r>
          </w:p>
        </w:tc>
      </w:tr>
      <w:tr>
        <w:trPr>
          <w:trHeight w:val="192"/>
        </w:trPr>
        <w:tc>
          <w:tcPr>
            <w:tcW w:w="4060" w:type="dxa"/>
            <w:vAlign w:val="bottom"/>
          </w:tcPr>
          <w:p>
            <w:pPr>
              <w:ind w:left="20"/>
              <w:spacing w:after="0"/>
              <w:rPr>
                <w:sz w:val="20"/>
                <w:szCs w:val="20"/>
                <w:color w:val="auto"/>
              </w:rPr>
            </w:pPr>
            <w:r>
              <w:rPr>
                <w:rFonts w:ascii="Arial" w:cs="Arial" w:eastAsia="Arial" w:hAnsi="Arial"/>
                <w:sz w:val="14"/>
                <w:szCs w:val="14"/>
                <w:color w:val="auto"/>
              </w:rPr>
              <w:t>Total adjusted EBITDA</w:t>
            </w:r>
          </w:p>
        </w:tc>
        <w:tc>
          <w:tcPr>
            <w:tcW w:w="560" w:type="dxa"/>
            <w:vAlign w:val="bottom"/>
          </w:tcPr>
          <w:p>
            <w:pPr>
              <w:jc w:val="right"/>
              <w:ind w:right="41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19.1</w:t>
            </w:r>
          </w:p>
        </w:tc>
        <w:tc>
          <w:tcPr>
            <w:tcW w:w="1000" w:type="dxa"/>
            <w:vAlign w:val="bottom"/>
          </w:tcPr>
          <w:p>
            <w:pPr>
              <w:jc w:val="right"/>
              <w:ind w:right="75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20.2</w:t>
            </w:r>
          </w:p>
        </w:tc>
        <w:tc>
          <w:tcPr>
            <w:tcW w:w="260" w:type="dxa"/>
            <w:vAlign w:val="bottom"/>
          </w:tcPr>
          <w:p>
            <w:pPr>
              <w:spacing w:after="0"/>
              <w:rPr>
                <w:sz w:val="16"/>
                <w:szCs w:val="16"/>
                <w:color w:val="auto"/>
              </w:rPr>
            </w:pPr>
          </w:p>
        </w:tc>
        <w:tc>
          <w:tcPr>
            <w:tcW w:w="620" w:type="dxa"/>
            <w:vAlign w:val="bottom"/>
          </w:tcPr>
          <w:p>
            <w:pPr>
              <w:jc w:val="right"/>
              <w:ind w:right="45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36.8</w:t>
            </w:r>
          </w:p>
        </w:tc>
        <w:tc>
          <w:tcPr>
            <w:tcW w:w="960" w:type="dxa"/>
            <w:vAlign w:val="bottom"/>
          </w:tcPr>
          <w:p>
            <w:pPr>
              <w:jc w:val="right"/>
              <w:ind w:right="71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39.4</w:t>
            </w: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240" w:right="80" w:hanging="237"/>
        <w:spacing w:after="0" w:line="282" w:lineRule="auto"/>
        <w:tabs>
          <w:tab w:leader="none" w:pos="232"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Includes interest expense from finance leases, the most significant of which is for land at our Blueberries segment of $0.5 million for both the three months ended April 30, 2025 and 2024 and $1.0 million for both the six months ended April 30, 2025 and 2024.</w:t>
      </w:r>
    </w:p>
    <w:p>
      <w:pPr>
        <w:spacing w:after="0" w:line="10" w:lineRule="exact"/>
        <w:rPr>
          <w:rFonts w:ascii="Arial" w:cs="Arial" w:eastAsia="Arial" w:hAnsi="Arial"/>
          <w:sz w:val="12"/>
          <w:szCs w:val="12"/>
          <w:color w:val="auto"/>
        </w:rPr>
      </w:pPr>
    </w:p>
    <w:p>
      <w:pPr>
        <w:ind w:left="240" w:right="180" w:hanging="237"/>
        <w:spacing w:after="0" w:line="261" w:lineRule="auto"/>
        <w:tabs>
          <w:tab w:leader="none" w:pos="232"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Includes depreciation and amortization of purchase accounting assets of $0.5 million and $0.4 million for the three months ended April 30, 2025 and 2024, respectively, and $0.8 million and $3.3 million six months ended April 30, 2025 and 2024, respectively. Includes $0.2 million of amortization of the Blueberries finance lease for both the three months ended April 30, 2025 and 2024 and $0.4 million for both the six months ended April 30, 2025 and 2024. The six months ended April 30, 2025 also include $0.9 million of accelerated depreciation expense from fixed assets related to the closure of our Canada facilities during the respective quarter. The six months ended April 30, 2024 also include $4.1 million of accelerated depreciation expense, $2.0 million of which was from purchase accounting assets, for certain blueberry plants determined to have no remaining useful life.</w:t>
      </w:r>
    </w:p>
    <w:p>
      <w:pPr>
        <w:spacing w:after="0" w:line="23" w:lineRule="exact"/>
        <w:rPr>
          <w:rFonts w:ascii="Arial" w:cs="Arial" w:eastAsia="Arial" w:hAnsi="Arial"/>
          <w:sz w:val="12"/>
          <w:szCs w:val="12"/>
          <w:color w:val="auto"/>
        </w:rPr>
      </w:pPr>
    </w:p>
    <w:p>
      <w:pPr>
        <w:ind w:left="220" w:hanging="217"/>
        <w:spacing w:after="0"/>
        <w:tabs>
          <w:tab w:leader="none" w:pos="2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Represents accelerated amortization of operating lease right-of-use assets, early lease termination costs and severance costs incurred due to the closure of our Canada facilities recognized in cost of sales.</w:t>
      </w:r>
    </w:p>
    <w:p>
      <w:pPr>
        <w:spacing w:after="0" w:line="55" w:lineRule="exact"/>
        <w:rPr>
          <w:rFonts w:ascii="Arial" w:cs="Arial" w:eastAsia="Arial" w:hAnsi="Arial"/>
          <w:sz w:val="12"/>
          <w:szCs w:val="12"/>
          <w:color w:val="auto"/>
        </w:rPr>
      </w:pPr>
    </w:p>
    <w:p>
      <w:pPr>
        <w:jc w:val="both"/>
        <w:ind w:left="240" w:right="80" w:hanging="237"/>
        <w:spacing w:after="0" w:line="275" w:lineRule="auto"/>
        <w:tabs>
          <w:tab w:leader="none" w:pos="232"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Represents tariff charges levied on USMCA-compliant goods imported from Mexico for the three-day period from March 4th to March 6th, 2025. The extremely short-term nature of the charges prevented the Company from effectively passing the charges in both pricing to customers and prices paid for goods from suppliers. USMCA-compliant goods have subsequently been exempted from tariff charges on U.S. imports and additional adjustments are not expected in the future.</w:t>
      </w:r>
    </w:p>
    <w:p>
      <w:pPr>
        <w:spacing w:after="0" w:line="15" w:lineRule="exact"/>
        <w:rPr>
          <w:rFonts w:ascii="Arial" w:cs="Arial" w:eastAsia="Arial" w:hAnsi="Arial"/>
          <w:sz w:val="12"/>
          <w:szCs w:val="12"/>
          <w:color w:val="auto"/>
        </w:rPr>
      </w:pPr>
    </w:p>
    <w:p>
      <w:pPr>
        <w:ind w:left="220" w:hanging="217"/>
        <w:spacing w:after="0"/>
        <w:tabs>
          <w:tab w:leader="none" w:pos="2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Represents net income (loss) attributable to noncontrolling interest plus the impact of non-GAAP adjustments, allocable to the noncontrolling owner based on their percentage of ownership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9" w:name="page20"/>
    <w:bookmarkEnd w:id="19"/>
    <w:p>
      <w:pPr>
        <w:spacing w:after="0" w:line="19"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34" w:lineRule="exact"/>
        <w:rPr>
          <w:sz w:val="20"/>
          <w:szCs w:val="20"/>
          <w:color w:val="auto"/>
        </w:rPr>
      </w:pPr>
    </w:p>
    <w:p>
      <w:pPr>
        <w:ind w:right="140" w:firstLine="619"/>
        <w:spacing w:after="0" w:line="253" w:lineRule="auto"/>
        <w:rPr>
          <w:sz w:val="20"/>
          <w:szCs w:val="20"/>
          <w:color w:val="auto"/>
        </w:rPr>
      </w:pPr>
      <w:r>
        <w:rPr>
          <w:rFonts w:ascii="Arial" w:cs="Arial" w:eastAsia="Arial" w:hAnsi="Arial"/>
          <w:sz w:val="14"/>
          <w:szCs w:val="14"/>
          <w:color w:val="auto"/>
        </w:rPr>
        <w:t>You should read the following discussion and analysis of our financial condition and results of operations together with our unaudited financial statements and related notes included elsewhere in this quarterly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Please refer to the section of this report under the heading “Forward Looking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ind w:right="40" w:firstLine="619"/>
        <w:spacing w:after="0" w:line="283" w:lineRule="auto"/>
        <w:rPr>
          <w:sz w:val="20"/>
          <w:szCs w:val="20"/>
          <w:color w:val="auto"/>
        </w:rPr>
      </w:pPr>
      <w:r>
        <w:rPr>
          <w:rFonts w:ascii="Arial" w:cs="Arial" w:eastAsia="Arial" w:hAnsi="Arial"/>
          <w:sz w:val="13"/>
          <w:szCs w:val="13"/>
          <w:color w:val="auto"/>
        </w:rPr>
        <w:t>We are a world leader in sourcing, producing, growing and distributing Hass avocados, serving retail, wholesale and foodservice customers. We source, produce, pack and distribute avocados along with other fruits, including mangos, to our customers and provide value-added services including ripening, bagging, custom packaging and logistical management. In addition, we provide our customers with merchandising and promotional support, insights on market trends and training designed to increase their retail avocado sales.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We have three operating segments which are also reportable segments:</w:t>
      </w:r>
    </w:p>
    <w:p>
      <w:pPr>
        <w:spacing w:after="0" w:line="174" w:lineRule="exact"/>
        <w:rPr>
          <w:sz w:val="20"/>
          <w:szCs w:val="20"/>
          <w:color w:val="auto"/>
        </w:rPr>
      </w:pPr>
    </w:p>
    <w:p>
      <w:pPr>
        <w:ind w:left="620" w:hanging="307"/>
        <w:spacing w:after="0"/>
        <w:tabs>
          <w:tab w:leader="none" w:pos="620" w:val="left"/>
        </w:tabs>
        <w:numPr>
          <w:ilvl w:val="0"/>
          <w:numId w:val="15"/>
        </w:numPr>
        <w:rPr>
          <w:rFonts w:ascii="Arial" w:cs="Arial" w:eastAsia="Arial" w:hAnsi="Arial"/>
          <w:sz w:val="14"/>
          <w:szCs w:val="14"/>
          <w:color w:val="auto"/>
        </w:rPr>
      </w:pPr>
      <w:r>
        <w:rPr>
          <w:rFonts w:ascii="Arial" w:cs="Arial" w:eastAsia="Arial" w:hAnsi="Arial"/>
          <w:sz w:val="14"/>
          <w:szCs w:val="14"/>
          <w:i w:val="1"/>
          <w:iCs w:val="1"/>
          <w:color w:val="auto"/>
        </w:rPr>
        <w:t xml:space="preserve">Marketing &amp; Distribution. </w:t>
      </w:r>
      <w:r>
        <w:rPr>
          <w:rFonts w:ascii="Arial" w:cs="Arial" w:eastAsia="Arial" w:hAnsi="Arial"/>
          <w:sz w:val="14"/>
          <w:szCs w:val="14"/>
          <w:color w:val="auto"/>
        </w:rPr>
        <w:t>Our Marketing &amp; Distribution reportable segment sources fruit from growers and then distributes the fruit through our global distribution network.</w:t>
      </w:r>
    </w:p>
    <w:p>
      <w:pPr>
        <w:spacing w:after="0" w:line="174" w:lineRule="exact"/>
        <w:rPr>
          <w:rFonts w:ascii="Arial" w:cs="Arial" w:eastAsia="Arial" w:hAnsi="Arial"/>
          <w:sz w:val="14"/>
          <w:szCs w:val="14"/>
          <w:color w:val="auto"/>
        </w:rPr>
      </w:pPr>
    </w:p>
    <w:p>
      <w:pPr>
        <w:ind w:left="620" w:right="180" w:hanging="307"/>
        <w:spacing w:after="0" w:line="264" w:lineRule="auto"/>
        <w:tabs>
          <w:tab w:leader="none" w:pos="616"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International Farming. </w:t>
      </w:r>
      <w:r>
        <w:rPr>
          <w:rFonts w:ascii="Arial" w:cs="Arial" w:eastAsia="Arial" w:hAnsi="Arial"/>
          <w:sz w:val="14"/>
          <w:szCs w:val="14"/>
          <w:color w:val="auto"/>
        </w:rPr>
        <w:t>International Farming owns and operates orchards from which the vast majority of fruit produced is sold to our Marketing &amp; Distribution segment. The</w:t>
      </w:r>
      <w:r>
        <w:rPr>
          <w:rFonts w:ascii="Arial" w:cs="Arial" w:eastAsia="Arial" w:hAnsi="Arial"/>
          <w:sz w:val="14"/>
          <w:szCs w:val="14"/>
          <w:i w:val="1"/>
          <w:iCs w:val="1"/>
          <w:color w:val="auto"/>
        </w:rPr>
        <w:t xml:space="preserve"> </w:t>
      </w:r>
      <w:r>
        <w:rPr>
          <w:rFonts w:ascii="Arial" w:cs="Arial" w:eastAsia="Arial" w:hAnsi="Arial"/>
          <w:sz w:val="14"/>
          <w:szCs w:val="14"/>
          <w:color w:val="auto"/>
        </w:rPr>
        <w:t>segment’s farming activities range from cultivating early-stage plantings to harvesting from mature trees. It also earns service revenues for packing and processing fruit for both our Blueberries segment, as well as for third-party producers of other crops. Operations are principally located in Peru and Guatemala.</w:t>
      </w:r>
    </w:p>
    <w:p>
      <w:pPr>
        <w:spacing w:after="0" w:line="139" w:lineRule="exact"/>
        <w:rPr>
          <w:rFonts w:ascii="Arial" w:cs="Arial" w:eastAsia="Arial" w:hAnsi="Arial"/>
          <w:sz w:val="14"/>
          <w:szCs w:val="14"/>
          <w:i w:val="1"/>
          <w:iCs w:val="1"/>
          <w:color w:val="auto"/>
        </w:rPr>
      </w:pPr>
    </w:p>
    <w:p>
      <w:pPr>
        <w:ind w:left="620" w:right="300" w:hanging="307"/>
        <w:spacing w:after="0" w:line="278" w:lineRule="auto"/>
        <w:tabs>
          <w:tab w:leader="none" w:pos="616" w:val="left"/>
        </w:tabs>
        <w:numPr>
          <w:ilvl w:val="0"/>
          <w:numId w:val="15"/>
        </w:numPr>
        <w:rPr>
          <w:rFonts w:ascii="Arial" w:cs="Arial" w:eastAsia="Arial" w:hAnsi="Arial"/>
          <w:sz w:val="14"/>
          <w:szCs w:val="14"/>
          <w:color w:val="auto"/>
        </w:rPr>
      </w:pPr>
      <w:r>
        <w:rPr>
          <w:rFonts w:ascii="Arial" w:cs="Arial" w:eastAsia="Arial" w:hAnsi="Arial"/>
          <w:sz w:val="14"/>
          <w:szCs w:val="14"/>
          <w:i w:val="1"/>
          <w:iCs w:val="1"/>
          <w:color w:val="auto"/>
        </w:rPr>
        <w:t xml:space="preserve">Blueberries. </w:t>
      </w:r>
      <w:r>
        <w:rPr>
          <w:rFonts w:ascii="Arial" w:cs="Arial" w:eastAsia="Arial" w:hAnsi="Arial"/>
          <w:sz w:val="14"/>
          <w:szCs w:val="14"/>
          <w:color w:val="auto"/>
        </w:rPr>
        <w:t>The Blueberries segment consists of farming activities that include cultivating early-stage blueberry plantings and harvesting mature bushes. Substantially all</w:t>
      </w:r>
      <w:r>
        <w:rPr>
          <w:rFonts w:ascii="Arial" w:cs="Arial" w:eastAsia="Arial" w:hAnsi="Arial"/>
          <w:sz w:val="14"/>
          <w:szCs w:val="14"/>
          <w:i w:val="1"/>
          <w:iCs w:val="1"/>
          <w:color w:val="auto"/>
        </w:rPr>
        <w:t xml:space="preserve"> </w:t>
      </w:r>
      <w:r>
        <w:rPr>
          <w:rFonts w:ascii="Arial" w:cs="Arial" w:eastAsia="Arial" w:hAnsi="Arial"/>
          <w:sz w:val="14"/>
          <w:szCs w:val="14"/>
          <w:color w:val="auto"/>
        </w:rPr>
        <w:t>blueberries produced are sold to a single distributor under an exclusive marketing agreement.</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Macroeconomic environment</w:t>
      </w:r>
    </w:p>
    <w:p>
      <w:pPr>
        <w:spacing w:after="0" w:line="221" w:lineRule="exact"/>
        <w:rPr>
          <w:sz w:val="20"/>
          <w:szCs w:val="20"/>
          <w:color w:val="auto"/>
        </w:rPr>
      </w:pPr>
    </w:p>
    <w:p>
      <w:pPr>
        <w:ind w:right="40" w:firstLine="619"/>
        <w:spacing w:after="0" w:line="293" w:lineRule="auto"/>
        <w:rPr>
          <w:sz w:val="20"/>
          <w:szCs w:val="20"/>
          <w:color w:val="auto"/>
        </w:rPr>
      </w:pPr>
      <w:r>
        <w:rPr>
          <w:rFonts w:ascii="Arial" w:cs="Arial" w:eastAsia="Arial" w:hAnsi="Arial"/>
          <w:sz w:val="13"/>
          <w:szCs w:val="13"/>
          <w:color w:val="auto"/>
        </w:rPr>
        <w:t>On February 1, 2025, the United States imposed 25% tariffs against certain foreign goods, including a 25% tariff on all imports from Mexico. The tariffs were effective March 4 through March 6, 2025, during which we incurred $1.1 million in tariffs on Mexican imports. Due to the abrupt and brief duration of tariff application, we were unable to effectively pass the charges to customers. On March 6, 2025, the United States exempted imports from Mexico satisfying the United States–Mexico–Canada Agreement (USMCA) requirements.</w:t>
      </w:r>
    </w:p>
    <w:p>
      <w:pPr>
        <w:spacing w:after="0" w:line="162" w:lineRule="exact"/>
        <w:rPr>
          <w:sz w:val="20"/>
          <w:szCs w:val="20"/>
          <w:color w:val="auto"/>
        </w:rPr>
      </w:pPr>
    </w:p>
    <w:p>
      <w:pPr>
        <w:ind w:right="40" w:firstLine="619"/>
        <w:spacing w:after="0" w:line="253" w:lineRule="auto"/>
        <w:rPr>
          <w:sz w:val="20"/>
          <w:szCs w:val="20"/>
          <w:color w:val="auto"/>
        </w:rPr>
      </w:pPr>
      <w:r>
        <w:rPr>
          <w:rFonts w:ascii="Arial" w:cs="Arial" w:eastAsia="Arial" w:hAnsi="Arial"/>
          <w:sz w:val="14"/>
          <w:szCs w:val="14"/>
          <w:color w:val="auto"/>
        </w:rPr>
        <w:t>On April 2, 2025, the U.S. imposed a minimum 10% tariff on all foreign imports, effective April 9, 2025. Our imported avocados are primarily sourced from Mexico and Peru with additional sourcing from various Central and South American countries. As Mexican fruit is exempted under the USMCA, we are primarily impacted by 10% tariffs on Peruvian fruit. Our International Farming segment cultivates and exports avocados from Peru. Sales of Peruvian fruit are concentrated in the second half of the fiscal year in alignment with the Peruvian avocado harvest season. If we are unable to pass the cost of tariffs to customers, we could experience an adverse impact on gross profit.</w:t>
      </w:r>
    </w:p>
    <w:p>
      <w:pPr>
        <w:spacing w:after="0" w:line="185" w:lineRule="exact"/>
        <w:rPr>
          <w:sz w:val="20"/>
          <w:szCs w:val="20"/>
          <w:color w:val="auto"/>
        </w:rPr>
      </w:pPr>
    </w:p>
    <w:p>
      <w:pPr>
        <w:ind w:firstLine="619"/>
        <w:spacing w:after="0" w:line="278" w:lineRule="auto"/>
        <w:rPr>
          <w:sz w:val="20"/>
          <w:szCs w:val="20"/>
          <w:color w:val="auto"/>
        </w:rPr>
      </w:pPr>
      <w:r>
        <w:rPr>
          <w:rFonts w:ascii="Arial" w:cs="Arial" w:eastAsia="Arial" w:hAnsi="Arial"/>
          <w:sz w:val="14"/>
          <w:szCs w:val="14"/>
          <w:color w:val="auto"/>
        </w:rPr>
        <w:t>If U.S. or global trade policies change again, our costs of foreign fruit could be impacted. It is difficult to predict the impact of future changes. We continue to monitor regulatory changes and their impact on our industry, and are actively strategizing to align our pricing strategy to policy changes.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Supply chain optimization</w:t>
      </w:r>
    </w:p>
    <w:p>
      <w:pPr>
        <w:spacing w:after="0" w:line="234" w:lineRule="exact"/>
        <w:rPr>
          <w:sz w:val="20"/>
          <w:szCs w:val="20"/>
          <w:color w:val="auto"/>
        </w:rPr>
      </w:pPr>
    </w:p>
    <w:p>
      <w:pPr>
        <w:ind w:right="320" w:firstLine="619"/>
        <w:spacing w:after="0" w:line="253" w:lineRule="auto"/>
        <w:rPr>
          <w:sz w:val="20"/>
          <w:szCs w:val="20"/>
          <w:color w:val="auto"/>
        </w:rPr>
      </w:pPr>
      <w:r>
        <w:rPr>
          <w:rFonts w:ascii="Arial" w:cs="Arial" w:eastAsia="Arial" w:hAnsi="Arial"/>
          <w:sz w:val="14"/>
          <w:szCs w:val="14"/>
          <w:color w:val="auto"/>
        </w:rPr>
        <w:t>The Company closed its Canadian distribution centers within its Marketing &amp; Distribution segment during the first quarter of 2025. In connection with the closure, we recognized approximately $1.5 million in charges during the three months ended April 30, 2025 and $2.9 million for the six months ended April 30, 2025. Charges consisted of accelerated depreciation expense of property, plant and equipment, accelerated amortization expense of operating lease right-of-use assets, loss on disposal of property, plant and equipment and severance costs. Distribution volume from these facilities has been absorbed by our other distribution centers and third-party service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 w:name="page21"/>
    <w:bookmarkEnd w:id="20"/>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8" w:lineRule="exact"/>
        <w:rPr>
          <w:sz w:val="20"/>
          <w:szCs w:val="20"/>
          <w:color w:val="auto"/>
        </w:rPr>
      </w:pPr>
    </w:p>
    <w:p>
      <w:pPr>
        <w:ind w:right="100" w:firstLine="619"/>
        <w:spacing w:after="0" w:line="253" w:lineRule="auto"/>
        <w:rPr>
          <w:sz w:val="20"/>
          <w:szCs w:val="20"/>
          <w:color w:val="auto"/>
        </w:rPr>
      </w:pPr>
      <w:r>
        <w:rPr>
          <w:rFonts w:ascii="Arial" w:cs="Arial" w:eastAsia="Arial" w:hAnsi="Arial"/>
          <w:sz w:val="14"/>
          <w:szCs w:val="14"/>
          <w:color w:val="auto"/>
        </w:rPr>
        <w:t>The operating results of our businesses are significantly impacted by the price and volume of fruit we farm, source and distribute. In addition, our results have been, and will continue to be, affected by quarterly and annual fluctuations due to a number of factors, including but not limited to: pests and disease; weather patterns; changes in demand by consumers; food safety advisories; the timing of the receipt, reduction or cancellation of significant customer orders; the gain or loss of significant customers; the availability, quality and price of raw materials; the utilization of capacity at our various locations; and general economic conditions.</w:t>
      </w:r>
    </w:p>
    <w:p>
      <w:pPr>
        <w:spacing w:after="0" w:line="185"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Our financial reporting currency is the U.S. dollar. The functional currency of our most significant subsidiaries is the U.S. dollar and the majority of our sales are denominated in U.S. dollars. A significant portion of our purchases of avocados are denominated in the Mexican Peso and a significant portion of our growing and harvesting costs are denominated in Peruvian Soles. Fluctuations in the exchange rates between the U.S. dollar and these local currencies usually do not have a significant impact on our gross margin because the impact affects our pricing by comparable amounts. Our margin exposure to exchange rate fluctuations is short-term in nature, as our sales price commitments are generally limited to less than one month and orders can primarily be serviced with procured inventory. Over longer periods of time, we believe that the impact exchange rate fluctuations will have on our cost of goods sold will largely be passed on to our customers in the form of higher or lower prices.</w:t>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3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4"/>
                <w:szCs w:val="14"/>
                <w:b w:val="1"/>
                <w:bCs w:val="1"/>
                <w:color w:val="auto"/>
              </w:rPr>
              <w:t>April 30,</w:t>
            </w:r>
          </w:p>
        </w:tc>
        <w:tc>
          <w:tcPr>
            <w:tcW w:w="6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4"/>
                <w:szCs w:val="14"/>
                <w:b w:val="1"/>
                <w:bCs w:val="1"/>
                <w:color w:val="auto"/>
              </w:rPr>
              <w:t>April 30,</w:t>
            </w:r>
          </w:p>
        </w:tc>
        <w:tc>
          <w:tcPr>
            <w:tcW w:w="7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for percentages)</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Dollars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6"/>
              </w:rPr>
              <w:t>Dollars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Dollars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Dollars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sales</w:t>
            </w:r>
          </w:p>
        </w:tc>
        <w:tc>
          <w:tcPr>
            <w:tcW w:w="34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380.3</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180" w:type="dxa"/>
            <w:vAlign w:val="bottom"/>
            <w:tcBorders>
              <w:bottom w:val="single" w:sz="8" w:color="DBDBDB"/>
            </w:tcBorders>
            <w:shd w:val="clear" w:color="auto" w:fill="DBDBDB"/>
          </w:tcPr>
          <w:p>
            <w:pPr>
              <w:spacing w:after="0"/>
              <w:rPr>
                <w:sz w:val="17"/>
                <w:szCs w:val="17"/>
                <w:color w:val="auto"/>
              </w:rPr>
            </w:pPr>
          </w:p>
        </w:tc>
        <w:tc>
          <w:tcPr>
            <w:tcW w:w="58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297.6</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16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714.5</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180" w:type="dxa"/>
            <w:vAlign w:val="bottom"/>
            <w:tcBorders>
              <w:bottom w:val="single" w:sz="8" w:color="DBDBDB"/>
            </w:tcBorders>
            <w:shd w:val="clear" w:color="auto" w:fill="DBDBDB"/>
          </w:tcPr>
          <w:p>
            <w:pPr>
              <w:spacing w:after="0"/>
              <w:rPr>
                <w:sz w:val="17"/>
                <w:szCs w:val="17"/>
                <w:color w:val="auto"/>
              </w:rPr>
            </w:pPr>
          </w:p>
        </w:tc>
        <w:tc>
          <w:tcPr>
            <w:tcW w:w="56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556.3</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99"/>
        </w:trPr>
        <w:tc>
          <w:tcPr>
            <w:tcW w:w="318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340" w:type="dxa"/>
            <w:vAlign w:val="bottom"/>
          </w:tcPr>
          <w:p>
            <w:pPr>
              <w:spacing w:after="0"/>
              <w:rPr>
                <w:sz w:val="17"/>
                <w:szCs w:val="17"/>
                <w:color w:val="auto"/>
              </w:rPr>
            </w:pP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351.9</w:t>
            </w:r>
          </w:p>
        </w:tc>
        <w:tc>
          <w:tcPr>
            <w:tcW w:w="680" w:type="dxa"/>
            <w:vAlign w:val="bottom"/>
          </w:tcPr>
          <w:p>
            <w:pPr>
              <w:jc w:val="right"/>
              <w:spacing w:after="0"/>
              <w:rPr>
                <w:sz w:val="20"/>
                <w:szCs w:val="20"/>
                <w:color w:val="auto"/>
              </w:rPr>
            </w:pPr>
            <w:r>
              <w:rPr>
                <w:rFonts w:ascii="Arial" w:cs="Arial" w:eastAsia="Arial" w:hAnsi="Arial"/>
                <w:sz w:val="14"/>
                <w:szCs w:val="14"/>
                <w:color w:val="auto"/>
              </w:rPr>
              <w:t>93 %</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color w:val="auto"/>
              </w:rPr>
              <w:t>266.6</w:t>
            </w:r>
          </w:p>
        </w:tc>
        <w:tc>
          <w:tcPr>
            <w:tcW w:w="600" w:type="dxa"/>
            <w:vAlign w:val="bottom"/>
          </w:tcPr>
          <w:p>
            <w:pPr>
              <w:jc w:val="right"/>
              <w:spacing w:after="0"/>
              <w:rPr>
                <w:sz w:val="20"/>
                <w:szCs w:val="20"/>
                <w:color w:val="auto"/>
              </w:rPr>
            </w:pPr>
            <w:r>
              <w:rPr>
                <w:rFonts w:ascii="Arial" w:cs="Arial" w:eastAsia="Arial" w:hAnsi="Arial"/>
                <w:sz w:val="14"/>
                <w:szCs w:val="14"/>
                <w:color w:val="auto"/>
              </w:rPr>
              <w:t>90 %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654.6</w:t>
            </w:r>
          </w:p>
        </w:tc>
        <w:tc>
          <w:tcPr>
            <w:tcW w:w="640" w:type="dxa"/>
            <w:vAlign w:val="bottom"/>
          </w:tcPr>
          <w:p>
            <w:pPr>
              <w:jc w:val="right"/>
              <w:spacing w:after="0"/>
              <w:rPr>
                <w:sz w:val="20"/>
                <w:szCs w:val="20"/>
                <w:color w:val="auto"/>
              </w:rPr>
            </w:pPr>
            <w:r>
              <w:rPr>
                <w:rFonts w:ascii="Arial" w:cs="Arial" w:eastAsia="Arial" w:hAnsi="Arial"/>
                <w:sz w:val="14"/>
                <w:szCs w:val="14"/>
                <w:color w:val="auto"/>
              </w:rPr>
              <w:t>92 %</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color w:val="auto"/>
              </w:rPr>
              <w:t>496.6</w:t>
            </w:r>
          </w:p>
        </w:tc>
        <w:tc>
          <w:tcPr>
            <w:tcW w:w="600" w:type="dxa"/>
            <w:vAlign w:val="bottom"/>
          </w:tcPr>
          <w:p>
            <w:pPr>
              <w:jc w:val="right"/>
              <w:spacing w:after="0"/>
              <w:rPr>
                <w:sz w:val="20"/>
                <w:szCs w:val="20"/>
                <w:color w:val="auto"/>
              </w:rPr>
            </w:pPr>
            <w:r>
              <w:rPr>
                <w:rFonts w:ascii="Arial" w:cs="Arial" w:eastAsia="Arial" w:hAnsi="Arial"/>
                <w:sz w:val="14"/>
                <w:szCs w:val="14"/>
                <w:color w:val="auto"/>
              </w:rPr>
              <w:t>89 %</w:t>
            </w:r>
          </w:p>
        </w:tc>
        <w:tc>
          <w:tcPr>
            <w:tcW w:w="0" w:type="dxa"/>
            <w:vAlign w:val="bottom"/>
          </w:tcPr>
          <w:p>
            <w:pPr>
              <w:spacing w:after="0"/>
              <w:rPr>
                <w:sz w:val="1"/>
                <w:szCs w:val="1"/>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Gross profit</w:t>
            </w:r>
          </w:p>
        </w:tc>
        <w:tc>
          <w:tcPr>
            <w:tcW w:w="34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28.4</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7 %</w:t>
            </w:r>
          </w:p>
        </w:tc>
        <w:tc>
          <w:tcPr>
            <w:tcW w:w="180" w:type="dxa"/>
            <w:vAlign w:val="bottom"/>
            <w:tcBorders>
              <w:bottom w:val="single" w:sz="8" w:color="DBDBDB"/>
            </w:tcBorders>
            <w:shd w:val="clear" w:color="auto" w:fill="DBDBDB"/>
          </w:tcPr>
          <w:p>
            <w:pPr>
              <w:spacing w:after="0"/>
              <w:rPr>
                <w:sz w:val="16"/>
                <w:szCs w:val="16"/>
                <w:color w:val="auto"/>
              </w:rPr>
            </w:pPr>
          </w:p>
        </w:tc>
        <w:tc>
          <w:tcPr>
            <w:tcW w:w="580" w:type="dxa"/>
            <w:vAlign w:val="bottom"/>
            <w:tcBorders>
              <w:bottom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31.0</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10 %</w:t>
            </w:r>
          </w:p>
        </w:tc>
        <w:tc>
          <w:tcPr>
            <w:tcW w:w="16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59.9</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8 %</w:t>
            </w:r>
          </w:p>
        </w:tc>
        <w:tc>
          <w:tcPr>
            <w:tcW w:w="180" w:type="dxa"/>
            <w:vAlign w:val="bottom"/>
            <w:tcBorders>
              <w:bottom w:val="single" w:sz="8" w:color="DBDBDB"/>
            </w:tcBorders>
            <w:shd w:val="clear" w:color="auto" w:fill="DBDBDB"/>
          </w:tcPr>
          <w:p>
            <w:pPr>
              <w:spacing w:after="0"/>
              <w:rPr>
                <w:sz w:val="16"/>
                <w:szCs w:val="16"/>
                <w:color w:val="auto"/>
              </w:rPr>
            </w:pPr>
          </w:p>
        </w:tc>
        <w:tc>
          <w:tcPr>
            <w:tcW w:w="56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59.7</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99"/>
        </w:trPr>
        <w:tc>
          <w:tcPr>
            <w:tcW w:w="318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340" w:type="dxa"/>
            <w:vAlign w:val="bottom"/>
          </w:tcPr>
          <w:p>
            <w:pPr>
              <w:spacing w:after="0"/>
              <w:rPr>
                <w:sz w:val="17"/>
                <w:szCs w:val="17"/>
                <w:color w:val="auto"/>
              </w:rPr>
            </w:pP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21.5</w:t>
            </w:r>
          </w:p>
        </w:tc>
        <w:tc>
          <w:tcPr>
            <w:tcW w:w="680" w:type="dxa"/>
            <w:vAlign w:val="bottom"/>
          </w:tcPr>
          <w:p>
            <w:pPr>
              <w:jc w:val="right"/>
              <w:spacing w:after="0"/>
              <w:rPr>
                <w:sz w:val="20"/>
                <w:szCs w:val="20"/>
                <w:color w:val="auto"/>
              </w:rPr>
            </w:pPr>
            <w:r>
              <w:rPr>
                <w:rFonts w:ascii="Arial" w:cs="Arial" w:eastAsia="Arial" w:hAnsi="Arial"/>
                <w:sz w:val="14"/>
                <w:szCs w:val="14"/>
                <w:color w:val="auto"/>
              </w:rPr>
              <w:t>6 %</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color w:val="auto"/>
              </w:rPr>
              <w:t>18.7</w:t>
            </w:r>
          </w:p>
        </w:tc>
        <w:tc>
          <w:tcPr>
            <w:tcW w:w="600" w:type="dxa"/>
            <w:vAlign w:val="bottom"/>
          </w:tcPr>
          <w:p>
            <w:pPr>
              <w:jc w:val="right"/>
              <w:spacing w:after="0"/>
              <w:rPr>
                <w:sz w:val="20"/>
                <w:szCs w:val="20"/>
                <w:color w:val="auto"/>
              </w:rPr>
            </w:pPr>
            <w:r>
              <w:rPr>
                <w:rFonts w:ascii="Arial" w:cs="Arial" w:eastAsia="Arial" w:hAnsi="Arial"/>
                <w:sz w:val="14"/>
                <w:szCs w:val="14"/>
                <w:color w:val="auto"/>
              </w:rPr>
              <w:t>6 %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43.7</w:t>
            </w:r>
          </w:p>
        </w:tc>
        <w:tc>
          <w:tcPr>
            <w:tcW w:w="640" w:type="dxa"/>
            <w:vAlign w:val="bottom"/>
          </w:tcPr>
          <w:p>
            <w:pPr>
              <w:jc w:val="right"/>
              <w:spacing w:after="0"/>
              <w:rPr>
                <w:sz w:val="20"/>
                <w:szCs w:val="20"/>
                <w:color w:val="auto"/>
              </w:rPr>
            </w:pPr>
            <w:r>
              <w:rPr>
                <w:rFonts w:ascii="Arial" w:cs="Arial" w:eastAsia="Arial" w:hAnsi="Arial"/>
                <w:sz w:val="14"/>
                <w:szCs w:val="14"/>
                <w:color w:val="auto"/>
              </w:rPr>
              <w:t>6 %</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color w:val="auto"/>
              </w:rPr>
              <w:t>39.4</w:t>
            </w:r>
          </w:p>
        </w:tc>
        <w:tc>
          <w:tcPr>
            <w:tcW w:w="600" w:type="dxa"/>
            <w:vAlign w:val="bottom"/>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Operating income</w:t>
            </w:r>
          </w:p>
        </w:tc>
        <w:tc>
          <w:tcPr>
            <w:tcW w:w="34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6.9</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2 %</w:t>
            </w:r>
          </w:p>
        </w:tc>
        <w:tc>
          <w:tcPr>
            <w:tcW w:w="180" w:type="dxa"/>
            <w:vAlign w:val="bottom"/>
            <w:tcBorders>
              <w:bottom w:val="single" w:sz="8" w:color="DBDBDB"/>
            </w:tcBorders>
            <w:shd w:val="clear" w:color="auto" w:fill="DBDBDB"/>
          </w:tcPr>
          <w:p>
            <w:pPr>
              <w:spacing w:after="0"/>
              <w:rPr>
                <w:sz w:val="16"/>
                <w:szCs w:val="16"/>
                <w:color w:val="auto"/>
              </w:rPr>
            </w:pPr>
          </w:p>
        </w:tc>
        <w:tc>
          <w:tcPr>
            <w:tcW w:w="580" w:type="dxa"/>
            <w:vAlign w:val="bottom"/>
            <w:tcBorders>
              <w:bottom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12.3</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4 %</w:t>
            </w:r>
          </w:p>
        </w:tc>
        <w:tc>
          <w:tcPr>
            <w:tcW w:w="16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16.2</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2 %</w:t>
            </w:r>
          </w:p>
        </w:tc>
        <w:tc>
          <w:tcPr>
            <w:tcW w:w="180" w:type="dxa"/>
            <w:vAlign w:val="bottom"/>
            <w:tcBorders>
              <w:bottom w:val="single" w:sz="8" w:color="DBDBDB"/>
            </w:tcBorders>
            <w:shd w:val="clear" w:color="auto" w:fill="DBDBDB"/>
          </w:tcPr>
          <w:p>
            <w:pPr>
              <w:spacing w:after="0"/>
              <w:rPr>
                <w:sz w:val="16"/>
                <w:szCs w:val="16"/>
                <w:color w:val="auto"/>
              </w:rPr>
            </w:pPr>
          </w:p>
        </w:tc>
        <w:tc>
          <w:tcPr>
            <w:tcW w:w="56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20.3</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99"/>
        </w:trPr>
        <w:tc>
          <w:tcPr>
            <w:tcW w:w="31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7"/>
                <w:szCs w:val="17"/>
                <w:color w:val="auto"/>
              </w:rPr>
            </w:pPr>
          </w:p>
        </w:tc>
        <w:tc>
          <w:tcPr>
            <w:tcW w:w="840" w:type="dxa"/>
            <w:vAlign w:val="bottom"/>
          </w:tcPr>
          <w:p>
            <w:pPr>
              <w:jc w:val="right"/>
              <w:ind w:right="51"/>
              <w:spacing w:after="0"/>
              <w:rPr>
                <w:sz w:val="20"/>
                <w:szCs w:val="20"/>
                <w:color w:val="auto"/>
              </w:rPr>
            </w:pPr>
            <w:r>
              <w:rPr>
                <w:rFonts w:ascii="Arial" w:cs="Arial" w:eastAsia="Arial" w:hAnsi="Arial"/>
                <w:sz w:val="14"/>
                <w:szCs w:val="14"/>
                <w:color w:val="auto"/>
              </w:rPr>
              <w:t>(2.5)</w:t>
            </w: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jc w:val="right"/>
              <w:ind w:right="151"/>
              <w:spacing w:after="0"/>
              <w:rPr>
                <w:sz w:val="20"/>
                <w:szCs w:val="20"/>
                <w:color w:val="auto"/>
              </w:rPr>
            </w:pPr>
            <w:r>
              <w:rPr>
                <w:rFonts w:ascii="Arial" w:cs="Arial" w:eastAsia="Arial" w:hAnsi="Arial"/>
                <w:sz w:val="14"/>
                <w:szCs w:val="14"/>
                <w:color w:val="auto"/>
              </w:rPr>
              <w:t>(3.4)</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91"/>
              <w:spacing w:after="0"/>
              <w:rPr>
                <w:sz w:val="20"/>
                <w:szCs w:val="20"/>
                <w:color w:val="auto"/>
              </w:rPr>
            </w:pPr>
            <w:r>
              <w:rPr>
                <w:rFonts w:ascii="Arial" w:cs="Arial" w:eastAsia="Arial" w:hAnsi="Arial"/>
                <w:sz w:val="14"/>
                <w:szCs w:val="14"/>
                <w:color w:val="auto"/>
              </w:rPr>
              <w:t>(4.7)</w:t>
            </w: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ind w:right="151"/>
              <w:spacing w:after="0"/>
              <w:rPr>
                <w:sz w:val="20"/>
                <w:szCs w:val="20"/>
                <w:color w:val="auto"/>
              </w:rPr>
            </w:pPr>
            <w:r>
              <w:rPr>
                <w:rFonts w:ascii="Arial" w:cs="Arial" w:eastAsia="Arial" w:hAnsi="Arial"/>
                <w:sz w:val="14"/>
                <w:szCs w:val="14"/>
                <w:color w:val="auto"/>
              </w:rPr>
              <w:t>(6.7)</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34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0.9</w:t>
            </w:r>
          </w:p>
        </w:tc>
        <w:tc>
          <w:tcPr>
            <w:tcW w:w="860" w:type="dxa"/>
            <w:vAlign w:val="bottom"/>
            <w:tcBorders>
              <w:bottom w:val="single" w:sz="8" w:color="DBDBDB"/>
            </w:tcBorders>
            <w:gridSpan w:val="2"/>
            <w:shd w:val="clear" w:color="auto" w:fill="DBDBDB"/>
          </w:tcPr>
          <w:p>
            <w:pPr>
              <w:jc w:val="right"/>
              <w:ind w:right="200"/>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0.5</w:t>
            </w:r>
          </w:p>
        </w:tc>
        <w:tc>
          <w:tcPr>
            <w:tcW w:w="760" w:type="dxa"/>
            <w:vAlign w:val="bottom"/>
            <w:tcBorders>
              <w:bottom w:val="single" w:sz="8" w:color="DBDBDB"/>
            </w:tcBorders>
            <w:gridSpan w:val="2"/>
            <w:shd w:val="clear" w:color="auto" w:fill="DBDBDB"/>
          </w:tcPr>
          <w:p>
            <w:pPr>
              <w:jc w:val="right"/>
              <w:ind w:right="180"/>
              <w:spacing w:after="0"/>
              <w:rPr>
                <w:sz w:val="20"/>
                <w:szCs w:val="20"/>
                <w:color w:val="auto"/>
              </w:rPr>
            </w:pPr>
            <w:r>
              <w:rPr>
                <w:rFonts w:ascii="Arial" w:cs="Arial" w:eastAsia="Arial" w:hAnsi="Arial"/>
                <w:sz w:val="14"/>
                <w:szCs w:val="14"/>
                <w:color w:val="auto"/>
              </w:rPr>
              <w:t>— %</w:t>
            </w:r>
          </w:p>
        </w:tc>
        <w:tc>
          <w:tcPr>
            <w:tcW w:w="34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1.7</w:t>
            </w:r>
          </w:p>
        </w:tc>
        <w:tc>
          <w:tcPr>
            <w:tcW w:w="820" w:type="dxa"/>
            <w:vAlign w:val="bottom"/>
            <w:tcBorders>
              <w:bottom w:val="single" w:sz="8" w:color="DBDBDB"/>
            </w:tcBorders>
            <w:gridSpan w:val="2"/>
            <w:shd w:val="clear" w:color="auto" w:fill="DBDBDB"/>
          </w:tcPr>
          <w:p>
            <w:pPr>
              <w:jc w:val="right"/>
              <w:ind w:right="200"/>
              <w:spacing w:after="0"/>
              <w:rPr>
                <w:sz w:val="20"/>
                <w:szCs w:val="20"/>
                <w:color w:val="auto"/>
              </w:rPr>
            </w:pPr>
            <w:r>
              <w:rPr>
                <w:rFonts w:ascii="Arial" w:cs="Arial" w:eastAsia="Arial" w:hAnsi="Arial"/>
                <w:sz w:val="14"/>
                <w:szCs w:val="14"/>
                <w:color w:val="auto"/>
              </w:rPr>
              <w:t>— %</w:t>
            </w:r>
          </w:p>
        </w:tc>
        <w:tc>
          <w:tcPr>
            <w:tcW w:w="56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0.9</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3180" w:type="dxa"/>
            <w:vAlign w:val="bottom"/>
          </w:tcPr>
          <w:p>
            <w:pPr>
              <w:ind w:left="20"/>
              <w:spacing w:after="0"/>
              <w:rPr>
                <w:sz w:val="20"/>
                <w:szCs w:val="20"/>
                <w:color w:val="auto"/>
              </w:rPr>
            </w:pPr>
            <w:r>
              <w:rPr>
                <w:rFonts w:ascii="Arial" w:cs="Arial" w:eastAsia="Arial" w:hAnsi="Arial"/>
                <w:sz w:val="14"/>
                <w:szCs w:val="14"/>
                <w:color w:val="auto"/>
              </w:rPr>
              <w:t>Other (expense) income, net</w:t>
            </w:r>
          </w:p>
        </w:tc>
        <w:tc>
          <w:tcPr>
            <w:tcW w:w="340" w:type="dxa"/>
            <w:vAlign w:val="bottom"/>
          </w:tcPr>
          <w:p>
            <w:pPr>
              <w:spacing w:after="0"/>
              <w:rPr>
                <w:sz w:val="17"/>
                <w:szCs w:val="17"/>
                <w:color w:val="auto"/>
              </w:rPr>
            </w:pPr>
          </w:p>
        </w:tc>
        <w:tc>
          <w:tcPr>
            <w:tcW w:w="840" w:type="dxa"/>
            <w:vAlign w:val="bottom"/>
          </w:tcPr>
          <w:p>
            <w:pPr>
              <w:jc w:val="right"/>
              <w:ind w:right="51"/>
              <w:spacing w:after="0"/>
              <w:rPr>
                <w:sz w:val="20"/>
                <w:szCs w:val="20"/>
                <w:color w:val="auto"/>
              </w:rPr>
            </w:pPr>
            <w:r>
              <w:rPr>
                <w:rFonts w:ascii="Arial" w:cs="Arial" w:eastAsia="Arial" w:hAnsi="Arial"/>
                <w:sz w:val="14"/>
                <w:szCs w:val="14"/>
                <w:color w:val="auto"/>
              </w:rPr>
              <w:t>(0.6)</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 %</w:t>
            </w:r>
          </w:p>
        </w:tc>
        <w:tc>
          <w:tcPr>
            <w:tcW w:w="580" w:type="dxa"/>
            <w:vAlign w:val="bottom"/>
          </w:tcPr>
          <w:p>
            <w:pPr>
              <w:spacing w:after="0"/>
              <w:rPr>
                <w:sz w:val="17"/>
                <w:szCs w:val="17"/>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color w:val="auto"/>
              </w:rPr>
              <w:t>1.0</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17"/>
                <w:szCs w:val="17"/>
                <w:color w:val="auto"/>
              </w:rPr>
            </w:pP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0.9</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 %</w:t>
            </w:r>
          </w:p>
        </w:tc>
        <w:tc>
          <w:tcPr>
            <w:tcW w:w="560" w:type="dxa"/>
            <w:vAlign w:val="bottom"/>
          </w:tcPr>
          <w:p>
            <w:pPr>
              <w:spacing w:after="0"/>
              <w:rPr>
                <w:sz w:val="17"/>
                <w:szCs w:val="17"/>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Income before income taxes</w:t>
            </w:r>
          </w:p>
        </w:tc>
        <w:tc>
          <w:tcPr>
            <w:tcW w:w="34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4.7</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1 %</w:t>
            </w:r>
          </w:p>
        </w:tc>
        <w:tc>
          <w:tcPr>
            <w:tcW w:w="180" w:type="dxa"/>
            <w:vAlign w:val="bottom"/>
            <w:tcBorders>
              <w:bottom w:val="single" w:sz="8" w:color="DBDBDB"/>
            </w:tcBorders>
            <w:shd w:val="clear" w:color="auto" w:fill="DBDBDB"/>
          </w:tcPr>
          <w:p>
            <w:pPr>
              <w:spacing w:after="0"/>
              <w:rPr>
                <w:sz w:val="16"/>
                <w:szCs w:val="16"/>
                <w:color w:val="auto"/>
              </w:rPr>
            </w:pPr>
          </w:p>
        </w:tc>
        <w:tc>
          <w:tcPr>
            <w:tcW w:w="580" w:type="dxa"/>
            <w:vAlign w:val="bottom"/>
            <w:tcBorders>
              <w:bottom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10.4</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3 %</w:t>
            </w:r>
          </w:p>
        </w:tc>
        <w:tc>
          <w:tcPr>
            <w:tcW w:w="16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14.1</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2 %</w:t>
            </w:r>
          </w:p>
        </w:tc>
        <w:tc>
          <w:tcPr>
            <w:tcW w:w="180" w:type="dxa"/>
            <w:vAlign w:val="bottom"/>
            <w:tcBorders>
              <w:bottom w:val="single" w:sz="8" w:color="DBDBDB"/>
            </w:tcBorders>
            <w:shd w:val="clear" w:color="auto" w:fill="DBDBDB"/>
          </w:tcPr>
          <w:p>
            <w:pPr>
              <w:spacing w:after="0"/>
              <w:rPr>
                <w:sz w:val="16"/>
                <w:szCs w:val="16"/>
                <w:color w:val="auto"/>
              </w:rPr>
            </w:pPr>
          </w:p>
        </w:tc>
        <w:tc>
          <w:tcPr>
            <w:tcW w:w="56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14.5</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9"/>
        </w:trPr>
        <w:tc>
          <w:tcPr>
            <w:tcW w:w="318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340" w:type="dxa"/>
            <w:vAlign w:val="bottom"/>
          </w:tcPr>
          <w:p>
            <w:pPr>
              <w:spacing w:after="0"/>
              <w:rPr>
                <w:sz w:val="17"/>
                <w:szCs w:val="17"/>
                <w:color w:val="auto"/>
              </w:rPr>
            </w:pP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1.7</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 %</w:t>
            </w:r>
          </w:p>
        </w:tc>
        <w:tc>
          <w:tcPr>
            <w:tcW w:w="580" w:type="dxa"/>
            <w:vAlign w:val="bottom"/>
          </w:tcPr>
          <w:p>
            <w:pPr>
              <w:spacing w:after="0"/>
              <w:rPr>
                <w:sz w:val="17"/>
                <w:szCs w:val="17"/>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color w:val="auto"/>
              </w:rPr>
              <w:t>3.4</w:t>
            </w:r>
          </w:p>
        </w:tc>
        <w:tc>
          <w:tcPr>
            <w:tcW w:w="600" w:type="dxa"/>
            <w:vAlign w:val="bottom"/>
          </w:tcPr>
          <w:p>
            <w:pPr>
              <w:jc w:val="right"/>
              <w:spacing w:after="0"/>
              <w:rPr>
                <w:sz w:val="20"/>
                <w:szCs w:val="20"/>
                <w:color w:val="auto"/>
              </w:rPr>
            </w:pPr>
            <w:r>
              <w:rPr>
                <w:rFonts w:ascii="Arial" w:cs="Arial" w:eastAsia="Arial" w:hAnsi="Arial"/>
                <w:sz w:val="14"/>
                <w:szCs w:val="14"/>
                <w:color w:val="auto"/>
              </w:rPr>
              <w:t>1 %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4.9</w:t>
            </w:r>
          </w:p>
        </w:tc>
        <w:tc>
          <w:tcPr>
            <w:tcW w:w="640" w:type="dxa"/>
            <w:vAlign w:val="bottom"/>
          </w:tcPr>
          <w:p>
            <w:pPr>
              <w:jc w:val="right"/>
              <w:spacing w:after="0"/>
              <w:rPr>
                <w:sz w:val="20"/>
                <w:szCs w:val="20"/>
                <w:color w:val="auto"/>
              </w:rPr>
            </w:pPr>
            <w:r>
              <w:rPr>
                <w:rFonts w:ascii="Arial" w:cs="Arial" w:eastAsia="Arial" w:hAnsi="Arial"/>
                <w:sz w:val="14"/>
                <w:szCs w:val="14"/>
                <w:color w:val="auto"/>
              </w:rPr>
              <w:t>1 %</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color w:val="auto"/>
              </w:rPr>
              <w:t>5.5</w:t>
            </w:r>
          </w:p>
        </w:tc>
        <w:tc>
          <w:tcPr>
            <w:tcW w:w="60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3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w:t>
            </w:r>
          </w:p>
        </w:tc>
        <w:tc>
          <w:tcPr>
            <w:tcW w:w="340" w:type="dxa"/>
            <w:vAlign w:val="bottom"/>
            <w:tcBorders>
              <w:bottom w:val="single" w:sz="8" w:color="DBDBDB"/>
            </w:tcBorders>
            <w:shd w:val="clear" w:color="auto" w:fill="DBDBDB"/>
          </w:tcPr>
          <w:p>
            <w:pPr>
              <w:spacing w:after="0"/>
              <w:rPr>
                <w:sz w:val="18"/>
                <w:szCs w:val="18"/>
                <w:color w:val="auto"/>
              </w:rPr>
            </w:pPr>
          </w:p>
        </w:tc>
        <w:tc>
          <w:tcPr>
            <w:tcW w:w="84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3.0</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1 %</w:t>
            </w:r>
          </w:p>
        </w:tc>
        <w:tc>
          <w:tcPr>
            <w:tcW w:w="18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7.0</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2 %</w:t>
            </w:r>
          </w:p>
        </w:tc>
        <w:tc>
          <w:tcPr>
            <w:tcW w:w="16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9.2</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1 %</w:t>
            </w:r>
          </w:p>
        </w:tc>
        <w:tc>
          <w:tcPr>
            <w:tcW w:w="180" w:type="dxa"/>
            <w:vAlign w:val="bottom"/>
            <w:tcBorders>
              <w:bottom w:val="single" w:sz="8" w:color="DBDBDB"/>
            </w:tcBorders>
            <w:shd w:val="clear" w:color="auto" w:fill="DBDBDB"/>
          </w:tcPr>
          <w:p>
            <w:pPr>
              <w:spacing w:after="0"/>
              <w:rPr>
                <w:sz w:val="18"/>
                <w:szCs w:val="18"/>
                <w:color w:val="auto"/>
              </w:rPr>
            </w:pPr>
          </w:p>
        </w:tc>
        <w:tc>
          <w:tcPr>
            <w:tcW w:w="56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9.0</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79"/>
        </w:trPr>
        <w:tc>
          <w:tcPr>
            <w:tcW w:w="3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Less:</w:t>
            </w:r>
          </w:p>
        </w:tc>
        <w:tc>
          <w:tcPr>
            <w:tcW w:w="3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80" w:type="dxa"/>
            <w:vAlign w:val="bottom"/>
          </w:tcPr>
          <w:p>
            <w:pPr>
              <w:ind w:left="180"/>
              <w:spacing w:after="0"/>
              <w:rPr>
                <w:sz w:val="20"/>
                <w:szCs w:val="20"/>
                <w:color w:val="auto"/>
              </w:rPr>
            </w:pPr>
            <w:r>
              <w:rPr>
                <w:rFonts w:ascii="Arial" w:cs="Arial" w:eastAsia="Arial" w:hAnsi="Arial"/>
                <w:sz w:val="14"/>
                <w:szCs w:val="14"/>
                <w:color w:val="auto"/>
              </w:rPr>
              <w:t>Net (loss) income attributable to noncontrolling</w:t>
            </w:r>
          </w:p>
        </w:tc>
        <w:tc>
          <w:tcPr>
            <w:tcW w:w="340" w:type="dxa"/>
            <w:vAlign w:val="bottom"/>
          </w:tcPr>
          <w:p>
            <w:pPr>
              <w:spacing w:after="0"/>
              <w:rPr>
                <w:sz w:val="14"/>
                <w:szCs w:val="14"/>
                <w:color w:val="auto"/>
              </w:rPr>
            </w:pPr>
          </w:p>
        </w:tc>
        <w:tc>
          <w:tcPr>
            <w:tcW w:w="840" w:type="dxa"/>
            <w:vAlign w:val="bottom"/>
            <w:vMerge w:val="restart"/>
          </w:tcPr>
          <w:p>
            <w:pPr>
              <w:jc w:val="right"/>
              <w:ind w:right="51"/>
              <w:spacing w:after="0"/>
              <w:rPr>
                <w:sz w:val="20"/>
                <w:szCs w:val="20"/>
                <w:color w:val="auto"/>
              </w:rPr>
            </w:pPr>
            <w:r>
              <w:rPr>
                <w:rFonts w:ascii="Arial" w:cs="Arial" w:eastAsia="Arial" w:hAnsi="Arial"/>
                <w:sz w:val="14"/>
                <w:szCs w:val="14"/>
                <w:color w:val="auto"/>
              </w:rPr>
              <w:t>(0.1)</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 %</w:t>
            </w:r>
          </w:p>
        </w:tc>
        <w:tc>
          <w:tcPr>
            <w:tcW w:w="580" w:type="dxa"/>
            <w:vAlign w:val="bottom"/>
          </w:tcPr>
          <w:p>
            <w:pPr>
              <w:spacing w:after="0"/>
              <w:rPr>
                <w:sz w:val="14"/>
                <w:szCs w:val="14"/>
                <w:color w:val="auto"/>
              </w:rPr>
            </w:pPr>
          </w:p>
        </w:tc>
        <w:tc>
          <w:tcPr>
            <w:tcW w:w="680" w:type="dxa"/>
            <w:vAlign w:val="bottom"/>
            <w:vMerge w:val="restart"/>
          </w:tcPr>
          <w:p>
            <w:pPr>
              <w:jc w:val="right"/>
              <w:ind w:right="191"/>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14"/>
                <w:szCs w:val="14"/>
                <w:color w:val="auto"/>
              </w:rPr>
            </w:pPr>
          </w:p>
        </w:tc>
        <w:tc>
          <w:tcPr>
            <w:tcW w:w="880" w:type="dxa"/>
            <w:vAlign w:val="bottom"/>
            <w:vMerge w:val="restart"/>
          </w:tcPr>
          <w:p>
            <w:pPr>
              <w:jc w:val="right"/>
              <w:ind w:right="131"/>
              <w:spacing w:after="0"/>
              <w:rPr>
                <w:sz w:val="20"/>
                <w:szCs w:val="20"/>
                <w:color w:val="auto"/>
              </w:rPr>
            </w:pPr>
            <w:r>
              <w:rPr>
                <w:rFonts w:ascii="Arial" w:cs="Arial" w:eastAsia="Arial" w:hAnsi="Arial"/>
                <w:sz w:val="14"/>
                <w:szCs w:val="14"/>
                <w:color w:val="auto"/>
              </w:rPr>
              <w:t>2.2</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 %</w:t>
            </w:r>
          </w:p>
        </w:tc>
        <w:tc>
          <w:tcPr>
            <w:tcW w:w="560" w:type="dxa"/>
            <w:vAlign w:val="bottom"/>
          </w:tcPr>
          <w:p>
            <w:pPr>
              <w:spacing w:after="0"/>
              <w:rPr>
                <w:sz w:val="14"/>
                <w:szCs w:val="14"/>
                <w:color w:val="auto"/>
              </w:rPr>
            </w:pPr>
          </w:p>
        </w:tc>
        <w:tc>
          <w:tcPr>
            <w:tcW w:w="720" w:type="dxa"/>
            <w:vAlign w:val="bottom"/>
            <w:vMerge w:val="restart"/>
          </w:tcPr>
          <w:p>
            <w:pPr>
              <w:jc w:val="right"/>
              <w:ind w:right="191"/>
              <w:spacing w:after="0"/>
              <w:rPr>
                <w:sz w:val="20"/>
                <w:szCs w:val="20"/>
                <w:color w:val="auto"/>
              </w:rPr>
            </w:pPr>
            <w:r>
              <w:rPr>
                <w:rFonts w:ascii="Arial" w:cs="Arial" w:eastAsia="Arial" w:hAnsi="Arial"/>
                <w:sz w:val="14"/>
                <w:szCs w:val="14"/>
                <w:color w:val="auto"/>
              </w:rPr>
              <w:t>2.0</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4"/>
        </w:trPr>
        <w:tc>
          <w:tcPr>
            <w:tcW w:w="318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interest</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 attributable to Mission Produce</w:t>
            </w:r>
          </w:p>
        </w:tc>
        <w:tc>
          <w:tcPr>
            <w:tcW w:w="34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3.1</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1 %</w:t>
            </w:r>
          </w:p>
        </w:tc>
        <w:tc>
          <w:tcPr>
            <w:tcW w:w="180" w:type="dxa"/>
            <w:vAlign w:val="bottom"/>
            <w:tcBorders>
              <w:bottom w:val="single" w:sz="8" w:color="DBDBDB"/>
            </w:tcBorders>
            <w:shd w:val="clear" w:color="auto" w:fill="DBDBDB"/>
          </w:tcPr>
          <w:p>
            <w:pPr>
              <w:spacing w:after="0"/>
              <w:rPr>
                <w:sz w:val="17"/>
                <w:szCs w:val="17"/>
                <w:color w:val="auto"/>
              </w:rPr>
            </w:pPr>
          </w:p>
        </w:tc>
        <w:tc>
          <w:tcPr>
            <w:tcW w:w="58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7.0</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2 %</w:t>
            </w:r>
          </w:p>
        </w:tc>
        <w:tc>
          <w:tcPr>
            <w:tcW w:w="16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7.0</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1 %</w:t>
            </w:r>
          </w:p>
        </w:tc>
        <w:tc>
          <w:tcPr>
            <w:tcW w:w="180" w:type="dxa"/>
            <w:vAlign w:val="bottom"/>
            <w:tcBorders>
              <w:bottom w:val="single" w:sz="8" w:color="DBDBDB"/>
            </w:tcBorders>
            <w:shd w:val="clear" w:color="auto" w:fill="DBDBDB"/>
          </w:tcPr>
          <w:p>
            <w:pPr>
              <w:spacing w:after="0"/>
              <w:rPr>
                <w:sz w:val="17"/>
                <w:szCs w:val="17"/>
                <w:color w:val="auto"/>
              </w:rPr>
            </w:pPr>
          </w:p>
        </w:tc>
        <w:tc>
          <w:tcPr>
            <w:tcW w:w="56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7.0</w:t>
            </w:r>
          </w:p>
        </w:tc>
        <w:tc>
          <w:tcPr>
            <w:tcW w:w="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
        </w:trPr>
        <w:tc>
          <w:tcPr>
            <w:tcW w:w="3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sales</w:t>
      </w:r>
    </w:p>
    <w:p>
      <w:pPr>
        <w:spacing w:after="0" w:line="221" w:lineRule="exact"/>
        <w:rPr>
          <w:sz w:val="20"/>
          <w:szCs w:val="20"/>
          <w:color w:val="auto"/>
        </w:rPr>
      </w:pPr>
    </w:p>
    <w:p>
      <w:pPr>
        <w:ind w:right="100" w:firstLine="619"/>
        <w:spacing w:after="0" w:line="264" w:lineRule="auto"/>
        <w:rPr>
          <w:sz w:val="20"/>
          <w:szCs w:val="20"/>
          <w:color w:val="auto"/>
        </w:rPr>
      </w:pPr>
      <w:r>
        <w:rPr>
          <w:rFonts w:ascii="Arial" w:cs="Arial" w:eastAsia="Arial" w:hAnsi="Arial"/>
          <w:sz w:val="14"/>
          <w:szCs w:val="14"/>
          <w:color w:val="auto"/>
        </w:rPr>
        <w:t>Our net sales are generated predominantly from the shipment of fresh avocados to retail, wholesale and foodservice customers worldwide. Our net sales are affected by numerous factors, including the balance between the supply of and demand for our produce and competition from other fresh produce companies. Our net sales are also dependent on our ability to supply a consistent volume and quality of fresh produce to the markets we serve.</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3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60" w:type="dxa"/>
            <w:vAlign w:val="bottom"/>
            <w:gridSpan w:val="2"/>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gridSpan w:val="2"/>
          </w:tcPr>
          <w:p>
            <w:pPr>
              <w:jc w:val="right"/>
              <w:ind w:right="291"/>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96"/>
        </w:trPr>
        <w:tc>
          <w:tcPr>
            <w:tcW w:w="39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right"/>
              <w:ind w:right="651"/>
              <w:spacing w:after="0"/>
              <w:rPr>
                <w:sz w:val="20"/>
                <w:szCs w:val="20"/>
                <w:color w:val="auto"/>
              </w:rPr>
            </w:pPr>
            <w:r>
              <w:rPr>
                <w:rFonts w:ascii="Arial" w:cs="Arial" w:eastAsia="Arial" w:hAnsi="Arial"/>
                <w:sz w:val="14"/>
                <w:szCs w:val="14"/>
                <w:b w:val="1"/>
                <w:bCs w:val="1"/>
                <w:color w:val="auto"/>
              </w:rPr>
              <w:t>April 30,</w:t>
            </w: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right"/>
              <w:ind w:right="611"/>
              <w:spacing w:after="0"/>
              <w:rPr>
                <w:sz w:val="20"/>
                <w:szCs w:val="20"/>
                <w:color w:val="auto"/>
              </w:rPr>
            </w:pPr>
            <w:r>
              <w:rPr>
                <w:rFonts w:ascii="Arial" w:cs="Arial" w:eastAsia="Arial" w:hAnsi="Arial"/>
                <w:sz w:val="14"/>
                <w:szCs w:val="14"/>
                <w:b w:val="1"/>
                <w:bCs w:val="1"/>
                <w:color w:val="auto"/>
              </w:rPr>
              <w:t>April 30,</w:t>
            </w:r>
          </w:p>
        </w:tc>
        <w:tc>
          <w:tcPr>
            <w:tcW w:w="800" w:type="dxa"/>
            <w:vAlign w:val="bottom"/>
            <w:tcBorders>
              <w:bottom w:val="single" w:sz="8" w:color="auto"/>
            </w:tcBorders>
          </w:tcPr>
          <w:p>
            <w:pPr>
              <w:spacing w:after="0"/>
              <w:rPr>
                <w:sz w:val="17"/>
                <w:szCs w:val="17"/>
                <w:color w:val="auto"/>
              </w:rPr>
            </w:pPr>
          </w:p>
        </w:tc>
      </w:tr>
      <w:tr>
        <w:trPr>
          <w:trHeight w:val="215"/>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2025</w:t>
            </w:r>
          </w:p>
        </w:tc>
        <w:tc>
          <w:tcPr>
            <w:tcW w:w="10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2025</w:t>
            </w:r>
          </w:p>
        </w:tc>
        <w:tc>
          <w:tcPr>
            <w:tcW w:w="9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2024</w:t>
            </w:r>
          </w:p>
        </w:tc>
      </w:tr>
      <w:tr>
        <w:trPr>
          <w:trHeight w:val="196"/>
        </w:trPr>
        <w:tc>
          <w:tcPr>
            <w:tcW w:w="3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sales by segment:</w:t>
            </w:r>
          </w:p>
        </w:tc>
        <w:tc>
          <w:tcPr>
            <w:tcW w:w="56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spacing w:after="0"/>
              <w:rPr>
                <w:sz w:val="17"/>
                <w:szCs w:val="17"/>
                <w:color w:val="auto"/>
              </w:rPr>
            </w:pPr>
          </w:p>
        </w:tc>
      </w:tr>
      <w:tr>
        <w:trPr>
          <w:trHeight w:val="199"/>
        </w:trPr>
        <w:tc>
          <w:tcPr>
            <w:tcW w:w="3920" w:type="dxa"/>
            <w:vAlign w:val="bottom"/>
          </w:tcPr>
          <w:p>
            <w:pPr>
              <w:ind w:left="220"/>
              <w:spacing w:after="0"/>
              <w:rPr>
                <w:sz w:val="20"/>
                <w:szCs w:val="20"/>
                <w:color w:val="auto"/>
              </w:rPr>
            </w:pPr>
            <w:r>
              <w:rPr>
                <w:rFonts w:ascii="Arial" w:cs="Arial" w:eastAsia="Arial" w:hAnsi="Arial"/>
                <w:sz w:val="14"/>
                <w:szCs w:val="14"/>
                <w:color w:val="auto"/>
              </w:rPr>
              <w:t>Marketing and Distribution</w:t>
            </w:r>
          </w:p>
        </w:tc>
        <w:tc>
          <w:tcPr>
            <w:tcW w:w="560" w:type="dxa"/>
            <w:vAlign w:val="bottom"/>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362.5</w:t>
            </w:r>
          </w:p>
        </w:tc>
        <w:tc>
          <w:tcPr>
            <w:tcW w:w="1020" w:type="dxa"/>
            <w:vAlign w:val="bottom"/>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287.1</w:t>
            </w:r>
          </w:p>
        </w:tc>
        <w:tc>
          <w:tcPr>
            <w:tcW w:w="260" w:type="dxa"/>
            <w:vAlign w:val="bottom"/>
          </w:tcPr>
          <w:p>
            <w:pPr>
              <w:spacing w:after="0"/>
              <w:rPr>
                <w:sz w:val="17"/>
                <w:szCs w:val="17"/>
                <w:color w:val="auto"/>
              </w:rPr>
            </w:pPr>
          </w:p>
        </w:tc>
        <w:tc>
          <w:tcPr>
            <w:tcW w:w="600" w:type="dxa"/>
            <w:vAlign w:val="bottom"/>
          </w:tcPr>
          <w:p>
            <w:pPr>
              <w:jc w:val="right"/>
              <w:ind w:right="45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658.3</w:t>
            </w:r>
          </w:p>
        </w:tc>
        <w:tc>
          <w:tcPr>
            <w:tcW w:w="980" w:type="dxa"/>
            <w:vAlign w:val="bottom"/>
          </w:tcPr>
          <w:p>
            <w:pPr>
              <w:jc w:val="right"/>
              <w:ind w:right="71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511.7</w:t>
            </w:r>
          </w:p>
        </w:tc>
      </w:tr>
      <w:tr>
        <w:trPr>
          <w:trHeight w:val="20"/>
        </w:trPr>
        <w:tc>
          <w:tcPr>
            <w:tcW w:w="3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39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International Farming</w:t>
            </w:r>
          </w:p>
        </w:tc>
        <w:tc>
          <w:tcPr>
            <w:tcW w:w="56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2.1</w:t>
            </w:r>
          </w:p>
        </w:tc>
        <w:tc>
          <w:tcPr>
            <w:tcW w:w="10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0.5</w:t>
            </w:r>
          </w:p>
        </w:tc>
        <w:tc>
          <w:tcPr>
            <w:tcW w:w="260" w:type="dxa"/>
            <w:vAlign w:val="bottom"/>
            <w:tcBorders>
              <w:bottom w:val="single" w:sz="8" w:color="DBDBDB"/>
            </w:tcBorders>
            <w:shd w:val="clear" w:color="auto" w:fill="DBDBDB"/>
          </w:tcPr>
          <w:p>
            <w:pPr>
              <w:spacing w:after="0"/>
              <w:rPr>
                <w:sz w:val="17"/>
                <w:szCs w:val="17"/>
                <w:color w:val="auto"/>
              </w:rPr>
            </w:pPr>
          </w:p>
        </w:tc>
        <w:tc>
          <w:tcPr>
            <w:tcW w:w="60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4.1</w:t>
            </w:r>
          </w:p>
        </w:tc>
        <w:tc>
          <w:tcPr>
            <w:tcW w:w="98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2.1</w:t>
            </w:r>
          </w:p>
        </w:tc>
      </w:tr>
      <w:tr>
        <w:trPr>
          <w:trHeight w:val="199"/>
        </w:trPr>
        <w:tc>
          <w:tcPr>
            <w:tcW w:w="3920" w:type="dxa"/>
            <w:vAlign w:val="bottom"/>
          </w:tcPr>
          <w:p>
            <w:pPr>
              <w:ind w:left="220"/>
              <w:spacing w:after="0"/>
              <w:rPr>
                <w:sz w:val="20"/>
                <w:szCs w:val="20"/>
                <w:color w:val="auto"/>
              </w:rPr>
            </w:pPr>
            <w:r>
              <w:rPr>
                <w:rFonts w:ascii="Arial" w:cs="Arial" w:eastAsia="Arial" w:hAnsi="Arial"/>
                <w:sz w:val="14"/>
                <w:szCs w:val="14"/>
                <w:color w:val="auto"/>
              </w:rPr>
              <w:t>Blueberries</w:t>
            </w:r>
          </w:p>
        </w:tc>
        <w:tc>
          <w:tcPr>
            <w:tcW w:w="560" w:type="dxa"/>
            <w:vAlign w:val="bottom"/>
          </w:tcPr>
          <w:p>
            <w:pPr>
              <w:spacing w:after="0"/>
              <w:rPr>
                <w:sz w:val="17"/>
                <w:szCs w:val="17"/>
                <w:color w:val="auto"/>
              </w:rPr>
            </w:pP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15.7</w:t>
            </w:r>
          </w:p>
        </w:tc>
        <w:tc>
          <w:tcPr>
            <w:tcW w:w="102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52.1</w:t>
            </w:r>
          </w:p>
        </w:tc>
        <w:tc>
          <w:tcPr>
            <w:tcW w:w="980" w:type="dxa"/>
            <w:vAlign w:val="bottom"/>
          </w:tcPr>
          <w:p>
            <w:pPr>
              <w:spacing w:after="0"/>
              <w:rPr>
                <w:sz w:val="17"/>
                <w:szCs w:val="17"/>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42.5</w:t>
            </w: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2"/>
        </w:trPr>
        <w:tc>
          <w:tcPr>
            <w:tcW w:w="3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net sales</w:t>
            </w:r>
          </w:p>
        </w:tc>
        <w:tc>
          <w:tcPr>
            <w:tcW w:w="56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380.3</w:t>
            </w:r>
          </w:p>
        </w:tc>
        <w:tc>
          <w:tcPr>
            <w:tcW w:w="102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297.6</w:t>
            </w:r>
          </w:p>
        </w:tc>
        <w:tc>
          <w:tcPr>
            <w:tcW w:w="260" w:type="dxa"/>
            <w:vAlign w:val="bottom"/>
            <w:tcBorders>
              <w:bottom w:val="single" w:sz="8" w:color="DBDBDB"/>
            </w:tcBorders>
            <w:shd w:val="clear" w:color="auto" w:fill="DBDBDB"/>
          </w:tcPr>
          <w:p>
            <w:pPr>
              <w:spacing w:after="0"/>
              <w:rPr>
                <w:sz w:val="16"/>
                <w:szCs w:val="16"/>
                <w:color w:val="auto"/>
              </w:rPr>
            </w:pPr>
          </w:p>
        </w:tc>
        <w:tc>
          <w:tcPr>
            <w:tcW w:w="600" w:type="dxa"/>
            <w:vAlign w:val="bottom"/>
            <w:tcBorders>
              <w:bottom w:val="single" w:sz="8" w:color="DBDBDB"/>
            </w:tcBorders>
            <w:shd w:val="clear" w:color="auto" w:fill="DBDBDB"/>
          </w:tcPr>
          <w:p>
            <w:pPr>
              <w:jc w:val="right"/>
              <w:ind w:right="45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714.5</w:t>
            </w:r>
          </w:p>
        </w:tc>
        <w:tc>
          <w:tcPr>
            <w:tcW w:w="980" w:type="dxa"/>
            <w:vAlign w:val="bottom"/>
            <w:tcBorders>
              <w:bottom w:val="single" w:sz="8" w:color="DBDBDB"/>
            </w:tcBorders>
            <w:shd w:val="clear" w:color="auto" w:fill="DBDBDB"/>
          </w:tcPr>
          <w:p>
            <w:pPr>
              <w:jc w:val="right"/>
              <w:ind w:right="71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556.3</w:t>
            </w:r>
          </w:p>
        </w:tc>
      </w:tr>
      <w:tr>
        <w:trPr>
          <w:trHeight w:val="20"/>
        </w:trPr>
        <w:tc>
          <w:tcPr>
            <w:tcW w:w="3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jc w:val="both"/>
        <w:ind w:right="60" w:firstLine="619"/>
        <w:spacing w:after="0" w:line="278" w:lineRule="auto"/>
        <w:rPr>
          <w:sz w:val="20"/>
          <w:szCs w:val="20"/>
          <w:color w:val="auto"/>
        </w:rPr>
      </w:pPr>
      <w:r>
        <w:rPr>
          <w:rFonts w:ascii="Arial" w:cs="Arial" w:eastAsia="Arial" w:hAnsi="Arial"/>
          <w:sz w:val="14"/>
          <w:szCs w:val="14"/>
          <w:color w:val="auto"/>
        </w:rPr>
        <w:t>Net sales increased $82.7 million or 28% and $158.2 million or 28% in the three and six months ended April 30, 2025 compared to the same periods last year, primarily driven by our Marketing &amp; Distribution segment, where average per-unit avocado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36" w:lineRule="exact"/>
        <w:rPr>
          <w:sz w:val="20"/>
          <w:szCs w:val="20"/>
          <w:color w:val="auto"/>
        </w:rPr>
      </w:pPr>
    </w:p>
    <w:p>
      <w:pPr>
        <w:ind w:right="60"/>
        <w:spacing w:after="0" w:line="278" w:lineRule="auto"/>
        <w:rPr>
          <w:sz w:val="20"/>
          <w:szCs w:val="20"/>
          <w:color w:val="auto"/>
        </w:rPr>
      </w:pPr>
      <w:r>
        <w:rPr>
          <w:rFonts w:ascii="Arial" w:cs="Arial" w:eastAsia="Arial" w:hAnsi="Arial"/>
          <w:sz w:val="14"/>
          <w:szCs w:val="14"/>
          <w:color w:val="auto"/>
        </w:rPr>
        <w:t>sales prices increased 26% and 25%, respectively, while volumes sold were flat. Consumer demand outpaced supply, driving higher per-unit pricing as volume was limited by continuing constraints on Mexican fruit availability.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Gross profit</w:t>
      </w:r>
    </w:p>
    <w:p>
      <w:pPr>
        <w:spacing w:after="0" w:line="221" w:lineRule="exact"/>
        <w:rPr>
          <w:sz w:val="20"/>
          <w:szCs w:val="20"/>
          <w:color w:val="auto"/>
        </w:rPr>
      </w:pPr>
    </w:p>
    <w:p>
      <w:pPr>
        <w:ind w:right="180" w:firstLine="619"/>
        <w:spacing w:after="0" w:line="253" w:lineRule="auto"/>
        <w:rPr>
          <w:sz w:val="20"/>
          <w:szCs w:val="20"/>
          <w:color w:val="auto"/>
        </w:rPr>
      </w:pPr>
      <w:r>
        <w:rPr>
          <w:rFonts w:ascii="Arial" w:cs="Arial" w:eastAsia="Arial" w:hAnsi="Arial"/>
          <w:sz w:val="14"/>
          <w:szCs w:val="14"/>
          <w:color w:val="auto"/>
        </w:rPr>
        <w:t>Cost of sales is composed primarily of avocado procurement costs from independent growers and packers, logistics costs, packaging costs, labor, costs associated with cultivation (the cost of growing crops), harvesting and depreciation. Avocado procurement costs from third-party suppliers can vary significantly between and within fiscal years and correlate closely with market prices for avocados. While we have long-standing relationships with our growers and packers, we predominantly purchase fruit on a daily basis at market rates. As such, the cost to procure products from independent growers can have a significant impact on our costs.</w:t>
      </w:r>
    </w:p>
    <w:p>
      <w:pPr>
        <w:spacing w:after="0" w:line="185" w:lineRule="exact"/>
        <w:rPr>
          <w:sz w:val="20"/>
          <w:szCs w:val="20"/>
          <w:color w:val="auto"/>
        </w:rPr>
      </w:pPr>
    </w:p>
    <w:p>
      <w:pPr>
        <w:ind w:right="220" w:firstLine="619"/>
        <w:spacing w:after="0" w:line="259" w:lineRule="auto"/>
        <w:rPr>
          <w:sz w:val="20"/>
          <w:szCs w:val="20"/>
          <w:color w:val="auto"/>
        </w:rPr>
      </w:pPr>
      <w:r>
        <w:rPr>
          <w:rFonts w:ascii="Arial" w:cs="Arial" w:eastAsia="Arial" w:hAnsi="Arial"/>
          <w:sz w:val="14"/>
          <w:szCs w:val="14"/>
          <w:color w:val="auto"/>
        </w:rPr>
        <w:t>Logistics costs include land and sea transportation and expenses related to port facilities and distribution centers. Land transportation costs consist primarily of third-party trucking services to support North American distribution, while sea transportation cost consists primarily of third-party shipping of refrigerated containers from supply markets in South and Central America to demand markets in North America, Europe and Asia. Fuel prices as well as variations in containerboard prices, which affect the cost of boxes and other packaging materials, impact our product cost and our profit margins. Variations in production yields and other input costs also affect our cost of sales.</w:t>
      </w:r>
    </w:p>
    <w:p>
      <w:pPr>
        <w:spacing w:after="0" w:line="169" w:lineRule="exact"/>
        <w:rPr>
          <w:sz w:val="20"/>
          <w:szCs w:val="20"/>
          <w:color w:val="auto"/>
        </w:rPr>
      </w:pPr>
    </w:p>
    <w:p>
      <w:pPr>
        <w:ind w:right="20" w:firstLine="619"/>
        <w:spacing w:after="0" w:line="259" w:lineRule="auto"/>
        <w:rPr>
          <w:sz w:val="20"/>
          <w:szCs w:val="20"/>
          <w:color w:val="auto"/>
        </w:rPr>
      </w:pPr>
      <w:r>
        <w:rPr>
          <w:rFonts w:ascii="Arial" w:cs="Arial" w:eastAsia="Arial" w:hAnsi="Arial"/>
          <w:sz w:val="14"/>
          <w:szCs w:val="14"/>
          <w:color w:val="auto"/>
        </w:rPr>
        <w:t>In general, changes in our volume of products sold can have a disproportionate effect on our gross profit. Within any particular year, a significant portion of our cost of products are fixed. Accordingly, higher volumes produced on company-owned farms directly reduce the average cost per pound of fruit grown on company owned orchards, while lower volumes directly increase the average cost per pound of fruit grown on company owned orchards. Likewise, higher volumes processed through packing and distribution facilities directly reduce the average overhead cost per unit of fruit handled, while lower volumes directly increase the average overhead cost per unit of fruit handled.</w:t>
      </w:r>
    </w:p>
    <w:p>
      <w:pPr>
        <w:spacing w:after="0" w:line="182" w:lineRule="exact"/>
        <w:rPr>
          <w:sz w:val="20"/>
          <w:szCs w:val="20"/>
          <w:color w:val="auto"/>
        </w:rPr>
      </w:pPr>
    </w:p>
    <w:p>
      <w:pPr>
        <w:ind w:right="280" w:firstLine="619"/>
        <w:spacing w:after="0" w:line="259" w:lineRule="auto"/>
        <w:rPr>
          <w:sz w:val="20"/>
          <w:szCs w:val="20"/>
          <w:color w:val="auto"/>
        </w:rPr>
      </w:pPr>
      <w:r>
        <w:rPr>
          <w:rFonts w:ascii="Arial" w:cs="Arial" w:eastAsia="Arial" w:hAnsi="Arial"/>
          <w:sz w:val="14"/>
          <w:szCs w:val="14"/>
          <w:color w:val="auto"/>
        </w:rPr>
        <w:t>Gross profit percentage will fluctuate based upon per-unit sales price levels in relation to per-unit costs. Margin is primarily managed on a per-unit basis in our Marketing &amp; Distribution segment, which can lead to movement in gross profit percentage when sales prices fluctuate.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6"/>
              </w:rPr>
              <w:t>Three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00" w:type="dxa"/>
            <w:vAlign w:val="bottom"/>
            <w:gridSpan w:val="2"/>
          </w:tcPr>
          <w:p>
            <w:pPr>
              <w:jc w:val="center"/>
              <w:ind w:left="131"/>
              <w:spacing w:after="0"/>
              <w:rPr>
                <w:sz w:val="20"/>
                <w:szCs w:val="20"/>
                <w:color w:val="auto"/>
              </w:rPr>
            </w:pPr>
            <w:r>
              <w:rPr>
                <w:rFonts w:ascii="Arial" w:cs="Arial" w:eastAsia="Arial" w:hAnsi="Arial"/>
                <w:sz w:val="14"/>
                <w:szCs w:val="14"/>
                <w:b w:val="1"/>
                <w:bCs w:val="1"/>
                <w:color w:val="auto"/>
                <w:w w:val="97"/>
              </w:rPr>
              <w:t>Six Months Ended</w:t>
            </w:r>
          </w:p>
        </w:tc>
        <w:tc>
          <w:tcPr>
            <w:tcW w:w="820" w:type="dxa"/>
            <w:vAlign w:val="bottom"/>
          </w:tcPr>
          <w:p>
            <w:pPr>
              <w:spacing w:after="0"/>
              <w:rPr>
                <w:sz w:val="14"/>
                <w:szCs w:val="14"/>
                <w:color w:val="auto"/>
              </w:rPr>
            </w:pPr>
          </w:p>
        </w:tc>
      </w:tr>
      <w:tr>
        <w:trPr>
          <w:trHeight w:val="196"/>
        </w:trPr>
        <w:tc>
          <w:tcPr>
            <w:tcW w:w="38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jc w:val="center"/>
              <w:ind w:left="111"/>
              <w:spacing w:after="0"/>
              <w:rPr>
                <w:sz w:val="20"/>
                <w:szCs w:val="20"/>
                <w:color w:val="auto"/>
              </w:rPr>
            </w:pPr>
            <w:r>
              <w:rPr>
                <w:rFonts w:ascii="Arial" w:cs="Arial" w:eastAsia="Arial" w:hAnsi="Arial"/>
                <w:sz w:val="14"/>
                <w:szCs w:val="14"/>
                <w:b w:val="1"/>
                <w:bCs w:val="1"/>
                <w:color w:val="auto"/>
                <w:w w:val="97"/>
              </w:rPr>
              <w:t>April 30,</w:t>
            </w: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2"/>
          </w:tcPr>
          <w:p>
            <w:pPr>
              <w:jc w:val="center"/>
              <w:ind w:left="131"/>
              <w:spacing w:after="0"/>
              <w:rPr>
                <w:sz w:val="20"/>
                <w:szCs w:val="20"/>
                <w:color w:val="auto"/>
              </w:rPr>
            </w:pPr>
            <w:r>
              <w:rPr>
                <w:rFonts w:ascii="Arial" w:cs="Arial" w:eastAsia="Arial" w:hAnsi="Arial"/>
                <w:sz w:val="14"/>
                <w:szCs w:val="14"/>
                <w:b w:val="1"/>
                <w:bCs w:val="1"/>
                <w:color w:val="auto"/>
                <w:w w:val="97"/>
              </w:rPr>
              <w:t>April 30,</w:t>
            </w:r>
          </w:p>
        </w:tc>
        <w:tc>
          <w:tcPr>
            <w:tcW w:w="820" w:type="dxa"/>
            <w:vAlign w:val="bottom"/>
            <w:tcBorders>
              <w:bottom w:val="single" w:sz="8" w:color="auto"/>
            </w:tcBorders>
          </w:tcPr>
          <w:p>
            <w:pPr>
              <w:spacing w:after="0"/>
              <w:rPr>
                <w:sz w:val="17"/>
                <w:szCs w:val="17"/>
                <w:color w:val="auto"/>
              </w:rPr>
            </w:pPr>
          </w:p>
        </w:tc>
      </w:tr>
      <w:tr>
        <w:trPr>
          <w:trHeight w:val="212"/>
        </w:trPr>
        <w:tc>
          <w:tcPr>
            <w:tcW w:w="3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2025</w:t>
            </w:r>
          </w:p>
        </w:tc>
        <w:tc>
          <w:tcPr>
            <w:tcW w:w="10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2025</w:t>
            </w:r>
          </w:p>
        </w:tc>
        <w:tc>
          <w:tcPr>
            <w:tcW w:w="9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r>
      <w:tr>
        <w:trPr>
          <w:trHeight w:val="199"/>
        </w:trPr>
        <w:tc>
          <w:tcPr>
            <w:tcW w:w="3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Gross profit (in millions)</w:t>
            </w:r>
          </w:p>
        </w:tc>
        <w:tc>
          <w:tcPr>
            <w:tcW w:w="58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28.4</w:t>
            </w:r>
          </w:p>
        </w:tc>
        <w:tc>
          <w:tcPr>
            <w:tcW w:w="1020" w:type="dxa"/>
            <w:vAlign w:val="bottom"/>
            <w:tcBorders>
              <w:bottom w:val="single" w:sz="8" w:color="DBDBDB"/>
            </w:tcBorders>
            <w:shd w:val="clear" w:color="auto" w:fill="DBDBDB"/>
          </w:tcPr>
          <w:p>
            <w:pPr>
              <w:jc w:val="right"/>
              <w:ind w:right="79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31.0</w:t>
            </w:r>
          </w:p>
        </w:tc>
        <w:tc>
          <w:tcPr>
            <w:tcW w:w="26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jc w:val="right"/>
              <w:ind w:right="47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59.9</w:t>
            </w:r>
          </w:p>
        </w:tc>
        <w:tc>
          <w:tcPr>
            <w:tcW w:w="960" w:type="dxa"/>
            <w:vAlign w:val="bottom"/>
            <w:tcBorders>
              <w:bottom w:val="single" w:sz="8" w:color="DBDBDB"/>
            </w:tcBorders>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59.7</w:t>
            </w:r>
          </w:p>
        </w:tc>
      </w:tr>
      <w:tr>
        <w:trPr>
          <w:trHeight w:val="199"/>
        </w:trPr>
        <w:tc>
          <w:tcPr>
            <w:tcW w:w="3880" w:type="dxa"/>
            <w:vAlign w:val="bottom"/>
          </w:tcPr>
          <w:p>
            <w:pPr>
              <w:ind w:left="20"/>
              <w:spacing w:after="0"/>
              <w:rPr>
                <w:sz w:val="20"/>
                <w:szCs w:val="20"/>
                <w:color w:val="auto"/>
              </w:rPr>
            </w:pPr>
            <w:r>
              <w:rPr>
                <w:rFonts w:ascii="Arial" w:cs="Arial" w:eastAsia="Arial" w:hAnsi="Arial"/>
                <w:sz w:val="14"/>
                <w:szCs w:val="14"/>
                <w:color w:val="auto"/>
              </w:rPr>
              <w:t>Gross profit as a percentage of sales</w:t>
            </w:r>
          </w:p>
        </w:tc>
        <w:tc>
          <w:tcPr>
            <w:tcW w:w="580" w:type="dxa"/>
            <w:vAlign w:val="bottom"/>
          </w:tcPr>
          <w:p>
            <w:pPr>
              <w:spacing w:after="0"/>
              <w:rPr>
                <w:sz w:val="17"/>
                <w:szCs w:val="17"/>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7.5 %</w:t>
            </w:r>
          </w:p>
        </w:tc>
        <w:tc>
          <w:tcPr>
            <w:tcW w:w="10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10.4 %</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ind w:right="11"/>
              <w:spacing w:after="0"/>
              <w:rPr>
                <w:sz w:val="20"/>
                <w:szCs w:val="20"/>
                <w:color w:val="auto"/>
              </w:rPr>
            </w:pPr>
            <w:r>
              <w:rPr>
                <w:rFonts w:ascii="Arial" w:cs="Arial" w:eastAsia="Arial" w:hAnsi="Arial"/>
                <w:sz w:val="14"/>
                <w:szCs w:val="14"/>
                <w:color w:val="auto"/>
              </w:rPr>
              <w:t>8.4 %</w:t>
            </w:r>
          </w:p>
        </w:tc>
        <w:tc>
          <w:tcPr>
            <w:tcW w:w="9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10.7 %</w:t>
            </w: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20" w:firstLine="619"/>
        <w:spacing w:after="0" w:line="276" w:lineRule="auto"/>
        <w:rPr>
          <w:sz w:val="20"/>
          <w:szCs w:val="20"/>
          <w:color w:val="auto"/>
        </w:rPr>
      </w:pPr>
      <w:r>
        <w:rPr>
          <w:rFonts w:ascii="Arial" w:cs="Arial" w:eastAsia="Arial" w:hAnsi="Arial"/>
          <w:sz w:val="13"/>
          <w:szCs w:val="13"/>
          <w:color w:val="auto"/>
        </w:rPr>
        <w:t>Gross profit decreased $2.6 million or 8% in the three months ended April 30, 2025 compared to the same period last year to $28.4 million and gross profit percentage decreased 290 basis points compared to the same period last year, to 7.5% of revenue. Our Marketing &amp; Distribution segment was impacted by lower per-unit margins on avocados sold due to challenges in obtaining Mexican supply required to meet customer commitments. In addition, the Marketing &amp; Distribution segment incurred $1.5 million of costs associated with the closure of our Canadian facilities and $1.1 million in tariffs levied on USMCA-compliant goods imported from Mexico for the three days they were in effect during March 2025. Gross profit at the International Farming segment increased due to higher pricing and yield from owned mango orchards as well as higher volume of blueberry packing and cooling services.</w:t>
      </w:r>
    </w:p>
    <w:p>
      <w:pPr>
        <w:spacing w:after="0" w:line="172" w:lineRule="exact"/>
        <w:rPr>
          <w:sz w:val="20"/>
          <w:szCs w:val="20"/>
          <w:color w:val="auto"/>
        </w:rPr>
      </w:pPr>
    </w:p>
    <w:p>
      <w:pPr>
        <w:ind w:right="40" w:firstLine="619"/>
        <w:spacing w:after="0" w:line="254" w:lineRule="auto"/>
        <w:rPr>
          <w:sz w:val="20"/>
          <w:szCs w:val="20"/>
          <w:color w:val="auto"/>
        </w:rPr>
      </w:pPr>
      <w:r>
        <w:rPr>
          <w:rFonts w:ascii="Arial" w:cs="Arial" w:eastAsia="Arial" w:hAnsi="Arial"/>
          <w:sz w:val="14"/>
          <w:szCs w:val="14"/>
          <w:color w:val="auto"/>
        </w:rPr>
        <w:t>Gross profit was flat for the six months ended April 30, 2025 compared to the same period last year. Gross profit percentage decreased 230 basis points compared to the same period last year, to 8.4% of revenue. The Marketing &amp; Distribution and International Farming segments were impacted by the same factors impacting the quarter. Charges incurred for the six months ended April 30, 2025 related to the closure of Canadian facilities were $2.9 million.</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SG&amp;A</w:t>
      </w:r>
    </w:p>
    <w:p>
      <w:pPr>
        <w:spacing w:after="0" w:line="234" w:lineRule="exact"/>
        <w:rPr>
          <w:sz w:val="20"/>
          <w:szCs w:val="20"/>
          <w:color w:val="auto"/>
        </w:rPr>
      </w:pPr>
    </w:p>
    <w:p>
      <w:pPr>
        <w:ind w:right="300" w:firstLine="619"/>
        <w:spacing w:after="0" w:line="259" w:lineRule="auto"/>
        <w:rPr>
          <w:sz w:val="20"/>
          <w:szCs w:val="20"/>
          <w:color w:val="auto"/>
        </w:rPr>
      </w:pPr>
      <w:r>
        <w:rPr>
          <w:rFonts w:ascii="Arial" w:cs="Arial" w:eastAsia="Arial" w:hAnsi="Arial"/>
          <w:sz w:val="14"/>
          <w:szCs w:val="14"/>
          <w:color w:val="auto"/>
        </w:rPr>
        <w:t>Selling, general and administrative (“SG&amp;A”) expenses primarily include the costs associated with selling, professional fees, general corporate overhead and other related administrative functions.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60" w:type="dxa"/>
            <w:vAlign w:val="bottom"/>
            <w:gridSpan w:val="2"/>
          </w:tcPr>
          <w:p>
            <w:pPr>
              <w:jc w:val="center"/>
              <w:ind w:left="131"/>
              <w:spacing w:after="0"/>
              <w:rPr>
                <w:sz w:val="20"/>
                <w:szCs w:val="20"/>
                <w:color w:val="auto"/>
              </w:rPr>
            </w:pPr>
            <w:r>
              <w:rPr>
                <w:rFonts w:ascii="Arial" w:cs="Arial" w:eastAsia="Arial" w:hAnsi="Arial"/>
                <w:sz w:val="14"/>
                <w:szCs w:val="14"/>
                <w:b w:val="1"/>
                <w:bCs w:val="1"/>
                <w:color w:val="auto"/>
                <w:w w:val="98"/>
              </w:rPr>
              <w:t>Three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8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8"/>
              </w:rPr>
              <w:t>Six Months Ended</w:t>
            </w:r>
          </w:p>
        </w:tc>
        <w:tc>
          <w:tcPr>
            <w:tcW w:w="780" w:type="dxa"/>
            <w:vAlign w:val="bottom"/>
          </w:tcPr>
          <w:p>
            <w:pPr>
              <w:spacing w:after="0"/>
              <w:rPr>
                <w:sz w:val="14"/>
                <w:szCs w:val="14"/>
                <w:color w:val="auto"/>
              </w:rPr>
            </w:pPr>
          </w:p>
        </w:tc>
      </w:tr>
      <w:tr>
        <w:trPr>
          <w:trHeight w:val="196"/>
        </w:trPr>
        <w:tc>
          <w:tcPr>
            <w:tcW w:w="40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center"/>
              <w:ind w:left="111"/>
              <w:spacing w:after="0"/>
              <w:rPr>
                <w:sz w:val="20"/>
                <w:szCs w:val="20"/>
                <w:color w:val="auto"/>
              </w:rPr>
            </w:pPr>
            <w:r>
              <w:rPr>
                <w:rFonts w:ascii="Arial" w:cs="Arial" w:eastAsia="Arial" w:hAnsi="Arial"/>
                <w:sz w:val="14"/>
                <w:szCs w:val="14"/>
                <w:b w:val="1"/>
                <w:bCs w:val="1"/>
                <w:color w:val="auto"/>
                <w:w w:val="97"/>
              </w:rPr>
              <w:t>April 30,</w:t>
            </w: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center"/>
              <w:ind w:left="71"/>
              <w:spacing w:after="0"/>
              <w:rPr>
                <w:sz w:val="20"/>
                <w:szCs w:val="20"/>
                <w:color w:val="auto"/>
              </w:rPr>
            </w:pPr>
            <w:r>
              <w:rPr>
                <w:rFonts w:ascii="Arial" w:cs="Arial" w:eastAsia="Arial" w:hAnsi="Arial"/>
                <w:sz w:val="14"/>
                <w:szCs w:val="14"/>
                <w:b w:val="1"/>
                <w:bCs w:val="1"/>
                <w:color w:val="auto"/>
                <w:w w:val="97"/>
              </w:rPr>
              <w:t>April 30,</w:t>
            </w:r>
          </w:p>
        </w:tc>
        <w:tc>
          <w:tcPr>
            <w:tcW w:w="780" w:type="dxa"/>
            <w:vAlign w:val="bottom"/>
            <w:tcBorders>
              <w:bottom w:val="single" w:sz="8" w:color="auto"/>
            </w:tcBorders>
          </w:tcPr>
          <w:p>
            <w:pPr>
              <w:spacing w:after="0"/>
              <w:rPr>
                <w:sz w:val="17"/>
                <w:szCs w:val="17"/>
                <w:color w:val="auto"/>
              </w:rPr>
            </w:pPr>
          </w:p>
        </w:tc>
      </w:tr>
      <w:tr>
        <w:trPr>
          <w:trHeight w:val="215"/>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2025</w:t>
            </w:r>
          </w:p>
        </w:tc>
        <w:tc>
          <w:tcPr>
            <w:tcW w:w="10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2025</w:t>
            </w:r>
          </w:p>
        </w:tc>
        <w:tc>
          <w:tcPr>
            <w:tcW w:w="10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r>
      <w:tr>
        <w:trPr>
          <w:trHeight w:val="196"/>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56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21.5</w:t>
            </w:r>
          </w:p>
        </w:tc>
        <w:tc>
          <w:tcPr>
            <w:tcW w:w="102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18.7</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ind w:right="4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43.7</w:t>
            </w:r>
          </w:p>
        </w:tc>
        <w:tc>
          <w:tcPr>
            <w:tcW w:w="1000" w:type="dxa"/>
            <w:vAlign w:val="bottom"/>
            <w:tcBorders>
              <w:bottom w:val="single" w:sz="8" w:color="DBDBDB"/>
            </w:tcBorders>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39.4</w:t>
            </w:r>
          </w:p>
        </w:tc>
      </w:tr>
      <w:tr>
        <w:trPr>
          <w:trHeight w:val="20"/>
        </w:trPr>
        <w:tc>
          <w:tcPr>
            <w:tcW w:w="4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276" w:lineRule="exact"/>
        <w:rPr>
          <w:sz w:val="20"/>
          <w:szCs w:val="20"/>
          <w:color w:val="auto"/>
        </w:rPr>
      </w:pPr>
    </w:p>
    <w:p>
      <w:pPr>
        <w:ind w:right="560" w:firstLine="619"/>
        <w:spacing w:after="0" w:line="278" w:lineRule="auto"/>
        <w:rPr>
          <w:sz w:val="20"/>
          <w:szCs w:val="20"/>
          <w:color w:val="auto"/>
        </w:rPr>
      </w:pPr>
      <w:r>
        <w:rPr>
          <w:rFonts w:ascii="Arial" w:cs="Arial" w:eastAsia="Arial" w:hAnsi="Arial"/>
          <w:sz w:val="14"/>
          <w:szCs w:val="14"/>
          <w:color w:val="auto"/>
        </w:rPr>
        <w:t>SG&amp;A expenses increased $2.8 million or 15% and $4.3 million or 11% in the three and six months ended April 30, 2025 compared to the same periods last year. The increases were primarily due to higher employee related costs, inclusive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performance-based stock compensation expense, as well as higher professional fees, inclusive of fees for external legal counsel associated with outstanding legal proceedings.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221" w:lineRule="exact"/>
        <w:rPr>
          <w:sz w:val="20"/>
          <w:szCs w:val="20"/>
          <w:color w:val="auto"/>
        </w:rPr>
      </w:pPr>
    </w:p>
    <w:p>
      <w:pPr>
        <w:ind w:right="280" w:firstLine="619"/>
        <w:spacing w:after="0" w:line="278" w:lineRule="auto"/>
        <w:rPr>
          <w:sz w:val="20"/>
          <w:szCs w:val="20"/>
          <w:color w:val="auto"/>
        </w:rPr>
      </w:pPr>
      <w:r>
        <w:rPr>
          <w:rFonts w:ascii="Arial" w:cs="Arial" w:eastAsia="Arial" w:hAnsi="Arial"/>
          <w:sz w:val="14"/>
          <w:szCs w:val="14"/>
          <w:color w:val="auto"/>
        </w:rPr>
        <w:t>Interest expense consists primarily of interest on borrowings under working capital facilities that we maintain and interest on other long-term debt used to make capital and equity investments. We also incur interest expense on finance leases, computed using each lease’s explicit or implicit borrowing rate.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2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8"/>
              </w:rPr>
              <w:t>Three Months Ended</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4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8"/>
              </w:rPr>
              <w:t>Six Months Ended</w:t>
            </w:r>
          </w:p>
        </w:tc>
        <w:tc>
          <w:tcPr>
            <w:tcW w:w="760" w:type="dxa"/>
            <w:vAlign w:val="bottom"/>
          </w:tcPr>
          <w:p>
            <w:pPr>
              <w:spacing w:after="0"/>
              <w:rPr>
                <w:sz w:val="14"/>
                <w:szCs w:val="14"/>
                <w:color w:val="auto"/>
              </w:rPr>
            </w:pPr>
          </w:p>
        </w:tc>
      </w:tr>
      <w:tr>
        <w:trPr>
          <w:trHeight w:val="196"/>
        </w:trPr>
        <w:tc>
          <w:tcPr>
            <w:tcW w:w="41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2"/>
          </w:tcPr>
          <w:p>
            <w:pPr>
              <w:jc w:val="center"/>
              <w:ind w:left="111"/>
              <w:spacing w:after="0"/>
              <w:rPr>
                <w:sz w:val="20"/>
                <w:szCs w:val="20"/>
                <w:color w:val="auto"/>
              </w:rPr>
            </w:pPr>
            <w:r>
              <w:rPr>
                <w:rFonts w:ascii="Arial" w:cs="Arial" w:eastAsia="Arial" w:hAnsi="Arial"/>
                <w:sz w:val="14"/>
                <w:szCs w:val="14"/>
                <w:b w:val="1"/>
                <w:bCs w:val="1"/>
                <w:color w:val="auto"/>
                <w:w w:val="97"/>
              </w:rPr>
              <w:t>April 30,</w:t>
            </w:r>
          </w:p>
        </w:tc>
        <w:tc>
          <w:tcPr>
            <w:tcW w:w="7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tcPr>
          <w:p>
            <w:pPr>
              <w:jc w:val="center"/>
              <w:ind w:left="71"/>
              <w:spacing w:after="0"/>
              <w:rPr>
                <w:sz w:val="20"/>
                <w:szCs w:val="20"/>
                <w:color w:val="auto"/>
              </w:rPr>
            </w:pPr>
            <w:r>
              <w:rPr>
                <w:rFonts w:ascii="Arial" w:cs="Arial" w:eastAsia="Arial" w:hAnsi="Arial"/>
                <w:sz w:val="14"/>
                <w:szCs w:val="14"/>
                <w:b w:val="1"/>
                <w:bCs w:val="1"/>
                <w:color w:val="auto"/>
                <w:w w:val="97"/>
              </w:rPr>
              <w:t>April 30,</w:t>
            </w:r>
          </w:p>
        </w:tc>
        <w:tc>
          <w:tcPr>
            <w:tcW w:w="760" w:type="dxa"/>
            <w:vAlign w:val="bottom"/>
            <w:tcBorders>
              <w:bottom w:val="single" w:sz="8" w:color="auto"/>
            </w:tcBorders>
          </w:tcPr>
          <w:p>
            <w:pPr>
              <w:spacing w:after="0"/>
              <w:rPr>
                <w:sz w:val="17"/>
                <w:szCs w:val="17"/>
                <w:color w:val="auto"/>
              </w:rPr>
            </w:pPr>
          </w:p>
        </w:tc>
      </w:tr>
      <w:tr>
        <w:trPr>
          <w:trHeight w:val="215"/>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2025</w:t>
            </w:r>
          </w:p>
        </w:tc>
        <w:tc>
          <w:tcPr>
            <w:tcW w:w="10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2025</w:t>
            </w:r>
          </w:p>
        </w:tc>
        <w:tc>
          <w:tcPr>
            <w:tcW w:w="9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r>
      <w:tr>
        <w:trPr>
          <w:trHeight w:val="196"/>
        </w:trPr>
        <w:tc>
          <w:tcPr>
            <w:tcW w:w="4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Interest expense</w:t>
            </w:r>
          </w:p>
        </w:tc>
        <w:tc>
          <w:tcPr>
            <w:tcW w:w="56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2.5</w:t>
            </w:r>
          </w:p>
        </w:tc>
        <w:tc>
          <w:tcPr>
            <w:tcW w:w="100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3.4</w:t>
            </w:r>
          </w:p>
        </w:tc>
        <w:tc>
          <w:tcPr>
            <w:tcW w:w="24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ind w:right="45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4.7</w:t>
            </w:r>
          </w:p>
        </w:tc>
        <w:tc>
          <w:tcPr>
            <w:tcW w:w="960" w:type="dxa"/>
            <w:vAlign w:val="bottom"/>
            <w:tcBorders>
              <w:bottom w:val="single" w:sz="8" w:color="DBDBDB"/>
            </w:tcBorders>
            <w:shd w:val="clear" w:color="auto" w:fill="DBDBDB"/>
          </w:tcPr>
          <w:p>
            <w:pPr>
              <w:jc w:val="right"/>
              <w:ind w:right="71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6.7</w:t>
            </w:r>
          </w:p>
        </w:tc>
      </w:tr>
      <w:tr>
        <w:trPr>
          <w:trHeight w:val="20"/>
        </w:trPr>
        <w:tc>
          <w:tcPr>
            <w:tcW w:w="4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276" w:lineRule="exact"/>
        <w:rPr>
          <w:sz w:val="20"/>
          <w:szCs w:val="20"/>
          <w:color w:val="auto"/>
        </w:rPr>
      </w:pPr>
    </w:p>
    <w:p>
      <w:pPr>
        <w:ind w:right="260" w:firstLine="619"/>
        <w:spacing w:after="0" w:line="264" w:lineRule="auto"/>
        <w:rPr>
          <w:sz w:val="20"/>
          <w:szCs w:val="20"/>
          <w:color w:val="auto"/>
        </w:rPr>
      </w:pPr>
      <w:r>
        <w:rPr>
          <w:rFonts w:ascii="Arial" w:cs="Arial" w:eastAsia="Arial" w:hAnsi="Arial"/>
          <w:sz w:val="14"/>
          <w:szCs w:val="14"/>
          <w:color w:val="auto"/>
        </w:rPr>
        <w:t>Interest expense decreased $0.9 million or 26% and $2.0 million or 30% in the three and six months ended April 30, 2025 compared to the same periods last year. The decreases were due to lower average balances on our revolving line of credit and lower interest rates on our borrowings under our credit facility. Interest rates applicable to our credit facility are variable, based on SOFR and a spread depending on our net leverage ratio.</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method income</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4"/>
          <w:szCs w:val="14"/>
          <w:color w:val="auto"/>
        </w:rPr>
        <w:t>Our material equity method investees include Henry Avocado (“HAC”), Mr. Avocado and Copaltas.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4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8"/>
              </w:rPr>
              <w:t>Three Months Ended</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6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7"/>
              </w:rPr>
              <w:t>Six Months Ended</w:t>
            </w:r>
          </w:p>
        </w:tc>
        <w:tc>
          <w:tcPr>
            <w:tcW w:w="780" w:type="dxa"/>
            <w:vAlign w:val="bottom"/>
          </w:tcPr>
          <w:p>
            <w:pPr>
              <w:spacing w:after="0"/>
              <w:rPr>
                <w:sz w:val="14"/>
                <w:szCs w:val="14"/>
                <w:color w:val="auto"/>
              </w:rPr>
            </w:pPr>
          </w:p>
        </w:tc>
      </w:tr>
      <w:tr>
        <w:trPr>
          <w:trHeight w:val="196"/>
        </w:trPr>
        <w:tc>
          <w:tcPr>
            <w:tcW w:w="40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2"/>
          </w:tcPr>
          <w:p>
            <w:pPr>
              <w:jc w:val="center"/>
              <w:ind w:left="91"/>
              <w:spacing w:after="0"/>
              <w:rPr>
                <w:sz w:val="20"/>
                <w:szCs w:val="20"/>
                <w:color w:val="auto"/>
              </w:rPr>
            </w:pPr>
            <w:r>
              <w:rPr>
                <w:rFonts w:ascii="Arial" w:cs="Arial" w:eastAsia="Arial" w:hAnsi="Arial"/>
                <w:sz w:val="14"/>
                <w:szCs w:val="14"/>
                <w:b w:val="1"/>
                <w:bCs w:val="1"/>
                <w:color w:val="auto"/>
                <w:w w:val="97"/>
              </w:rPr>
              <w:t>April 30,</w:t>
            </w:r>
          </w:p>
        </w:tc>
        <w:tc>
          <w:tcPr>
            <w:tcW w:w="7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tcPr>
          <w:p>
            <w:pPr>
              <w:jc w:val="center"/>
              <w:ind w:left="91"/>
              <w:spacing w:after="0"/>
              <w:rPr>
                <w:sz w:val="20"/>
                <w:szCs w:val="20"/>
                <w:color w:val="auto"/>
              </w:rPr>
            </w:pPr>
            <w:r>
              <w:rPr>
                <w:rFonts w:ascii="Arial" w:cs="Arial" w:eastAsia="Arial" w:hAnsi="Arial"/>
                <w:sz w:val="14"/>
                <w:szCs w:val="14"/>
                <w:b w:val="1"/>
                <w:bCs w:val="1"/>
                <w:color w:val="auto"/>
                <w:w w:val="97"/>
              </w:rPr>
              <w:t>April 30,</w:t>
            </w:r>
          </w:p>
        </w:tc>
        <w:tc>
          <w:tcPr>
            <w:tcW w:w="780" w:type="dxa"/>
            <w:vAlign w:val="bottom"/>
            <w:tcBorders>
              <w:bottom w:val="single" w:sz="8" w:color="auto"/>
            </w:tcBorders>
          </w:tcPr>
          <w:p>
            <w:pPr>
              <w:spacing w:after="0"/>
              <w:rPr>
                <w:sz w:val="17"/>
                <w:szCs w:val="17"/>
                <w:color w:val="auto"/>
              </w:rPr>
            </w:pPr>
          </w:p>
        </w:tc>
      </w:tr>
      <w:tr>
        <w:trPr>
          <w:trHeight w:val="215"/>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2025</w:t>
            </w:r>
          </w:p>
        </w:tc>
        <w:tc>
          <w:tcPr>
            <w:tcW w:w="1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2025</w:t>
            </w:r>
          </w:p>
        </w:tc>
        <w:tc>
          <w:tcPr>
            <w:tcW w:w="9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r>
      <w:tr>
        <w:trPr>
          <w:trHeight w:val="196"/>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58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0.9</w:t>
            </w:r>
          </w:p>
        </w:tc>
        <w:tc>
          <w:tcPr>
            <w:tcW w:w="1020" w:type="dxa"/>
            <w:vAlign w:val="bottom"/>
            <w:tcBorders>
              <w:bottom w:val="single" w:sz="8" w:color="DBDBDB"/>
            </w:tcBorders>
            <w:shd w:val="clear" w:color="auto" w:fill="DBDBDB"/>
          </w:tcPr>
          <w:p>
            <w:pPr>
              <w:jc w:val="right"/>
              <w:ind w:right="77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0.5</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ind w:right="45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1.7</w:t>
            </w:r>
          </w:p>
        </w:tc>
        <w:tc>
          <w:tcPr>
            <w:tcW w:w="980" w:type="dxa"/>
            <w:vAlign w:val="bottom"/>
            <w:tcBorders>
              <w:bottom w:val="single" w:sz="8" w:color="DBDBDB"/>
            </w:tcBorders>
            <w:shd w:val="clear" w:color="auto" w:fill="DBDBDB"/>
          </w:tcPr>
          <w:p>
            <w:pPr>
              <w:jc w:val="right"/>
              <w:ind w:right="7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0.9</w:t>
            </w:r>
          </w:p>
        </w:tc>
      </w:tr>
      <w:tr>
        <w:trPr>
          <w:trHeight w:val="20"/>
        </w:trPr>
        <w:tc>
          <w:tcPr>
            <w:tcW w:w="4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276" w:lineRule="exact"/>
        <w:rPr>
          <w:sz w:val="20"/>
          <w:szCs w:val="20"/>
          <w:color w:val="auto"/>
        </w:rPr>
      </w:pPr>
    </w:p>
    <w:p>
      <w:pPr>
        <w:ind w:right="200" w:firstLine="619"/>
        <w:spacing w:after="0" w:line="259" w:lineRule="auto"/>
        <w:rPr>
          <w:sz w:val="20"/>
          <w:szCs w:val="20"/>
          <w:color w:val="auto"/>
        </w:rPr>
      </w:pPr>
      <w:r>
        <w:rPr>
          <w:rFonts w:ascii="Arial" w:cs="Arial" w:eastAsia="Arial" w:hAnsi="Arial"/>
          <w:sz w:val="14"/>
          <w:szCs w:val="14"/>
          <w:color w:val="auto"/>
        </w:rPr>
        <w:t>Equity method income increased $0.4 million or 80% and $0.8 million or 89% in the three and six months ended April 30, 2025 compared to the same periods last year. The increases were primarily due to improved margins on fruit sold by Mr. Avocado in China.</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expense (income), net</w:t>
      </w:r>
    </w:p>
    <w:p>
      <w:pPr>
        <w:spacing w:after="0" w:line="234" w:lineRule="exact"/>
        <w:rPr>
          <w:sz w:val="20"/>
          <w:szCs w:val="20"/>
          <w:color w:val="auto"/>
        </w:rPr>
      </w:pPr>
    </w:p>
    <w:p>
      <w:pPr>
        <w:ind w:right="380" w:firstLine="619"/>
        <w:spacing w:after="0" w:line="259" w:lineRule="auto"/>
        <w:rPr>
          <w:sz w:val="20"/>
          <w:szCs w:val="20"/>
          <w:color w:val="auto"/>
        </w:rPr>
      </w:pPr>
      <w:r>
        <w:rPr>
          <w:rFonts w:ascii="Arial" w:cs="Arial" w:eastAsia="Arial" w:hAnsi="Arial"/>
          <w:sz w:val="14"/>
          <w:szCs w:val="14"/>
          <w:color w:val="auto"/>
        </w:rPr>
        <w:t>Other expense (income), net consists of interest income, currency exchange gains or losses, interest rate derivative gains or losses and other miscellaneous income and expense items.</w:t>
      </w:r>
    </w:p>
    <w:p>
      <w:pPr>
        <w:spacing w:after="0" w:line="308"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8"/>
              </w:rPr>
              <w:t>Three Months Ended</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8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8"/>
              </w:rPr>
              <w:t>Six Months Ended</w:t>
            </w:r>
          </w:p>
        </w:tc>
        <w:tc>
          <w:tcPr>
            <w:tcW w:w="800" w:type="dxa"/>
            <w:vAlign w:val="bottom"/>
          </w:tcPr>
          <w:p>
            <w:pPr>
              <w:spacing w:after="0"/>
              <w:rPr>
                <w:sz w:val="14"/>
                <w:szCs w:val="14"/>
                <w:color w:val="auto"/>
              </w:rPr>
            </w:pPr>
          </w:p>
        </w:tc>
      </w:tr>
      <w:tr>
        <w:trPr>
          <w:trHeight w:val="196"/>
        </w:trPr>
        <w:tc>
          <w:tcPr>
            <w:tcW w:w="39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center"/>
              <w:ind w:left="71"/>
              <w:spacing w:after="0"/>
              <w:rPr>
                <w:sz w:val="20"/>
                <w:szCs w:val="20"/>
                <w:color w:val="auto"/>
              </w:rPr>
            </w:pPr>
            <w:r>
              <w:rPr>
                <w:rFonts w:ascii="Arial" w:cs="Arial" w:eastAsia="Arial" w:hAnsi="Arial"/>
                <w:sz w:val="14"/>
                <w:szCs w:val="14"/>
                <w:b w:val="1"/>
                <w:bCs w:val="1"/>
                <w:color w:val="auto"/>
                <w:w w:val="97"/>
              </w:rPr>
              <w:t>April 30,</w:t>
            </w:r>
          </w:p>
        </w:tc>
        <w:tc>
          <w:tcPr>
            <w:tcW w:w="7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center"/>
              <w:ind w:left="91"/>
              <w:spacing w:after="0"/>
              <w:rPr>
                <w:sz w:val="20"/>
                <w:szCs w:val="20"/>
                <w:color w:val="auto"/>
              </w:rPr>
            </w:pPr>
            <w:r>
              <w:rPr>
                <w:rFonts w:ascii="Arial" w:cs="Arial" w:eastAsia="Arial" w:hAnsi="Arial"/>
                <w:sz w:val="14"/>
                <w:szCs w:val="14"/>
                <w:b w:val="1"/>
                <w:bCs w:val="1"/>
                <w:color w:val="auto"/>
              </w:rPr>
              <w:t>April 30,</w:t>
            </w:r>
          </w:p>
        </w:tc>
        <w:tc>
          <w:tcPr>
            <w:tcW w:w="800" w:type="dxa"/>
            <w:vAlign w:val="bottom"/>
            <w:tcBorders>
              <w:bottom w:val="single" w:sz="8" w:color="auto"/>
            </w:tcBorders>
          </w:tcPr>
          <w:p>
            <w:pPr>
              <w:spacing w:after="0"/>
              <w:rPr>
                <w:sz w:val="17"/>
                <w:szCs w:val="17"/>
                <w:color w:val="auto"/>
              </w:rPr>
            </w:pPr>
          </w:p>
        </w:tc>
      </w:tr>
      <w:tr>
        <w:trPr>
          <w:trHeight w:val="215"/>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2025</w:t>
            </w:r>
          </w:p>
        </w:tc>
        <w:tc>
          <w:tcPr>
            <w:tcW w:w="1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2025</w:t>
            </w:r>
          </w:p>
        </w:tc>
        <w:tc>
          <w:tcPr>
            <w:tcW w:w="9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2024</w:t>
            </w:r>
          </w:p>
        </w:tc>
      </w:tr>
      <w:tr>
        <w:trPr>
          <w:trHeight w:val="196"/>
        </w:trPr>
        <w:tc>
          <w:tcPr>
            <w:tcW w:w="3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 expense (income), net</w:t>
            </w:r>
          </w:p>
        </w:tc>
        <w:tc>
          <w:tcPr>
            <w:tcW w:w="58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0.6</w:t>
            </w:r>
          </w:p>
        </w:tc>
        <w:tc>
          <w:tcPr>
            <w:tcW w:w="1020" w:type="dxa"/>
            <w:vAlign w:val="bottom"/>
            <w:tcBorders>
              <w:bottom w:val="single" w:sz="8" w:color="DBDBDB"/>
            </w:tcBorders>
            <w:shd w:val="clear" w:color="auto" w:fill="DBDBDB"/>
          </w:tcPr>
          <w:p>
            <w:pPr>
              <w:jc w:val="right"/>
              <w:ind w:right="77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ind w:right="4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(0.9)</w:t>
            </w:r>
          </w:p>
        </w:tc>
        <w:tc>
          <w:tcPr>
            <w:tcW w:w="980" w:type="dxa"/>
            <w:vAlign w:val="bottom"/>
            <w:tcBorders>
              <w:bottom w:val="single" w:sz="8" w:color="DBDBDB"/>
            </w:tcBorders>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w:t>
            </w:r>
          </w:p>
        </w:tc>
      </w:tr>
      <w:tr>
        <w:trPr>
          <w:trHeight w:val="20"/>
        </w:trPr>
        <w:tc>
          <w:tcPr>
            <w:tcW w:w="3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jc w:val="both"/>
        <w:ind w:right="80" w:firstLine="619"/>
        <w:spacing w:after="0" w:line="264" w:lineRule="auto"/>
        <w:rPr>
          <w:sz w:val="20"/>
          <w:szCs w:val="20"/>
          <w:color w:val="auto"/>
        </w:rPr>
      </w:pPr>
      <w:r>
        <w:rPr>
          <w:rFonts w:ascii="Arial" w:cs="Arial" w:eastAsia="Arial" w:hAnsi="Arial"/>
          <w:sz w:val="14"/>
          <w:szCs w:val="14"/>
          <w:color w:val="auto"/>
        </w:rPr>
        <w:t>Other expense was $0.6 million in the three months ended April 30, 2025 compared to other income of $1.0 million for the same period last year. Other expense in the current year quarter was driven by foreign currency transaction loss resulting from a weakening of the U.S. dollar relative to the Mexican peso during the period, which more than offset interest income.</w:t>
      </w:r>
    </w:p>
    <w:p>
      <w:pPr>
        <w:spacing w:after="0" w:line="165" w:lineRule="exact"/>
        <w:rPr>
          <w:sz w:val="20"/>
          <w:szCs w:val="20"/>
          <w:color w:val="auto"/>
        </w:rPr>
      </w:pPr>
    </w:p>
    <w:p>
      <w:pPr>
        <w:jc w:val="both"/>
        <w:ind w:right="80" w:firstLine="619"/>
        <w:spacing w:after="0" w:line="278" w:lineRule="auto"/>
        <w:rPr>
          <w:sz w:val="20"/>
          <w:szCs w:val="20"/>
          <w:color w:val="auto"/>
        </w:rPr>
      </w:pPr>
      <w:r>
        <w:rPr>
          <w:rFonts w:ascii="Arial" w:cs="Arial" w:eastAsia="Arial" w:hAnsi="Arial"/>
          <w:sz w:val="14"/>
          <w:szCs w:val="14"/>
          <w:color w:val="auto"/>
        </w:rPr>
        <w:t>Other income was $0.9 million in the six months ended April 30, 2025 compared to zero in the same period last year, primarily due to greater foreign currency losses resulting from the weakening of the U.S. dollar relative to the Mexican peso in the previous year.</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Provision for income taxes</w:t>
      </w:r>
    </w:p>
    <w:p>
      <w:pPr>
        <w:spacing w:after="0" w:line="221" w:lineRule="exact"/>
        <w:rPr>
          <w:sz w:val="20"/>
          <w:szCs w:val="20"/>
          <w:color w:val="auto"/>
        </w:rPr>
      </w:pPr>
    </w:p>
    <w:p>
      <w:pPr>
        <w:ind w:right="60" w:firstLine="619"/>
        <w:spacing w:after="0" w:line="259" w:lineRule="auto"/>
        <w:rPr>
          <w:sz w:val="20"/>
          <w:szCs w:val="20"/>
          <w:color w:val="auto"/>
        </w:rPr>
      </w:pPr>
      <w:r>
        <w:rPr>
          <w:rFonts w:ascii="Arial" w:cs="Arial" w:eastAsia="Arial" w:hAnsi="Arial"/>
          <w:sz w:val="14"/>
          <w:szCs w:val="14"/>
          <w:color w:val="auto"/>
        </w:rPr>
        <w:t>The provision for income taxes consists of the consolidation of tax provisions, computed on a separate entity basis, in each country in which we have operations. We recognize the effects of tax legislation in the period in which the law is enacted. Our deferred tax assets and liabilities are measured using enacted tax rates expected to apply to taxable income in the years we estimate the related temporary differences to reverse. Realization of deferred tax assets is dependent upon future earnings, the timing and amount of which are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36" w:lineRule="exact"/>
        <w:rPr>
          <w:sz w:val="20"/>
          <w:szCs w:val="20"/>
          <w:color w:val="auto"/>
        </w:rPr>
      </w:pPr>
    </w:p>
    <w:p>
      <w:pPr>
        <w:ind w:right="180" w:firstLine="619"/>
        <w:spacing w:after="0" w:line="264" w:lineRule="auto"/>
        <w:rPr>
          <w:sz w:val="20"/>
          <w:szCs w:val="20"/>
          <w:color w:val="auto"/>
        </w:rPr>
      </w:pPr>
      <w:r>
        <w:rPr>
          <w:rFonts w:ascii="Arial" w:cs="Arial" w:eastAsia="Arial" w:hAnsi="Arial"/>
          <w:sz w:val="14"/>
          <w:szCs w:val="14"/>
          <w:color w:val="auto"/>
        </w:rPr>
        <w:t>We recognize a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are recognized within provision for income taxes.</w:t>
      </w:r>
    </w:p>
    <w:p>
      <w:pPr>
        <w:spacing w:after="0" w:line="165" w:lineRule="exact"/>
        <w:rPr>
          <w:sz w:val="20"/>
          <w:szCs w:val="20"/>
          <w:color w:val="auto"/>
        </w:rPr>
      </w:pPr>
    </w:p>
    <w:p>
      <w:pPr>
        <w:ind w:right="360" w:firstLine="619"/>
        <w:spacing w:after="0" w:line="278" w:lineRule="auto"/>
        <w:rPr>
          <w:sz w:val="20"/>
          <w:szCs w:val="20"/>
          <w:color w:val="auto"/>
        </w:rPr>
      </w:pPr>
      <w:r>
        <w:rPr>
          <w:rFonts w:ascii="Arial" w:cs="Arial" w:eastAsia="Arial" w:hAnsi="Arial"/>
          <w:sz w:val="14"/>
          <w:szCs w:val="14"/>
          <w:color w:val="auto"/>
        </w:rPr>
        <w:t>Our effective tax rate is impacted by income attributable to foreign jurisdictions which is taxed at different rates from the U.S. federal statutory tax rate of 21%, changes in foreign exchange rates taxable in foreign jurisdictions and nondeductible tax items.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8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8"/>
              </w:rPr>
              <w:t>Three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0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7"/>
              </w:rPr>
              <w:t>Six Months Ended</w:t>
            </w:r>
          </w:p>
        </w:tc>
        <w:tc>
          <w:tcPr>
            <w:tcW w:w="800" w:type="dxa"/>
            <w:vAlign w:val="bottom"/>
          </w:tcPr>
          <w:p>
            <w:pPr>
              <w:spacing w:after="0"/>
              <w:rPr>
                <w:sz w:val="14"/>
                <w:szCs w:val="14"/>
                <w:color w:val="auto"/>
              </w:rPr>
            </w:pPr>
          </w:p>
        </w:tc>
      </w:tr>
      <w:tr>
        <w:trPr>
          <w:trHeight w:val="196"/>
        </w:trPr>
        <w:tc>
          <w:tcPr>
            <w:tcW w:w="39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jc w:val="center"/>
              <w:ind w:left="131"/>
              <w:spacing w:after="0"/>
              <w:rPr>
                <w:sz w:val="20"/>
                <w:szCs w:val="20"/>
                <w:color w:val="auto"/>
              </w:rPr>
            </w:pPr>
            <w:r>
              <w:rPr>
                <w:rFonts w:ascii="Arial" w:cs="Arial" w:eastAsia="Arial" w:hAnsi="Arial"/>
                <w:sz w:val="14"/>
                <w:szCs w:val="14"/>
                <w:b w:val="1"/>
                <w:bCs w:val="1"/>
                <w:color w:val="auto"/>
                <w:w w:val="97"/>
              </w:rPr>
              <w:t>April 30,</w:t>
            </w: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2"/>
          </w:tcPr>
          <w:p>
            <w:pPr>
              <w:jc w:val="center"/>
              <w:ind w:left="91"/>
              <w:spacing w:after="0"/>
              <w:rPr>
                <w:sz w:val="20"/>
                <w:szCs w:val="20"/>
                <w:color w:val="auto"/>
              </w:rPr>
            </w:pPr>
            <w:r>
              <w:rPr>
                <w:rFonts w:ascii="Arial" w:cs="Arial" w:eastAsia="Arial" w:hAnsi="Arial"/>
                <w:sz w:val="14"/>
                <w:szCs w:val="14"/>
                <w:b w:val="1"/>
                <w:bCs w:val="1"/>
                <w:color w:val="auto"/>
                <w:w w:val="97"/>
              </w:rPr>
              <w:t>April 30,</w:t>
            </w:r>
          </w:p>
        </w:tc>
        <w:tc>
          <w:tcPr>
            <w:tcW w:w="800" w:type="dxa"/>
            <w:vAlign w:val="bottom"/>
            <w:tcBorders>
              <w:bottom w:val="single" w:sz="8" w:color="auto"/>
            </w:tcBorders>
          </w:tcPr>
          <w:p>
            <w:pPr>
              <w:spacing w:after="0"/>
              <w:rPr>
                <w:sz w:val="17"/>
                <w:szCs w:val="17"/>
                <w:color w:val="auto"/>
              </w:rPr>
            </w:pPr>
          </w:p>
        </w:tc>
      </w:tr>
      <w:tr>
        <w:trPr>
          <w:trHeight w:val="212"/>
        </w:trPr>
        <w:tc>
          <w:tcPr>
            <w:tcW w:w="3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2025</w:t>
            </w:r>
          </w:p>
        </w:tc>
        <w:tc>
          <w:tcPr>
            <w:tcW w:w="10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2025</w:t>
            </w: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r>
      <w:tr>
        <w:trPr>
          <w:trHeight w:val="199"/>
        </w:trPr>
        <w:tc>
          <w:tcPr>
            <w:tcW w:w="3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Provision for income taxes (in millions)</w:t>
            </w:r>
          </w:p>
        </w:tc>
        <w:tc>
          <w:tcPr>
            <w:tcW w:w="58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1.7</w:t>
            </w:r>
          </w:p>
        </w:tc>
        <w:tc>
          <w:tcPr>
            <w:tcW w:w="1000" w:type="dxa"/>
            <w:vAlign w:val="bottom"/>
            <w:tcBorders>
              <w:bottom w:val="single" w:sz="8" w:color="DBDBDB"/>
            </w:tcBorders>
            <w:shd w:val="clear" w:color="auto" w:fill="DBDBDB"/>
          </w:tcPr>
          <w:p>
            <w:pPr>
              <w:jc w:val="right"/>
              <w:ind w:right="77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3.4</w:t>
            </w:r>
          </w:p>
        </w:tc>
        <w:tc>
          <w:tcPr>
            <w:tcW w:w="26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jc w:val="right"/>
              <w:ind w:right="47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4.9</w:t>
            </w:r>
          </w:p>
        </w:tc>
        <w:tc>
          <w:tcPr>
            <w:tcW w:w="960" w:type="dxa"/>
            <w:vAlign w:val="bottom"/>
            <w:tcBorders>
              <w:bottom w:val="single" w:sz="8" w:color="DBDBDB"/>
            </w:tcBorders>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5.5</w:t>
            </w:r>
          </w:p>
        </w:tc>
      </w:tr>
      <w:tr>
        <w:trPr>
          <w:trHeight w:val="199"/>
        </w:trPr>
        <w:tc>
          <w:tcPr>
            <w:tcW w:w="3920" w:type="dxa"/>
            <w:vAlign w:val="bottom"/>
          </w:tcPr>
          <w:p>
            <w:pPr>
              <w:ind w:left="20"/>
              <w:spacing w:after="0"/>
              <w:rPr>
                <w:sz w:val="20"/>
                <w:szCs w:val="20"/>
                <w:color w:val="auto"/>
              </w:rPr>
            </w:pPr>
            <w:r>
              <w:rPr>
                <w:rFonts w:ascii="Arial" w:cs="Arial" w:eastAsia="Arial" w:hAnsi="Arial"/>
                <w:sz w:val="14"/>
                <w:szCs w:val="14"/>
                <w:color w:val="auto"/>
              </w:rPr>
              <w:t>Effective tax rate</w:t>
            </w:r>
          </w:p>
        </w:tc>
        <w:tc>
          <w:tcPr>
            <w:tcW w:w="580" w:type="dxa"/>
            <w:vAlign w:val="bottom"/>
          </w:tcPr>
          <w:p>
            <w:pPr>
              <w:spacing w:after="0"/>
              <w:rPr>
                <w:sz w:val="17"/>
                <w:szCs w:val="17"/>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36.2 %</w:t>
            </w:r>
          </w:p>
        </w:tc>
        <w:tc>
          <w:tcPr>
            <w:tcW w:w="10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32.7 %</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34.8 %</w:t>
            </w:r>
          </w:p>
        </w:tc>
        <w:tc>
          <w:tcPr>
            <w:tcW w:w="9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37.9 %</w:t>
            </w: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right="60" w:firstLine="619"/>
        <w:spacing w:after="0" w:line="254" w:lineRule="auto"/>
        <w:rPr>
          <w:sz w:val="20"/>
          <w:szCs w:val="20"/>
          <w:color w:val="auto"/>
        </w:rPr>
      </w:pPr>
      <w:r>
        <w:rPr>
          <w:rFonts w:ascii="Arial" w:cs="Arial" w:eastAsia="Arial" w:hAnsi="Arial"/>
          <w:sz w:val="14"/>
          <w:szCs w:val="14"/>
          <w:color w:val="auto"/>
        </w:rPr>
        <w:t>The provision for income tax decreased $1.7 million or 50% and $0.6 million or 11% in the three and six months ended April 30, 2025 compared to the same periods last year, primarily due to the effect of lower income before taxes in the current year. Our effective tax rate was impacted by book losses in jurisdictions where either a full valuation allowance has been recorded or where loss carryforward is disallowed in both years.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Results of Operations</w:t>
      </w:r>
    </w:p>
    <w:p>
      <w:pPr>
        <w:spacing w:after="0" w:line="228" w:lineRule="exact"/>
        <w:rPr>
          <w:sz w:val="20"/>
          <w:szCs w:val="20"/>
          <w:color w:val="auto"/>
        </w:rPr>
      </w:pPr>
    </w:p>
    <w:p>
      <w:pPr>
        <w:ind w:right="60" w:firstLine="619"/>
        <w:spacing w:after="0" w:line="251" w:lineRule="auto"/>
        <w:rPr>
          <w:sz w:val="20"/>
          <w:szCs w:val="20"/>
          <w:color w:val="auto"/>
        </w:rPr>
      </w:pPr>
      <w:r>
        <w:rPr>
          <w:rFonts w:ascii="Arial" w:cs="Arial" w:eastAsia="Arial" w:hAnsi="Arial"/>
          <w:sz w:val="14"/>
          <w:szCs w:val="14"/>
          <w:color w:val="auto"/>
        </w:rPr>
        <w:t>Our CEO evaluates and monitors segment performance primarily through segment sales and segment adjusted earnings before interest expense, income taxes and depreciation and amortization (“adjusted EBITDA”). We believe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 Effective for the fourth quarter of 2024, the Company made a change in presentation of its reconciliation of adjusted EBITDA to its comparable GAAP financial measure to include a subtotal of the non-GAAP adjustments before the effect of the noncontrolling interest adjustment called “adjusted EBITDA before adjustment for noncontrolling interest.” The presentation change has no impact to total adjusted EBITDA. We believe the addition of the subtotal within the reconciliation is useful because it better aligns with management’s sequence of review of the information in the reconciliation.</w:t>
      </w:r>
    </w:p>
    <w:p>
      <w:pPr>
        <w:spacing w:after="0" w:line="188" w:lineRule="exact"/>
        <w:rPr>
          <w:sz w:val="20"/>
          <w:szCs w:val="20"/>
          <w:color w:val="auto"/>
        </w:rPr>
      </w:pPr>
    </w:p>
    <w:p>
      <w:pPr>
        <w:ind w:right="200" w:firstLine="619"/>
        <w:spacing w:after="0" w:line="253" w:lineRule="auto"/>
        <w:rPr>
          <w:sz w:val="20"/>
          <w:szCs w:val="20"/>
          <w:color w:val="auto"/>
        </w:rPr>
      </w:pPr>
      <w:r>
        <w:rPr>
          <w:rFonts w:ascii="Arial" w:cs="Arial" w:eastAsia="Arial" w:hAnsi="Arial"/>
          <w:sz w:val="14"/>
          <w:szCs w:val="14"/>
          <w:color w:val="auto"/>
        </w:rPr>
        <w:t>Adjusted EBITDA refers to net income (loss), before interest expense, income taxes, depreciation and amortization expense, stock-based compensation expense, other income (expense), and income (loss) from equity method investees, further adjusted by asset impairment and disposals, farming costs for nonproductive orchards (which represents land lease costs), recognition of deferred ERP costs, transaction costs, and any special, non-recurring, or one-time items such as remeasurements or impairments, and any portion of these items attributable to the noncontrolling interest, all of which are excluded from the results the CEO uses to assess segment performance and results.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sales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29"/>
        </w:trPr>
        <w:tc>
          <w:tcPr>
            <w:tcW w:w="1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ind w:right="48"/>
              <w:spacing w:after="0"/>
              <w:rPr>
                <w:sz w:val="20"/>
                <w:szCs w:val="20"/>
                <w:color w:val="auto"/>
              </w:rPr>
            </w:pPr>
            <w:r>
              <w:rPr>
                <w:rFonts w:ascii="Arial" w:cs="Arial" w:eastAsia="Arial" w:hAnsi="Arial"/>
                <w:sz w:val="10"/>
                <w:szCs w:val="10"/>
                <w:b w:val="1"/>
                <w:bCs w:val="1"/>
                <w:color w:val="auto"/>
              </w:rPr>
              <w:t>Marketing &amp;</w:t>
            </w:r>
          </w:p>
        </w:tc>
        <w:tc>
          <w:tcPr>
            <w:tcW w:w="300" w:type="dxa"/>
            <w:vAlign w:val="bottom"/>
          </w:tcPr>
          <w:p>
            <w:pPr>
              <w:spacing w:after="0"/>
              <w:rPr>
                <w:sz w:val="11"/>
                <w:szCs w:val="11"/>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b w:val="1"/>
                <w:bCs w:val="1"/>
                <w:color w:val="auto"/>
              </w:rPr>
              <w:t>International</w:t>
            </w:r>
          </w:p>
        </w:tc>
        <w:tc>
          <w:tcPr>
            <w:tcW w:w="320" w:type="dxa"/>
            <w:vAlign w:val="bottom"/>
          </w:tcPr>
          <w:p>
            <w:pPr>
              <w:spacing w:after="0"/>
              <w:rPr>
                <w:sz w:val="11"/>
                <w:szCs w:val="11"/>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rPr>
              <w:t>Blueberries</w:t>
            </w:r>
          </w:p>
        </w:tc>
        <w:tc>
          <w:tcPr>
            <w:tcW w:w="440" w:type="dxa"/>
            <w:vAlign w:val="bottom"/>
          </w:tcPr>
          <w:p>
            <w:pPr>
              <w:spacing w:after="0"/>
              <w:rPr>
                <w:sz w:val="11"/>
                <w:szCs w:val="11"/>
                <w:color w:val="auto"/>
              </w:rPr>
            </w:pPr>
          </w:p>
        </w:tc>
        <w:tc>
          <w:tcPr>
            <w:tcW w:w="920" w:type="dxa"/>
            <w:vAlign w:val="bottom"/>
            <w:gridSpan w:val="2"/>
            <w:vMerge w:val="restart"/>
          </w:tcPr>
          <w:p>
            <w:pPr>
              <w:ind w:left="400"/>
              <w:spacing w:after="0"/>
              <w:rPr>
                <w:sz w:val="20"/>
                <w:szCs w:val="20"/>
                <w:color w:val="auto"/>
              </w:rPr>
            </w:pPr>
            <w:r>
              <w:rPr>
                <w:rFonts w:ascii="Arial" w:cs="Arial" w:eastAsia="Arial" w:hAnsi="Arial"/>
                <w:sz w:val="10"/>
                <w:szCs w:val="10"/>
                <w:b w:val="1"/>
                <w:bCs w:val="1"/>
                <w:color w:val="auto"/>
              </w:rPr>
              <w:t>Total</w:t>
            </w:r>
          </w:p>
        </w:tc>
        <w:tc>
          <w:tcPr>
            <w:tcW w:w="380" w:type="dxa"/>
            <w:vAlign w:val="bottom"/>
          </w:tcPr>
          <w:p>
            <w:pPr>
              <w:spacing w:after="0"/>
              <w:rPr>
                <w:sz w:val="11"/>
                <w:szCs w:val="11"/>
                <w:color w:val="auto"/>
              </w:rPr>
            </w:pPr>
          </w:p>
        </w:tc>
        <w:tc>
          <w:tcPr>
            <w:tcW w:w="700" w:type="dxa"/>
            <w:vAlign w:val="bottom"/>
          </w:tcPr>
          <w:p>
            <w:pPr>
              <w:jc w:val="right"/>
              <w:ind w:right="48"/>
              <w:spacing w:after="0"/>
              <w:rPr>
                <w:sz w:val="20"/>
                <w:szCs w:val="20"/>
                <w:color w:val="auto"/>
              </w:rPr>
            </w:pPr>
            <w:r>
              <w:rPr>
                <w:rFonts w:ascii="Arial" w:cs="Arial" w:eastAsia="Arial" w:hAnsi="Arial"/>
                <w:sz w:val="10"/>
                <w:szCs w:val="10"/>
                <w:b w:val="1"/>
                <w:bCs w:val="1"/>
                <w:color w:val="auto"/>
              </w:rPr>
              <w:t>Marketing &amp;</w:t>
            </w:r>
          </w:p>
        </w:tc>
        <w:tc>
          <w:tcPr>
            <w:tcW w:w="300" w:type="dxa"/>
            <w:vAlign w:val="bottom"/>
          </w:tcPr>
          <w:p>
            <w:pPr>
              <w:spacing w:after="0"/>
              <w:rPr>
                <w:sz w:val="11"/>
                <w:szCs w:val="11"/>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b w:val="1"/>
                <w:bCs w:val="1"/>
                <w:color w:val="auto"/>
              </w:rPr>
              <w:t>International</w:t>
            </w:r>
          </w:p>
        </w:tc>
        <w:tc>
          <w:tcPr>
            <w:tcW w:w="320" w:type="dxa"/>
            <w:vAlign w:val="bottom"/>
          </w:tcPr>
          <w:p>
            <w:pPr>
              <w:spacing w:after="0"/>
              <w:rPr>
                <w:sz w:val="11"/>
                <w:szCs w:val="11"/>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rPr>
              <w:t>Blueberries</w:t>
            </w:r>
          </w:p>
        </w:tc>
        <w:tc>
          <w:tcPr>
            <w:tcW w:w="4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Distribution</w:t>
            </w: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Farming</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Distribution</w:t>
            </w: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Farming</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gridSpan w:val="3"/>
          </w:tcPr>
          <w:p>
            <w:pPr>
              <w:jc w:val="center"/>
              <w:ind w:left="228"/>
              <w:spacing w:after="0"/>
              <w:rPr>
                <w:sz w:val="20"/>
                <w:szCs w:val="20"/>
                <w:color w:val="auto"/>
              </w:rPr>
            </w:pPr>
            <w:r>
              <w:rPr>
                <w:rFonts w:ascii="Arial" w:cs="Arial" w:eastAsia="Arial" w:hAnsi="Arial"/>
                <w:sz w:val="10"/>
                <w:szCs w:val="10"/>
                <w:b w:val="1"/>
                <w:bCs w:val="1"/>
                <w:color w:val="auto"/>
              </w:rPr>
              <w:t>Three Months Ended</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center"/>
              <w:ind w:left="208"/>
              <w:spacing w:after="0"/>
              <w:rPr>
                <w:sz w:val="20"/>
                <w:szCs w:val="20"/>
                <w:color w:val="auto"/>
              </w:rPr>
            </w:pPr>
            <w:r>
              <w:rPr>
                <w:rFonts w:ascii="Arial" w:cs="Arial" w:eastAsia="Arial" w:hAnsi="Arial"/>
                <w:sz w:val="10"/>
                <w:szCs w:val="10"/>
                <w:b w:val="1"/>
                <w:bCs w:val="1"/>
                <w:color w:val="auto"/>
              </w:rPr>
              <w:t>April 30,</w:t>
            </w:r>
          </w:p>
        </w:tc>
        <w:tc>
          <w:tcPr>
            <w:tcW w:w="7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80" w:type="dxa"/>
            <w:vAlign w:val="bottom"/>
          </w:tcPr>
          <w:p>
            <w:pPr>
              <w:ind w:left="20"/>
              <w:spacing w:after="0"/>
              <w:rPr>
                <w:sz w:val="20"/>
                <w:szCs w:val="20"/>
                <w:color w:val="auto"/>
              </w:rPr>
            </w:pPr>
            <w:r>
              <w:rPr>
                <w:rFonts w:ascii="Arial" w:cs="Arial" w:eastAsia="Arial" w:hAnsi="Arial"/>
                <w:sz w:val="10"/>
                <w:szCs w:val="10"/>
                <w:color w:val="auto"/>
              </w:rPr>
              <w:t>(In millions)</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2025</w:t>
            </w: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2024</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Third party sales</w:t>
            </w:r>
          </w:p>
        </w:tc>
        <w:tc>
          <w:tcPr>
            <w:tcW w:w="24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362.5</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2.1</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15.7</w:t>
            </w:r>
          </w:p>
        </w:tc>
        <w:tc>
          <w:tcPr>
            <w:tcW w:w="44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380.3</w:t>
            </w:r>
          </w:p>
        </w:tc>
        <w:tc>
          <w:tcPr>
            <w:tcW w:w="260" w:type="dxa"/>
            <w:vAlign w:val="bottom"/>
            <w:tcBorders>
              <w:bottom w:val="single" w:sz="8" w:color="DBDBDB"/>
            </w:tcBorders>
            <w:shd w:val="clear" w:color="auto" w:fill="DBDBDB"/>
          </w:tcPr>
          <w:p>
            <w:pPr>
              <w:spacing w:after="0"/>
              <w:rPr>
                <w:sz w:val="13"/>
                <w:szCs w:val="13"/>
                <w:color w:val="auto"/>
              </w:rPr>
            </w:pPr>
          </w:p>
        </w:tc>
        <w:tc>
          <w:tcPr>
            <w:tcW w:w="3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287.1</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0.5</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10.0</w:t>
            </w:r>
          </w:p>
        </w:tc>
        <w:tc>
          <w:tcPr>
            <w:tcW w:w="4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297.6</w:t>
            </w:r>
          </w:p>
        </w:tc>
        <w:tc>
          <w:tcPr>
            <w:tcW w:w="0" w:type="dxa"/>
            <w:vAlign w:val="bottom"/>
          </w:tcPr>
          <w:p>
            <w:pPr>
              <w:spacing w:after="0"/>
              <w:rPr>
                <w:sz w:val="1"/>
                <w:szCs w:val="1"/>
                <w:color w:val="auto"/>
              </w:rPr>
            </w:pPr>
          </w:p>
        </w:tc>
      </w:tr>
      <w:tr>
        <w:trPr>
          <w:trHeight w:val="148"/>
        </w:trPr>
        <w:tc>
          <w:tcPr>
            <w:tcW w:w="1880" w:type="dxa"/>
            <w:vAlign w:val="bottom"/>
          </w:tcPr>
          <w:p>
            <w:pPr>
              <w:ind w:left="20"/>
              <w:spacing w:after="0"/>
              <w:rPr>
                <w:sz w:val="20"/>
                <w:szCs w:val="20"/>
                <w:color w:val="auto"/>
              </w:rPr>
            </w:pPr>
            <w:r>
              <w:rPr>
                <w:rFonts w:ascii="Arial" w:cs="Arial" w:eastAsia="Arial" w:hAnsi="Arial"/>
                <w:sz w:val="10"/>
                <w:szCs w:val="10"/>
                <w:color w:val="auto"/>
              </w:rPr>
              <w:t>Affiliated sales</w:t>
            </w:r>
          </w:p>
        </w:tc>
        <w:tc>
          <w:tcPr>
            <w:tcW w:w="240" w:type="dxa"/>
            <w:vAlign w:val="bottom"/>
          </w:tcPr>
          <w:p>
            <w:pPr>
              <w:spacing w:after="0"/>
              <w:rPr>
                <w:sz w:val="12"/>
                <w:szCs w:val="12"/>
                <w:color w:val="auto"/>
              </w:rPr>
            </w:pPr>
          </w:p>
        </w:tc>
        <w:tc>
          <w:tcPr>
            <w:tcW w:w="84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6.0</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6.0</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0.9</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0.9</w:t>
            </w:r>
          </w:p>
        </w:tc>
        <w:tc>
          <w:tcPr>
            <w:tcW w:w="0" w:type="dxa"/>
            <w:vAlign w:val="bottom"/>
          </w:tcPr>
          <w:p>
            <w:pPr>
              <w:spacing w:after="0"/>
              <w:rPr>
                <w:sz w:val="1"/>
                <w:szCs w:val="1"/>
                <w:color w:val="auto"/>
              </w:rPr>
            </w:pPr>
          </w:p>
        </w:tc>
      </w:tr>
      <w:tr>
        <w:trPr>
          <w:trHeight w:val="32"/>
        </w:trPr>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segment sales</w:t>
            </w:r>
          </w:p>
        </w:tc>
        <w:tc>
          <w:tcPr>
            <w:tcW w:w="24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362.5</w:t>
            </w:r>
          </w:p>
        </w:tc>
        <w:tc>
          <w:tcPr>
            <w:tcW w:w="3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8.1</w:t>
            </w:r>
          </w:p>
        </w:tc>
        <w:tc>
          <w:tcPr>
            <w:tcW w:w="3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15.7</w:t>
            </w:r>
          </w:p>
        </w:tc>
        <w:tc>
          <w:tcPr>
            <w:tcW w:w="440" w:type="dxa"/>
            <w:vAlign w:val="bottom"/>
            <w:tcBorders>
              <w:bottom w:val="single" w:sz="8" w:color="DBDBDB"/>
            </w:tcBorders>
            <w:shd w:val="clear" w:color="auto" w:fill="DBDBDB"/>
          </w:tcPr>
          <w:p>
            <w:pPr>
              <w:spacing w:after="0"/>
              <w:rPr>
                <w:sz w:val="13"/>
                <w:szCs w:val="13"/>
                <w:color w:val="auto"/>
              </w:rPr>
            </w:pP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386.3</w:t>
            </w:r>
          </w:p>
        </w:tc>
        <w:tc>
          <w:tcPr>
            <w:tcW w:w="260" w:type="dxa"/>
            <w:vAlign w:val="bottom"/>
            <w:tcBorders>
              <w:bottom w:val="single" w:sz="8" w:color="DBDBDB"/>
            </w:tcBorders>
            <w:shd w:val="clear" w:color="auto" w:fill="DBDBDB"/>
          </w:tcPr>
          <w:p>
            <w:pPr>
              <w:spacing w:after="0"/>
              <w:rPr>
                <w:sz w:val="13"/>
                <w:szCs w:val="13"/>
                <w:color w:val="auto"/>
              </w:rPr>
            </w:pPr>
          </w:p>
        </w:tc>
        <w:tc>
          <w:tcPr>
            <w:tcW w:w="380" w:type="dxa"/>
            <w:vAlign w:val="bottom"/>
            <w:tcBorders>
              <w:bottom w:val="single" w:sz="8" w:color="DBDBDB"/>
            </w:tcBorders>
            <w:shd w:val="clear" w:color="auto" w:fill="DBDBDB"/>
          </w:tcPr>
          <w:p>
            <w:pPr>
              <w:spacing w:after="0"/>
              <w:rPr>
                <w:sz w:val="13"/>
                <w:szCs w:val="13"/>
                <w:color w:val="auto"/>
              </w:rPr>
            </w:pPr>
          </w:p>
        </w:tc>
        <w:tc>
          <w:tcPr>
            <w:tcW w:w="70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287.1</w:t>
            </w:r>
          </w:p>
        </w:tc>
        <w:tc>
          <w:tcPr>
            <w:tcW w:w="3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1.4</w:t>
            </w:r>
          </w:p>
        </w:tc>
        <w:tc>
          <w:tcPr>
            <w:tcW w:w="3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10.0</w:t>
            </w:r>
          </w:p>
        </w:tc>
        <w:tc>
          <w:tcPr>
            <w:tcW w:w="48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298.5</w:t>
            </w:r>
          </w:p>
        </w:tc>
        <w:tc>
          <w:tcPr>
            <w:tcW w:w="0" w:type="dxa"/>
            <w:vAlign w:val="bottom"/>
          </w:tcPr>
          <w:p>
            <w:pPr>
              <w:spacing w:after="0"/>
              <w:rPr>
                <w:sz w:val="1"/>
                <w:szCs w:val="1"/>
                <w:color w:val="auto"/>
              </w:rPr>
            </w:pPr>
          </w:p>
        </w:tc>
      </w:tr>
      <w:tr>
        <w:trPr>
          <w:trHeight w:val="148"/>
        </w:trPr>
        <w:tc>
          <w:tcPr>
            <w:tcW w:w="1880" w:type="dxa"/>
            <w:vAlign w:val="bottom"/>
          </w:tcPr>
          <w:p>
            <w:pPr>
              <w:ind w:left="20"/>
              <w:spacing w:after="0"/>
              <w:rPr>
                <w:sz w:val="20"/>
                <w:szCs w:val="20"/>
                <w:color w:val="auto"/>
              </w:rPr>
            </w:pPr>
            <w:r>
              <w:rPr>
                <w:rFonts w:ascii="Arial" w:cs="Arial" w:eastAsia="Arial" w:hAnsi="Arial"/>
                <w:sz w:val="10"/>
                <w:szCs w:val="10"/>
                <w:color w:val="auto"/>
              </w:rPr>
              <w:t>Intercompany eliminations</w:t>
            </w:r>
          </w:p>
        </w:tc>
        <w:tc>
          <w:tcPr>
            <w:tcW w:w="240" w:type="dxa"/>
            <w:vAlign w:val="bottom"/>
          </w:tcPr>
          <w:p>
            <w:pPr>
              <w:spacing w:after="0"/>
              <w:rPr>
                <w:sz w:val="12"/>
                <w:szCs w:val="12"/>
                <w:color w:val="auto"/>
              </w:rPr>
            </w:pPr>
          </w:p>
        </w:tc>
        <w:tc>
          <w:tcPr>
            <w:tcW w:w="84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(6.0)</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(6.0)</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(0.9)</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(0.9)</w:t>
            </w:r>
          </w:p>
        </w:tc>
        <w:tc>
          <w:tcPr>
            <w:tcW w:w="0" w:type="dxa"/>
            <w:vAlign w:val="bottom"/>
          </w:tcPr>
          <w:p>
            <w:pPr>
              <w:spacing w:after="0"/>
              <w:rPr>
                <w:sz w:val="1"/>
                <w:szCs w:val="1"/>
                <w:color w:val="auto"/>
              </w:rPr>
            </w:pPr>
          </w:p>
        </w:tc>
      </w:tr>
      <w:tr>
        <w:trPr>
          <w:trHeight w:val="32"/>
        </w:trPr>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net sales</w:t>
            </w:r>
          </w:p>
        </w:tc>
        <w:tc>
          <w:tcPr>
            <w:tcW w:w="24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362.5</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2.1</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15.7</w:t>
            </w:r>
          </w:p>
        </w:tc>
        <w:tc>
          <w:tcPr>
            <w:tcW w:w="44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380.3</w:t>
            </w:r>
          </w:p>
        </w:tc>
        <w:tc>
          <w:tcPr>
            <w:tcW w:w="260" w:type="dxa"/>
            <w:vAlign w:val="bottom"/>
            <w:tcBorders>
              <w:bottom w:val="single" w:sz="8" w:color="DBDBDB"/>
            </w:tcBorders>
            <w:shd w:val="clear" w:color="auto" w:fill="DBDBDB"/>
          </w:tcPr>
          <w:p>
            <w:pPr>
              <w:spacing w:after="0"/>
              <w:rPr>
                <w:sz w:val="15"/>
                <w:szCs w:val="15"/>
                <w:color w:val="auto"/>
              </w:rPr>
            </w:pPr>
          </w:p>
        </w:tc>
        <w:tc>
          <w:tcPr>
            <w:tcW w:w="3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287.1</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0.5</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10.0</w:t>
            </w:r>
          </w:p>
        </w:tc>
        <w:tc>
          <w:tcPr>
            <w:tcW w:w="4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297.6</w:t>
            </w:r>
          </w:p>
        </w:tc>
        <w:tc>
          <w:tcPr>
            <w:tcW w:w="0" w:type="dxa"/>
            <w:vAlign w:val="bottom"/>
          </w:tcPr>
          <w:p>
            <w:pPr>
              <w:spacing w:after="0"/>
              <w:rPr>
                <w:sz w:val="1"/>
                <w:szCs w:val="1"/>
                <w:color w:val="auto"/>
              </w:rPr>
            </w:pPr>
          </w:p>
        </w:tc>
      </w:tr>
      <w:tr>
        <w:trPr>
          <w:trHeight w:val="135"/>
        </w:trPr>
        <w:tc>
          <w:tcPr>
            <w:tcW w:w="18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tcPr>
          <w:p>
            <w:pPr>
              <w:jc w:val="center"/>
              <w:ind w:left="228"/>
              <w:spacing w:after="0"/>
              <w:rPr>
                <w:sz w:val="20"/>
                <w:szCs w:val="20"/>
                <w:color w:val="auto"/>
              </w:rPr>
            </w:pPr>
            <w:r>
              <w:rPr>
                <w:rFonts w:ascii="Arial" w:cs="Arial" w:eastAsia="Arial" w:hAnsi="Arial"/>
                <w:sz w:val="10"/>
                <w:szCs w:val="10"/>
                <w:b w:val="1"/>
                <w:bCs w:val="1"/>
                <w:color w:val="auto"/>
              </w:rPr>
              <w:t>Six Months Ended</w:t>
            </w:r>
          </w:p>
        </w:tc>
        <w:tc>
          <w:tcPr>
            <w:tcW w:w="7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center"/>
              <w:ind w:left="208"/>
              <w:spacing w:after="0"/>
              <w:rPr>
                <w:sz w:val="20"/>
                <w:szCs w:val="20"/>
                <w:color w:val="auto"/>
              </w:rPr>
            </w:pPr>
            <w:r>
              <w:rPr>
                <w:rFonts w:ascii="Arial" w:cs="Arial" w:eastAsia="Arial" w:hAnsi="Arial"/>
                <w:sz w:val="10"/>
                <w:szCs w:val="10"/>
                <w:b w:val="1"/>
                <w:bCs w:val="1"/>
                <w:color w:val="auto"/>
              </w:rPr>
              <w:t>April 30,</w:t>
            </w:r>
          </w:p>
        </w:tc>
        <w:tc>
          <w:tcPr>
            <w:tcW w:w="7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2025</w:t>
            </w: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2024</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88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Third party sales</w:t>
            </w:r>
          </w:p>
        </w:tc>
        <w:tc>
          <w:tcPr>
            <w:tcW w:w="24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658.3</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4.1</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52.1</w:t>
            </w:r>
          </w:p>
        </w:tc>
        <w:tc>
          <w:tcPr>
            <w:tcW w:w="44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714.5</w:t>
            </w:r>
          </w:p>
        </w:tc>
        <w:tc>
          <w:tcPr>
            <w:tcW w:w="260" w:type="dxa"/>
            <w:vAlign w:val="bottom"/>
            <w:tcBorders>
              <w:bottom w:val="single" w:sz="8" w:color="DBDBDB"/>
            </w:tcBorders>
            <w:shd w:val="clear" w:color="auto" w:fill="DBDBDB"/>
          </w:tcPr>
          <w:p>
            <w:pPr>
              <w:spacing w:after="0"/>
              <w:rPr>
                <w:sz w:val="13"/>
                <w:szCs w:val="13"/>
                <w:color w:val="auto"/>
              </w:rPr>
            </w:pPr>
          </w:p>
        </w:tc>
        <w:tc>
          <w:tcPr>
            <w:tcW w:w="3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511.7</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2.1</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42.5</w:t>
            </w:r>
          </w:p>
        </w:tc>
        <w:tc>
          <w:tcPr>
            <w:tcW w:w="4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556.3</w:t>
            </w:r>
          </w:p>
        </w:tc>
        <w:tc>
          <w:tcPr>
            <w:tcW w:w="0" w:type="dxa"/>
            <w:vAlign w:val="bottom"/>
          </w:tcPr>
          <w:p>
            <w:pPr>
              <w:spacing w:after="0"/>
              <w:rPr>
                <w:sz w:val="1"/>
                <w:szCs w:val="1"/>
                <w:color w:val="auto"/>
              </w:rPr>
            </w:pPr>
          </w:p>
        </w:tc>
      </w:tr>
      <w:tr>
        <w:trPr>
          <w:trHeight w:val="148"/>
        </w:trPr>
        <w:tc>
          <w:tcPr>
            <w:tcW w:w="1880" w:type="dxa"/>
            <w:vAlign w:val="bottom"/>
          </w:tcPr>
          <w:p>
            <w:pPr>
              <w:ind w:left="20"/>
              <w:spacing w:after="0"/>
              <w:rPr>
                <w:sz w:val="20"/>
                <w:szCs w:val="20"/>
                <w:color w:val="auto"/>
              </w:rPr>
            </w:pPr>
            <w:r>
              <w:rPr>
                <w:rFonts w:ascii="Arial" w:cs="Arial" w:eastAsia="Arial" w:hAnsi="Arial"/>
                <w:sz w:val="10"/>
                <w:szCs w:val="10"/>
                <w:color w:val="auto"/>
              </w:rPr>
              <w:t>Affiliated sales</w:t>
            </w:r>
          </w:p>
        </w:tc>
        <w:tc>
          <w:tcPr>
            <w:tcW w:w="240" w:type="dxa"/>
            <w:vAlign w:val="bottom"/>
          </w:tcPr>
          <w:p>
            <w:pPr>
              <w:spacing w:after="0"/>
              <w:rPr>
                <w:sz w:val="12"/>
                <w:szCs w:val="12"/>
                <w:color w:val="auto"/>
              </w:rPr>
            </w:pPr>
          </w:p>
        </w:tc>
        <w:tc>
          <w:tcPr>
            <w:tcW w:w="84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13.2</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13.2</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5.1</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5.1</w:t>
            </w:r>
          </w:p>
        </w:tc>
        <w:tc>
          <w:tcPr>
            <w:tcW w:w="0" w:type="dxa"/>
            <w:vAlign w:val="bottom"/>
          </w:tcPr>
          <w:p>
            <w:pPr>
              <w:spacing w:after="0"/>
              <w:rPr>
                <w:sz w:val="1"/>
                <w:szCs w:val="1"/>
                <w:color w:val="auto"/>
              </w:rPr>
            </w:pPr>
          </w:p>
        </w:tc>
      </w:tr>
      <w:tr>
        <w:trPr>
          <w:trHeight w:val="32"/>
        </w:trPr>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segment sales</w:t>
            </w:r>
          </w:p>
        </w:tc>
        <w:tc>
          <w:tcPr>
            <w:tcW w:w="24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658.3</w:t>
            </w:r>
          </w:p>
        </w:tc>
        <w:tc>
          <w:tcPr>
            <w:tcW w:w="3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17.3</w:t>
            </w:r>
          </w:p>
        </w:tc>
        <w:tc>
          <w:tcPr>
            <w:tcW w:w="3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52.1</w:t>
            </w:r>
          </w:p>
        </w:tc>
        <w:tc>
          <w:tcPr>
            <w:tcW w:w="440" w:type="dxa"/>
            <w:vAlign w:val="bottom"/>
            <w:tcBorders>
              <w:bottom w:val="single" w:sz="8" w:color="DBDBDB"/>
            </w:tcBorders>
            <w:shd w:val="clear" w:color="auto" w:fill="DBDBDB"/>
          </w:tcPr>
          <w:p>
            <w:pPr>
              <w:spacing w:after="0"/>
              <w:rPr>
                <w:sz w:val="13"/>
                <w:szCs w:val="13"/>
                <w:color w:val="auto"/>
              </w:rPr>
            </w:pP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727.7</w:t>
            </w:r>
          </w:p>
        </w:tc>
        <w:tc>
          <w:tcPr>
            <w:tcW w:w="260" w:type="dxa"/>
            <w:vAlign w:val="bottom"/>
            <w:tcBorders>
              <w:bottom w:val="single" w:sz="8" w:color="DBDBDB"/>
            </w:tcBorders>
            <w:shd w:val="clear" w:color="auto" w:fill="DBDBDB"/>
          </w:tcPr>
          <w:p>
            <w:pPr>
              <w:spacing w:after="0"/>
              <w:rPr>
                <w:sz w:val="13"/>
                <w:szCs w:val="13"/>
                <w:color w:val="auto"/>
              </w:rPr>
            </w:pPr>
          </w:p>
        </w:tc>
        <w:tc>
          <w:tcPr>
            <w:tcW w:w="380" w:type="dxa"/>
            <w:vAlign w:val="bottom"/>
            <w:tcBorders>
              <w:bottom w:val="single" w:sz="8" w:color="DBDBDB"/>
            </w:tcBorders>
            <w:shd w:val="clear" w:color="auto" w:fill="DBDBDB"/>
          </w:tcPr>
          <w:p>
            <w:pPr>
              <w:spacing w:after="0"/>
              <w:rPr>
                <w:sz w:val="13"/>
                <w:szCs w:val="13"/>
                <w:color w:val="auto"/>
              </w:rPr>
            </w:pPr>
          </w:p>
        </w:tc>
        <w:tc>
          <w:tcPr>
            <w:tcW w:w="70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511.7</w:t>
            </w:r>
          </w:p>
        </w:tc>
        <w:tc>
          <w:tcPr>
            <w:tcW w:w="300" w:type="dxa"/>
            <w:vAlign w:val="bottom"/>
            <w:tcBorders>
              <w:bottom w:val="single" w:sz="8" w:color="DBDBDB"/>
            </w:tcBorders>
            <w:shd w:val="clear" w:color="auto" w:fill="DBDBDB"/>
          </w:tcPr>
          <w:p>
            <w:pPr>
              <w:spacing w:after="0"/>
              <w:rPr>
                <w:sz w:val="13"/>
                <w:szCs w:val="13"/>
                <w:color w:val="auto"/>
              </w:rPr>
            </w:pP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7.2</w:t>
            </w:r>
          </w:p>
        </w:tc>
        <w:tc>
          <w:tcPr>
            <w:tcW w:w="32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42.5</w:t>
            </w:r>
          </w:p>
        </w:tc>
        <w:tc>
          <w:tcPr>
            <w:tcW w:w="48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561.4</w:t>
            </w:r>
          </w:p>
        </w:tc>
        <w:tc>
          <w:tcPr>
            <w:tcW w:w="0" w:type="dxa"/>
            <w:vAlign w:val="bottom"/>
          </w:tcPr>
          <w:p>
            <w:pPr>
              <w:spacing w:after="0"/>
              <w:rPr>
                <w:sz w:val="1"/>
                <w:szCs w:val="1"/>
                <w:color w:val="auto"/>
              </w:rPr>
            </w:pPr>
          </w:p>
        </w:tc>
      </w:tr>
      <w:tr>
        <w:trPr>
          <w:trHeight w:val="148"/>
        </w:trPr>
        <w:tc>
          <w:tcPr>
            <w:tcW w:w="1880" w:type="dxa"/>
            <w:vAlign w:val="bottom"/>
          </w:tcPr>
          <w:p>
            <w:pPr>
              <w:ind w:left="20"/>
              <w:spacing w:after="0"/>
              <w:rPr>
                <w:sz w:val="20"/>
                <w:szCs w:val="20"/>
                <w:color w:val="auto"/>
              </w:rPr>
            </w:pPr>
            <w:r>
              <w:rPr>
                <w:rFonts w:ascii="Arial" w:cs="Arial" w:eastAsia="Arial" w:hAnsi="Arial"/>
                <w:sz w:val="10"/>
                <w:szCs w:val="10"/>
                <w:color w:val="auto"/>
              </w:rPr>
              <w:t>Intercompany eliminations</w:t>
            </w:r>
          </w:p>
        </w:tc>
        <w:tc>
          <w:tcPr>
            <w:tcW w:w="240" w:type="dxa"/>
            <w:vAlign w:val="bottom"/>
          </w:tcPr>
          <w:p>
            <w:pPr>
              <w:spacing w:after="0"/>
              <w:rPr>
                <w:sz w:val="12"/>
                <w:szCs w:val="12"/>
                <w:color w:val="auto"/>
              </w:rPr>
            </w:pPr>
          </w:p>
        </w:tc>
        <w:tc>
          <w:tcPr>
            <w:tcW w:w="84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(13.2)</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(13.2)</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(5.1)</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(5.1)</w:t>
            </w:r>
          </w:p>
        </w:tc>
        <w:tc>
          <w:tcPr>
            <w:tcW w:w="0" w:type="dxa"/>
            <w:vAlign w:val="bottom"/>
          </w:tcPr>
          <w:p>
            <w:pPr>
              <w:spacing w:after="0"/>
              <w:rPr>
                <w:sz w:val="1"/>
                <w:szCs w:val="1"/>
                <w:color w:val="auto"/>
              </w:rPr>
            </w:pPr>
          </w:p>
        </w:tc>
      </w:tr>
      <w:tr>
        <w:trPr>
          <w:trHeight w:val="32"/>
        </w:trPr>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net sales</w:t>
            </w:r>
          </w:p>
        </w:tc>
        <w:tc>
          <w:tcPr>
            <w:tcW w:w="24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658.3</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4.1</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52.1</w:t>
            </w:r>
          </w:p>
        </w:tc>
        <w:tc>
          <w:tcPr>
            <w:tcW w:w="440" w:type="dxa"/>
            <w:vAlign w:val="bottom"/>
            <w:tcBorders>
              <w:bottom w:val="single" w:sz="8" w:color="DBDBDB"/>
            </w:tcBorders>
            <w:shd w:val="clear" w:color="auto" w:fill="DBDBDB"/>
          </w:tcPr>
          <w:p>
            <w:pPr>
              <w:jc w:val="right"/>
              <w:ind w:right="228"/>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714.5</w:t>
            </w:r>
          </w:p>
        </w:tc>
        <w:tc>
          <w:tcPr>
            <w:tcW w:w="260" w:type="dxa"/>
            <w:vAlign w:val="bottom"/>
            <w:tcBorders>
              <w:bottom w:val="single" w:sz="8" w:color="DBDBDB"/>
            </w:tcBorders>
            <w:shd w:val="clear" w:color="auto" w:fill="DBDBDB"/>
          </w:tcPr>
          <w:p>
            <w:pPr>
              <w:spacing w:after="0"/>
              <w:rPr>
                <w:sz w:val="13"/>
                <w:szCs w:val="13"/>
                <w:color w:val="auto"/>
              </w:rPr>
            </w:pPr>
          </w:p>
        </w:tc>
        <w:tc>
          <w:tcPr>
            <w:tcW w:w="3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511.7</w:t>
            </w:r>
          </w:p>
        </w:tc>
        <w:tc>
          <w:tcPr>
            <w:tcW w:w="30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0"/>
                <w:szCs w:val="10"/>
                <w:color w:val="auto"/>
              </w:rPr>
              <w:t>2.1</w:t>
            </w:r>
          </w:p>
        </w:tc>
        <w:tc>
          <w:tcPr>
            <w:tcW w:w="32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0"/>
                <w:szCs w:val="10"/>
                <w:color w:val="auto"/>
              </w:rPr>
              <w:t>42.5</w:t>
            </w:r>
          </w:p>
        </w:tc>
        <w:tc>
          <w:tcPr>
            <w:tcW w:w="480" w:type="dxa"/>
            <w:vAlign w:val="bottom"/>
            <w:tcBorders>
              <w:bottom w:val="single" w:sz="8" w:color="DBDBDB"/>
            </w:tcBorders>
            <w:shd w:val="clear" w:color="auto" w:fill="DBDBDB"/>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0"/>
                <w:szCs w:val="10"/>
                <w:color w:val="auto"/>
              </w:rPr>
              <w:t>556.3</w:t>
            </w: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Adjusted EBITDA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60" w:type="dxa"/>
            <w:vAlign w:val="bottom"/>
            <w:gridSpan w:val="2"/>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60" w:type="dxa"/>
            <w:vAlign w:val="bottom"/>
            <w:gridSpan w:val="2"/>
          </w:tcPr>
          <w:p>
            <w:pPr>
              <w:jc w:val="right"/>
              <w:ind w:right="291"/>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r>
      <w:tr>
        <w:trPr>
          <w:trHeight w:val="196"/>
        </w:trPr>
        <w:tc>
          <w:tcPr>
            <w:tcW w:w="40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right"/>
              <w:ind w:right="651"/>
              <w:spacing w:after="0"/>
              <w:rPr>
                <w:sz w:val="20"/>
                <w:szCs w:val="20"/>
                <w:color w:val="auto"/>
              </w:rPr>
            </w:pPr>
            <w:r>
              <w:rPr>
                <w:rFonts w:ascii="Arial" w:cs="Arial" w:eastAsia="Arial" w:hAnsi="Arial"/>
                <w:sz w:val="14"/>
                <w:szCs w:val="14"/>
                <w:b w:val="1"/>
                <w:bCs w:val="1"/>
                <w:color w:val="auto"/>
              </w:rPr>
              <w:t>April 30,</w:t>
            </w:r>
          </w:p>
        </w:tc>
        <w:tc>
          <w:tcPr>
            <w:tcW w:w="7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2"/>
          </w:tcPr>
          <w:p>
            <w:pPr>
              <w:jc w:val="right"/>
              <w:ind w:right="611"/>
              <w:spacing w:after="0"/>
              <w:rPr>
                <w:sz w:val="20"/>
                <w:szCs w:val="20"/>
                <w:color w:val="auto"/>
              </w:rPr>
            </w:pPr>
            <w:r>
              <w:rPr>
                <w:rFonts w:ascii="Arial" w:cs="Arial" w:eastAsia="Arial" w:hAnsi="Arial"/>
                <w:sz w:val="14"/>
                <w:szCs w:val="14"/>
                <w:b w:val="1"/>
                <w:bCs w:val="1"/>
                <w:color w:val="auto"/>
              </w:rPr>
              <w:t>April 30,</w:t>
            </w:r>
          </w:p>
        </w:tc>
        <w:tc>
          <w:tcPr>
            <w:tcW w:w="780" w:type="dxa"/>
            <w:vAlign w:val="bottom"/>
            <w:tcBorders>
              <w:bottom w:val="single" w:sz="8" w:color="auto"/>
            </w:tcBorders>
          </w:tcPr>
          <w:p>
            <w:pPr>
              <w:spacing w:after="0"/>
              <w:rPr>
                <w:sz w:val="17"/>
                <w:szCs w:val="17"/>
                <w:color w:val="auto"/>
              </w:rPr>
            </w:pPr>
          </w:p>
        </w:tc>
      </w:tr>
      <w:tr>
        <w:trPr>
          <w:trHeight w:val="212"/>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2025</w:t>
            </w:r>
          </w:p>
        </w:tc>
        <w:tc>
          <w:tcPr>
            <w:tcW w:w="10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2025</w:t>
            </w:r>
          </w:p>
        </w:tc>
        <w:tc>
          <w:tcPr>
            <w:tcW w:w="9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r>
      <w:tr>
        <w:trPr>
          <w:trHeight w:val="199"/>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Marketing &amp; Distribution adjusted EBITDA</w:t>
            </w:r>
          </w:p>
        </w:tc>
        <w:tc>
          <w:tcPr>
            <w:tcW w:w="56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16.8</w:t>
            </w:r>
          </w:p>
        </w:tc>
        <w:tc>
          <w:tcPr>
            <w:tcW w:w="100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21.7</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jc w:val="right"/>
              <w:ind w:right="45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26.5</w:t>
            </w:r>
          </w:p>
        </w:tc>
        <w:tc>
          <w:tcPr>
            <w:tcW w:w="960" w:type="dxa"/>
            <w:vAlign w:val="bottom"/>
            <w:tcBorders>
              <w:bottom w:val="single" w:sz="8" w:color="DBDBDB"/>
            </w:tcBorders>
            <w:shd w:val="clear" w:color="auto" w:fill="DBDBDB"/>
          </w:tcPr>
          <w:p>
            <w:pPr>
              <w:jc w:val="right"/>
              <w:ind w:right="7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32.7</w:t>
            </w:r>
          </w:p>
        </w:tc>
      </w:tr>
      <w:tr>
        <w:trPr>
          <w:trHeight w:val="199"/>
        </w:trPr>
        <w:tc>
          <w:tcPr>
            <w:tcW w:w="4060" w:type="dxa"/>
            <w:vAlign w:val="bottom"/>
          </w:tcPr>
          <w:p>
            <w:pPr>
              <w:ind w:left="20"/>
              <w:spacing w:after="0"/>
              <w:rPr>
                <w:sz w:val="20"/>
                <w:szCs w:val="20"/>
                <w:color w:val="auto"/>
              </w:rPr>
            </w:pPr>
            <w:r>
              <w:rPr>
                <w:rFonts w:ascii="Arial" w:cs="Arial" w:eastAsia="Arial" w:hAnsi="Arial"/>
                <w:sz w:val="14"/>
                <w:szCs w:val="14"/>
                <w:color w:val="auto"/>
              </w:rPr>
              <w:t>International Farming adjusted EBITDA</w:t>
            </w:r>
          </w:p>
        </w:tc>
        <w:tc>
          <w:tcPr>
            <w:tcW w:w="56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1.5</w:t>
            </w:r>
          </w:p>
        </w:tc>
        <w:tc>
          <w:tcPr>
            <w:tcW w:w="10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3.3</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0"/>
        </w:trPr>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4"/>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Blueberries adjusted EBITDA</w:t>
            </w:r>
          </w:p>
        </w:tc>
        <w:tc>
          <w:tcPr>
            <w:tcW w:w="56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0.8</w:t>
            </w:r>
          </w:p>
        </w:tc>
        <w:tc>
          <w:tcPr>
            <w:tcW w:w="100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0.7</w:t>
            </w:r>
          </w:p>
        </w:tc>
        <w:tc>
          <w:tcPr>
            <w:tcW w:w="260" w:type="dxa"/>
            <w:vAlign w:val="bottom"/>
            <w:tcBorders>
              <w:bottom w:val="single" w:sz="8" w:color="DBDBDB"/>
            </w:tcBorders>
            <w:shd w:val="clear" w:color="auto" w:fill="DBDBDB"/>
          </w:tcPr>
          <w:p>
            <w:pPr>
              <w:spacing w:after="0"/>
              <w:rPr>
                <w:sz w:val="19"/>
                <w:szCs w:val="19"/>
                <w:color w:val="auto"/>
              </w:rPr>
            </w:pPr>
          </w:p>
        </w:tc>
        <w:tc>
          <w:tcPr>
            <w:tcW w:w="620" w:type="dxa"/>
            <w:vAlign w:val="bottom"/>
            <w:tcBorders>
              <w:bottom w:val="single" w:sz="8" w:color="DBDBDB"/>
            </w:tcBorders>
            <w:shd w:val="clear" w:color="auto" w:fill="DBDBDB"/>
          </w:tcPr>
          <w:p>
            <w:pPr>
              <w:spacing w:after="0"/>
              <w:rPr>
                <w:sz w:val="19"/>
                <w:szCs w:val="19"/>
                <w:color w:val="auto"/>
              </w:rPr>
            </w:pP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7.0</w:t>
            </w:r>
          </w:p>
        </w:tc>
        <w:tc>
          <w:tcPr>
            <w:tcW w:w="960" w:type="dxa"/>
            <w:vAlign w:val="bottom"/>
            <w:tcBorders>
              <w:bottom w:val="single" w:sz="8" w:color="DBDBDB"/>
            </w:tcBorders>
            <w:shd w:val="clear" w:color="auto" w:fill="DBDBDB"/>
          </w:tcPr>
          <w:p>
            <w:pPr>
              <w:spacing w:after="0"/>
              <w:rPr>
                <w:sz w:val="19"/>
                <w:szCs w:val="19"/>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9.4</w:t>
            </w:r>
          </w:p>
        </w:tc>
      </w:tr>
      <w:tr>
        <w:trPr>
          <w:trHeight w:val="192"/>
        </w:trPr>
        <w:tc>
          <w:tcPr>
            <w:tcW w:w="40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reportable segment adjusted EBITDA</w:t>
            </w:r>
          </w:p>
        </w:tc>
        <w:tc>
          <w:tcPr>
            <w:tcW w:w="56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19.1</w:t>
            </w:r>
          </w:p>
        </w:tc>
        <w:tc>
          <w:tcPr>
            <w:tcW w:w="1000" w:type="dxa"/>
            <w:vAlign w:val="bottom"/>
            <w:tcBorders>
              <w:top w:val="single" w:sz="8" w:color="auto"/>
            </w:tcBorders>
          </w:tcPr>
          <w:p>
            <w:pPr>
              <w:jc w:val="right"/>
              <w:ind w:right="751"/>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2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36.8</w:t>
            </w:r>
          </w:p>
        </w:tc>
        <w:tc>
          <w:tcPr>
            <w:tcW w:w="960" w:type="dxa"/>
            <w:vAlign w:val="bottom"/>
            <w:tcBorders>
              <w:top w:val="single" w:sz="8" w:color="auto"/>
            </w:tcBorders>
          </w:tcPr>
          <w:p>
            <w:pPr>
              <w:jc w:val="right"/>
              <w:ind w:right="7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39.4</w:t>
            </w: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2"/>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w:t>
            </w:r>
          </w:p>
        </w:tc>
        <w:tc>
          <w:tcPr>
            <w:tcW w:w="56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3.0</w:t>
            </w:r>
          </w:p>
        </w:tc>
        <w:tc>
          <w:tcPr>
            <w:tcW w:w="100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7.0</w:t>
            </w:r>
          </w:p>
        </w:tc>
        <w:tc>
          <w:tcPr>
            <w:tcW w:w="260" w:type="dxa"/>
            <w:vAlign w:val="bottom"/>
            <w:tcBorders>
              <w:bottom w:val="single" w:sz="8" w:color="DBDBDB"/>
            </w:tcBorders>
            <w:shd w:val="clear" w:color="auto" w:fill="DBDBDB"/>
          </w:tcPr>
          <w:p>
            <w:pPr>
              <w:spacing w:after="0"/>
              <w:rPr>
                <w:sz w:val="16"/>
                <w:szCs w:val="16"/>
                <w:color w:val="auto"/>
              </w:rPr>
            </w:pPr>
          </w:p>
        </w:tc>
        <w:tc>
          <w:tcPr>
            <w:tcW w:w="6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9.2</w:t>
            </w:r>
          </w:p>
        </w:tc>
        <w:tc>
          <w:tcPr>
            <w:tcW w:w="96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9.0</w:t>
            </w:r>
          </w:p>
        </w:tc>
      </w:tr>
      <w:tr>
        <w:trPr>
          <w:trHeight w:val="219"/>
        </w:trPr>
        <w:tc>
          <w:tcPr>
            <w:tcW w:w="4060" w:type="dxa"/>
            <w:vAlign w:val="bottom"/>
          </w:tcPr>
          <w:p>
            <w:pPr>
              <w:ind w:left="20"/>
              <w:spacing w:after="0"/>
              <w:rPr>
                <w:sz w:val="20"/>
                <w:szCs w:val="20"/>
                <w:color w:val="auto"/>
              </w:rPr>
            </w:pPr>
            <w:r>
              <w:rPr>
                <w:rFonts w:ascii="Arial" w:cs="Arial" w:eastAsia="Arial" w:hAnsi="Arial"/>
                <w:sz w:val="14"/>
                <w:szCs w:val="14"/>
                <w:color w:val="auto"/>
              </w:rPr>
              <w:t>Interest expense</w:t>
            </w:r>
            <w:r>
              <w:rPr>
                <w:rFonts w:ascii="Arial" w:cs="Arial" w:eastAsia="Arial" w:hAnsi="Arial"/>
                <w:sz w:val="17"/>
                <w:szCs w:val="17"/>
                <w:color w:val="auto"/>
                <w:vertAlign w:val="superscript"/>
              </w:rPr>
              <w:t>(1)</w:t>
            </w:r>
          </w:p>
        </w:tc>
        <w:tc>
          <w:tcPr>
            <w:tcW w:w="56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2.5</w:t>
            </w:r>
          </w:p>
        </w:tc>
        <w:tc>
          <w:tcPr>
            <w:tcW w:w="10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4.7</w:t>
            </w:r>
          </w:p>
        </w:tc>
        <w:tc>
          <w:tcPr>
            <w:tcW w:w="9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99"/>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Provision for income taxes</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1.7</w:t>
            </w:r>
          </w:p>
        </w:tc>
        <w:tc>
          <w:tcPr>
            <w:tcW w:w="100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3.4</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4.9</w:t>
            </w:r>
          </w:p>
        </w:tc>
        <w:tc>
          <w:tcPr>
            <w:tcW w:w="9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5.5</w:t>
            </w:r>
          </w:p>
        </w:tc>
      </w:tr>
      <w:tr>
        <w:trPr>
          <w:trHeight w:val="219"/>
        </w:trPr>
        <w:tc>
          <w:tcPr>
            <w:tcW w:w="4060" w:type="dxa"/>
            <w:vAlign w:val="bottom"/>
          </w:tcPr>
          <w:p>
            <w:pPr>
              <w:ind w:left="20"/>
              <w:spacing w:after="0"/>
              <w:rPr>
                <w:sz w:val="20"/>
                <w:szCs w:val="20"/>
                <w:color w:val="auto"/>
              </w:rPr>
            </w:pPr>
            <w:r>
              <w:rPr>
                <w:rFonts w:ascii="Arial" w:cs="Arial" w:eastAsia="Arial" w:hAnsi="Arial"/>
                <w:sz w:val="14"/>
                <w:szCs w:val="14"/>
                <w:color w:val="auto"/>
              </w:rPr>
              <w:t>Depreciation and amortization</w:t>
            </w:r>
            <w:r>
              <w:rPr>
                <w:rFonts w:ascii="Arial" w:cs="Arial" w:eastAsia="Arial" w:hAnsi="Arial"/>
                <w:sz w:val="17"/>
                <w:szCs w:val="17"/>
                <w:color w:val="auto"/>
                <w:vertAlign w:val="superscript"/>
              </w:rPr>
              <w:t>(2)</w:t>
            </w:r>
          </w:p>
        </w:tc>
        <w:tc>
          <w:tcPr>
            <w:tcW w:w="56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7.0</w:t>
            </w:r>
          </w:p>
        </w:tc>
        <w:tc>
          <w:tcPr>
            <w:tcW w:w="10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15.7</w:t>
            </w:r>
          </w:p>
        </w:tc>
        <w:tc>
          <w:tcPr>
            <w:tcW w:w="9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18.6</w:t>
            </w:r>
          </w:p>
        </w:tc>
      </w:tr>
      <w:tr>
        <w:trPr>
          <w:trHeight w:val="199"/>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(0.9)</w:t>
            </w:r>
          </w:p>
        </w:tc>
        <w:tc>
          <w:tcPr>
            <w:tcW w:w="100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(0.5)</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(1.7)</w:t>
            </w:r>
          </w:p>
        </w:tc>
        <w:tc>
          <w:tcPr>
            <w:tcW w:w="9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(0.9)</w:t>
            </w:r>
          </w:p>
        </w:tc>
      </w:tr>
      <w:tr>
        <w:trPr>
          <w:trHeight w:val="199"/>
        </w:trPr>
        <w:tc>
          <w:tcPr>
            <w:tcW w:w="40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56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1.9</w:t>
            </w:r>
          </w:p>
        </w:tc>
        <w:tc>
          <w:tcPr>
            <w:tcW w:w="10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3.9</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0"/>
        </w:trPr>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Losses on asset impairment and disposals</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1.7</w:t>
            </w:r>
          </w:p>
        </w:tc>
        <w:tc>
          <w:tcPr>
            <w:tcW w:w="100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0.2</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1.8</w:t>
            </w:r>
          </w:p>
        </w:tc>
        <w:tc>
          <w:tcPr>
            <w:tcW w:w="9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0.4</w:t>
            </w:r>
          </w:p>
        </w:tc>
      </w:tr>
      <w:tr>
        <w:trPr>
          <w:trHeight w:val="199"/>
        </w:trPr>
        <w:tc>
          <w:tcPr>
            <w:tcW w:w="4060" w:type="dxa"/>
            <w:vAlign w:val="bottom"/>
          </w:tcPr>
          <w:p>
            <w:pPr>
              <w:ind w:left="20"/>
              <w:spacing w:after="0"/>
              <w:rPr>
                <w:sz w:val="20"/>
                <w:szCs w:val="20"/>
                <w:color w:val="auto"/>
              </w:rPr>
            </w:pPr>
            <w:r>
              <w:rPr>
                <w:rFonts w:ascii="Arial" w:cs="Arial" w:eastAsia="Arial" w:hAnsi="Arial"/>
                <w:sz w:val="14"/>
                <w:szCs w:val="14"/>
                <w:color w:val="auto"/>
              </w:rPr>
              <w:t>Farming costs for nonproductive orchards</w:t>
            </w:r>
          </w:p>
        </w:tc>
        <w:tc>
          <w:tcPr>
            <w:tcW w:w="56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0.3</w:t>
            </w:r>
          </w:p>
        </w:tc>
        <w:tc>
          <w:tcPr>
            <w:tcW w:w="10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0.3</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0.8</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0"/>
        </w:trPr>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Recognition of deferred ERP costs</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0.5</w:t>
            </w:r>
          </w:p>
        </w:tc>
        <w:tc>
          <w:tcPr>
            <w:tcW w:w="100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0.6</w:t>
            </w:r>
          </w:p>
        </w:tc>
        <w:tc>
          <w:tcPr>
            <w:tcW w:w="260" w:type="dxa"/>
            <w:vAlign w:val="bottom"/>
            <w:tcBorders>
              <w:bottom w:val="single" w:sz="8" w:color="DBDBDB"/>
            </w:tcBorders>
            <w:shd w:val="clear" w:color="auto" w:fill="DBDBDB"/>
          </w:tcPr>
          <w:p>
            <w:pPr>
              <w:spacing w:after="0"/>
              <w:rPr>
                <w:sz w:val="17"/>
                <w:szCs w:val="17"/>
                <w:color w:val="auto"/>
              </w:rPr>
            </w:pPr>
          </w:p>
        </w:tc>
        <w:tc>
          <w:tcPr>
            <w:tcW w:w="6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1.1</w:t>
            </w:r>
          </w:p>
        </w:tc>
        <w:tc>
          <w:tcPr>
            <w:tcW w:w="9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1.1</w:t>
            </w:r>
          </w:p>
        </w:tc>
      </w:tr>
      <w:tr>
        <w:trPr>
          <w:trHeight w:val="199"/>
        </w:trPr>
        <w:tc>
          <w:tcPr>
            <w:tcW w:w="4060" w:type="dxa"/>
            <w:vAlign w:val="bottom"/>
          </w:tcPr>
          <w:p>
            <w:pPr>
              <w:ind w:left="20"/>
              <w:spacing w:after="0"/>
              <w:rPr>
                <w:sz w:val="20"/>
                <w:szCs w:val="20"/>
                <w:color w:val="auto"/>
              </w:rPr>
            </w:pPr>
            <w:r>
              <w:rPr>
                <w:rFonts w:ascii="Arial" w:cs="Arial" w:eastAsia="Arial" w:hAnsi="Arial"/>
                <w:sz w:val="14"/>
                <w:szCs w:val="14"/>
                <w:color w:val="auto"/>
              </w:rPr>
              <w:t>Severance</w:t>
            </w:r>
          </w:p>
        </w:tc>
        <w:tc>
          <w:tcPr>
            <w:tcW w:w="56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Legal settlement</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gridSpan w:val="2"/>
            <w:shd w:val="clear" w:color="auto" w:fill="DBDBDB"/>
          </w:tcPr>
          <w:p>
            <w:pPr>
              <w:jc w:val="right"/>
              <w:ind w:right="3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0.2</w:t>
            </w:r>
          </w:p>
        </w:tc>
      </w:tr>
      <w:tr>
        <w:trPr>
          <w:trHeight w:val="199"/>
        </w:trPr>
        <w:tc>
          <w:tcPr>
            <w:tcW w:w="4060" w:type="dxa"/>
            <w:vAlign w:val="bottom"/>
          </w:tcPr>
          <w:p>
            <w:pPr>
              <w:ind w:left="20"/>
              <w:spacing w:after="0"/>
              <w:rPr>
                <w:sz w:val="20"/>
                <w:szCs w:val="20"/>
                <w:color w:val="auto"/>
              </w:rPr>
            </w:pPr>
            <w:r>
              <w:rPr>
                <w:rFonts w:ascii="Arial" w:cs="Arial" w:eastAsia="Arial" w:hAnsi="Arial"/>
                <w:sz w:val="14"/>
                <w:szCs w:val="14"/>
                <w:color w:val="auto"/>
              </w:rPr>
              <w:t>Transaction costs</w:t>
            </w:r>
          </w:p>
        </w:tc>
        <w:tc>
          <w:tcPr>
            <w:tcW w:w="560" w:type="dxa"/>
            <w:vAlign w:val="bottom"/>
          </w:tcPr>
          <w:p>
            <w:pPr>
              <w:spacing w:after="0"/>
              <w:rPr>
                <w:sz w:val="17"/>
                <w:szCs w:val="17"/>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0.1</w:t>
            </w:r>
          </w:p>
        </w:tc>
        <w:tc>
          <w:tcPr>
            <w:tcW w:w="100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0.2</w:t>
            </w:r>
          </w:p>
        </w:tc>
        <w:tc>
          <w:tcPr>
            <w:tcW w:w="9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9"/>
        </w:trPr>
        <w:tc>
          <w:tcPr>
            <w:tcW w:w="4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Canada site closures</w:t>
            </w:r>
            <w:r>
              <w:rPr>
                <w:rFonts w:ascii="Arial" w:cs="Arial" w:eastAsia="Arial" w:hAnsi="Arial"/>
                <w:sz w:val="17"/>
                <w:szCs w:val="17"/>
                <w:color w:val="auto"/>
                <w:vertAlign w:val="superscript"/>
              </w:rPr>
              <w:t>(3)</w:t>
            </w:r>
          </w:p>
        </w:tc>
        <w:tc>
          <w:tcPr>
            <w:tcW w:w="5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71"/>
              <w:spacing w:after="0"/>
              <w:rPr>
                <w:sz w:val="20"/>
                <w:szCs w:val="20"/>
                <w:color w:val="auto"/>
              </w:rPr>
            </w:pPr>
            <w:r>
              <w:rPr>
                <w:rFonts w:ascii="Arial" w:cs="Arial" w:eastAsia="Arial" w:hAnsi="Arial"/>
                <w:sz w:val="14"/>
                <w:szCs w:val="14"/>
                <w:color w:val="auto"/>
              </w:rPr>
              <w:t>0.2</w:t>
            </w:r>
          </w:p>
        </w:tc>
        <w:tc>
          <w:tcPr>
            <w:tcW w:w="10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320"/>
              <w:spacing w:after="0"/>
              <w:rPr>
                <w:sz w:val="20"/>
                <w:szCs w:val="20"/>
                <w:color w:val="auto"/>
              </w:rPr>
            </w:pPr>
            <w:r>
              <w:rPr>
                <w:rFonts w:ascii="Arial" w:cs="Arial" w:eastAsia="Arial" w:hAnsi="Arial"/>
                <w:sz w:val="14"/>
                <w:szCs w:val="14"/>
                <w:color w:val="auto"/>
              </w:rPr>
              <w:t>—</w:t>
            </w:r>
          </w:p>
        </w:tc>
        <w:tc>
          <w:tcPr>
            <w:tcW w:w="62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71"/>
              <w:spacing w:after="0"/>
              <w:rPr>
                <w:sz w:val="20"/>
                <w:szCs w:val="20"/>
                <w:color w:val="auto"/>
              </w:rPr>
            </w:pPr>
            <w:r>
              <w:rPr>
                <w:rFonts w:ascii="Arial" w:cs="Arial" w:eastAsia="Arial" w:hAnsi="Arial"/>
                <w:sz w:val="14"/>
                <w:szCs w:val="14"/>
                <w:color w:val="auto"/>
              </w:rPr>
              <w:t>0.7</w:t>
            </w:r>
          </w:p>
        </w:tc>
        <w:tc>
          <w:tcPr>
            <w:tcW w:w="96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4060" w:type="dxa"/>
            <w:vAlign w:val="bottom"/>
          </w:tcPr>
          <w:p>
            <w:pPr>
              <w:ind w:left="20"/>
              <w:spacing w:after="0"/>
              <w:rPr>
                <w:sz w:val="20"/>
                <w:szCs w:val="20"/>
                <w:color w:val="auto"/>
              </w:rPr>
            </w:pPr>
            <w:r>
              <w:rPr>
                <w:rFonts w:ascii="Arial" w:cs="Arial" w:eastAsia="Arial" w:hAnsi="Arial"/>
                <w:sz w:val="14"/>
                <w:szCs w:val="14"/>
                <w:color w:val="auto"/>
              </w:rPr>
              <w:t>Tariffs</w:t>
            </w:r>
            <w:r>
              <w:rPr>
                <w:rFonts w:ascii="Arial" w:cs="Arial" w:eastAsia="Arial" w:hAnsi="Arial"/>
                <w:sz w:val="17"/>
                <w:szCs w:val="17"/>
                <w:color w:val="auto"/>
                <w:vertAlign w:val="superscript"/>
              </w:rPr>
              <w:t>(4)</w:t>
            </w:r>
          </w:p>
        </w:tc>
        <w:tc>
          <w:tcPr>
            <w:tcW w:w="56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1.1</w:t>
            </w:r>
          </w:p>
        </w:tc>
        <w:tc>
          <w:tcPr>
            <w:tcW w:w="10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9"/>
                <w:szCs w:val="19"/>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1.1</w:t>
            </w:r>
          </w:p>
        </w:tc>
        <w:tc>
          <w:tcPr>
            <w:tcW w:w="9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4"/>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 expense (income), net</w:t>
            </w:r>
          </w:p>
        </w:tc>
        <w:tc>
          <w:tcPr>
            <w:tcW w:w="56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0.6</w:t>
            </w:r>
          </w:p>
        </w:tc>
        <w:tc>
          <w:tcPr>
            <w:tcW w:w="100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DBDBDB"/>
            </w:tcBorders>
            <w:shd w:val="clear" w:color="auto" w:fill="DBDBDB"/>
          </w:tcPr>
          <w:p>
            <w:pPr>
              <w:spacing w:after="0"/>
              <w:rPr>
                <w:sz w:val="19"/>
                <w:szCs w:val="19"/>
                <w:color w:val="auto"/>
              </w:rPr>
            </w:pPr>
          </w:p>
        </w:tc>
        <w:tc>
          <w:tcPr>
            <w:tcW w:w="620" w:type="dxa"/>
            <w:vAlign w:val="bottom"/>
            <w:tcBorders>
              <w:bottom w:val="single" w:sz="8" w:color="DBDBDB"/>
            </w:tcBorders>
            <w:shd w:val="clear" w:color="auto" w:fill="DBDBDB"/>
          </w:tcPr>
          <w:p>
            <w:pPr>
              <w:spacing w:after="0"/>
              <w:rPr>
                <w:sz w:val="19"/>
                <w:szCs w:val="19"/>
                <w:color w:val="auto"/>
              </w:rPr>
            </w:pPr>
          </w:p>
        </w:tc>
        <w:tc>
          <w:tcPr>
            <w:tcW w:w="110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(0.9)</w:t>
            </w:r>
          </w:p>
        </w:tc>
        <w:tc>
          <w:tcPr>
            <w:tcW w:w="960" w:type="dxa"/>
            <w:vAlign w:val="bottom"/>
            <w:tcBorders>
              <w:bottom w:val="single" w:sz="8" w:color="DBDBDB"/>
            </w:tcBorders>
            <w:shd w:val="clear" w:color="auto" w:fill="DBDBDB"/>
          </w:tcPr>
          <w:p>
            <w:pPr>
              <w:spacing w:after="0"/>
              <w:rPr>
                <w:sz w:val="19"/>
                <w:szCs w:val="19"/>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40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Adjusted EBITDA before adjustment for noncontrolling interest</w:t>
            </w:r>
          </w:p>
        </w:tc>
        <w:tc>
          <w:tcPr>
            <w:tcW w:w="5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19.7</w:t>
            </w:r>
          </w:p>
        </w:tc>
        <w:tc>
          <w:tcPr>
            <w:tcW w:w="10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2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41.5</w:t>
            </w:r>
          </w:p>
        </w:tc>
        <w:tc>
          <w:tcPr>
            <w:tcW w:w="9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45.7</w:t>
            </w:r>
          </w:p>
        </w:tc>
      </w:tr>
      <w:tr>
        <w:trPr>
          <w:trHeight w:val="20"/>
        </w:trPr>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9"/>
        </w:trPr>
        <w:tc>
          <w:tcPr>
            <w:tcW w:w="40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Noncontrolling interest</w:t>
            </w:r>
            <w:r>
              <w:rPr>
                <w:rFonts w:ascii="Arial" w:cs="Arial" w:eastAsia="Arial" w:hAnsi="Arial"/>
                <w:sz w:val="17"/>
                <w:szCs w:val="17"/>
                <w:color w:val="auto"/>
                <w:vertAlign w:val="superscript"/>
              </w:rPr>
              <w:t>(5)</w:t>
            </w:r>
          </w:p>
        </w:tc>
        <w:tc>
          <w:tcPr>
            <w:tcW w:w="56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4"/>
                <w:szCs w:val="14"/>
                <w:color w:val="auto"/>
              </w:rPr>
              <w:t>(0.6)</w:t>
            </w:r>
          </w:p>
        </w:tc>
        <w:tc>
          <w:tcPr>
            <w:tcW w:w="1000" w:type="dxa"/>
            <w:vAlign w:val="bottom"/>
            <w:tcBorders>
              <w:bottom w:val="single" w:sz="8" w:color="auto"/>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(0.5)</w:t>
            </w:r>
          </w:p>
        </w:tc>
        <w:tc>
          <w:tcPr>
            <w:tcW w:w="26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31"/>
              <w:spacing w:after="0"/>
              <w:rPr>
                <w:sz w:val="20"/>
                <w:szCs w:val="20"/>
                <w:color w:val="auto"/>
              </w:rPr>
            </w:pPr>
            <w:r>
              <w:rPr>
                <w:rFonts w:ascii="Arial" w:cs="Arial" w:eastAsia="Arial" w:hAnsi="Arial"/>
                <w:sz w:val="14"/>
                <w:szCs w:val="14"/>
                <w:color w:val="auto"/>
              </w:rPr>
              <w:t>(4.7)</w:t>
            </w:r>
          </w:p>
        </w:tc>
        <w:tc>
          <w:tcPr>
            <w:tcW w:w="96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(6.3)</w:t>
            </w:r>
          </w:p>
        </w:tc>
      </w:tr>
      <w:tr>
        <w:trPr>
          <w:trHeight w:val="192"/>
        </w:trPr>
        <w:tc>
          <w:tcPr>
            <w:tcW w:w="4060" w:type="dxa"/>
            <w:vAlign w:val="bottom"/>
          </w:tcPr>
          <w:p>
            <w:pPr>
              <w:ind w:left="20"/>
              <w:spacing w:after="0"/>
              <w:rPr>
                <w:sz w:val="20"/>
                <w:szCs w:val="20"/>
                <w:color w:val="auto"/>
              </w:rPr>
            </w:pPr>
            <w:r>
              <w:rPr>
                <w:rFonts w:ascii="Arial" w:cs="Arial" w:eastAsia="Arial" w:hAnsi="Arial"/>
                <w:sz w:val="14"/>
                <w:szCs w:val="14"/>
                <w:color w:val="auto"/>
              </w:rPr>
              <w:t>Total adjusted EBITDA</w:t>
            </w:r>
          </w:p>
        </w:tc>
        <w:tc>
          <w:tcPr>
            <w:tcW w:w="560" w:type="dxa"/>
            <w:vAlign w:val="bottom"/>
          </w:tcPr>
          <w:p>
            <w:pPr>
              <w:jc w:val="right"/>
              <w:ind w:right="41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19.1</w:t>
            </w:r>
          </w:p>
        </w:tc>
        <w:tc>
          <w:tcPr>
            <w:tcW w:w="1000" w:type="dxa"/>
            <w:vAlign w:val="bottom"/>
          </w:tcPr>
          <w:p>
            <w:pPr>
              <w:jc w:val="right"/>
              <w:ind w:right="75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20.2</w:t>
            </w:r>
          </w:p>
        </w:tc>
        <w:tc>
          <w:tcPr>
            <w:tcW w:w="260" w:type="dxa"/>
            <w:vAlign w:val="bottom"/>
          </w:tcPr>
          <w:p>
            <w:pPr>
              <w:spacing w:after="0"/>
              <w:rPr>
                <w:sz w:val="16"/>
                <w:szCs w:val="16"/>
                <w:color w:val="auto"/>
              </w:rPr>
            </w:pPr>
          </w:p>
        </w:tc>
        <w:tc>
          <w:tcPr>
            <w:tcW w:w="620" w:type="dxa"/>
            <w:vAlign w:val="bottom"/>
          </w:tcPr>
          <w:p>
            <w:pPr>
              <w:jc w:val="right"/>
              <w:ind w:right="45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36.8</w:t>
            </w:r>
          </w:p>
        </w:tc>
        <w:tc>
          <w:tcPr>
            <w:tcW w:w="960" w:type="dxa"/>
            <w:vAlign w:val="bottom"/>
          </w:tcPr>
          <w:p>
            <w:pPr>
              <w:jc w:val="right"/>
              <w:ind w:right="71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39.4</w:t>
            </w: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240" w:right="80" w:hanging="237"/>
        <w:spacing w:after="0" w:line="282" w:lineRule="auto"/>
        <w:tabs>
          <w:tab w:leader="none" w:pos="232"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Includes interest expense from finance leases, the most significant of which is for land at our Blueberries segment of $0.5 million for both the three months ended April 30, 2025 and 2024 and $1.0 million for both the six months ended April 30, 2025 and 2024.</w:t>
      </w:r>
    </w:p>
    <w:p>
      <w:pPr>
        <w:spacing w:after="0" w:line="10" w:lineRule="exact"/>
        <w:rPr>
          <w:rFonts w:ascii="Arial" w:cs="Arial" w:eastAsia="Arial" w:hAnsi="Arial"/>
          <w:sz w:val="12"/>
          <w:szCs w:val="12"/>
          <w:color w:val="auto"/>
        </w:rPr>
      </w:pPr>
    </w:p>
    <w:p>
      <w:pPr>
        <w:ind w:left="240" w:right="180" w:hanging="237"/>
        <w:spacing w:after="0" w:line="261" w:lineRule="auto"/>
        <w:tabs>
          <w:tab w:leader="none" w:pos="232"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Includes depreciation and amortization of purchase accounting assets of $0.5 million and $0.4 million for the three months ended April 30, 2025 and 2024, respectively, and $0.8 million and $3.3 million six months ended April 30, 2025 and 2024, respectively. Includes $0.2 million of amortization of the Blueberries finance lease for both the three months ended April 30, 2025 and 2024 and $0.4 million for both the six months ended April 30, 2025 and 2024. The six months ended April 30, 2025 also include $0.9 million of accelerated depreciation expense from fixed assets related to the closure of our Canada facilities during the respective quarter. The six months ended April 30, 2024 also include $4.1 million of accelerated depreciation expense, $2.0 million of which was from purchase accounting assets, for certain blueberry plants determined to have no remaining useful life.</w:t>
      </w:r>
    </w:p>
    <w:p>
      <w:pPr>
        <w:spacing w:after="0" w:line="23" w:lineRule="exact"/>
        <w:rPr>
          <w:rFonts w:ascii="Arial" w:cs="Arial" w:eastAsia="Arial" w:hAnsi="Arial"/>
          <w:sz w:val="12"/>
          <w:szCs w:val="12"/>
          <w:color w:val="auto"/>
        </w:rPr>
      </w:pPr>
    </w:p>
    <w:p>
      <w:pPr>
        <w:ind w:left="220" w:hanging="217"/>
        <w:spacing w:after="0"/>
        <w:tabs>
          <w:tab w:leader="none" w:pos="2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Represents accelerated amortization of operating lease right-of-use assets, early lease termination costs and severance costs incurred due to the closure of our Canada facilities recognized in cost of sales.</w:t>
      </w:r>
    </w:p>
    <w:p>
      <w:pPr>
        <w:spacing w:after="0" w:line="55" w:lineRule="exact"/>
        <w:rPr>
          <w:rFonts w:ascii="Arial" w:cs="Arial" w:eastAsia="Arial" w:hAnsi="Arial"/>
          <w:sz w:val="12"/>
          <w:szCs w:val="12"/>
          <w:color w:val="auto"/>
        </w:rPr>
      </w:pPr>
    </w:p>
    <w:p>
      <w:pPr>
        <w:jc w:val="both"/>
        <w:ind w:left="240" w:right="80" w:hanging="237"/>
        <w:spacing w:after="0" w:line="275" w:lineRule="auto"/>
        <w:tabs>
          <w:tab w:leader="none" w:pos="232" w:val="left"/>
        </w:tabs>
        <w:numPr>
          <w:ilvl w:val="0"/>
          <w:numId w:val="16"/>
        </w:numPr>
        <w:rPr>
          <w:rFonts w:ascii="Arial" w:cs="Arial" w:eastAsia="Arial" w:hAnsi="Arial"/>
          <w:sz w:val="12"/>
          <w:szCs w:val="12"/>
          <w:color w:val="auto"/>
        </w:rPr>
      </w:pPr>
      <w:r>
        <w:rPr>
          <w:rFonts w:ascii="Arial" w:cs="Arial" w:eastAsia="Arial" w:hAnsi="Arial"/>
          <w:sz w:val="12"/>
          <w:szCs w:val="12"/>
          <w:color w:val="auto"/>
        </w:rPr>
        <w:t>Represents tariff charges levied on USMCA-compliant goods imported from Mexico for the three-day period from March 4th to March 6th, 2025. The extremely short-term nature of the charges prevented the Company from effectively passing the charges in both pricing to customers and prices paid for goods from suppliers. USMCA-compliant goods have subsequently been exempted from tariff charges on U.S. imports and additional adjustments are not expected in the future.</w:t>
      </w:r>
    </w:p>
    <w:p>
      <w:pPr>
        <w:spacing w:after="0" w:line="15" w:lineRule="exact"/>
        <w:rPr>
          <w:rFonts w:ascii="Arial" w:cs="Arial" w:eastAsia="Arial" w:hAnsi="Arial"/>
          <w:sz w:val="12"/>
          <w:szCs w:val="12"/>
          <w:color w:val="auto"/>
        </w:rPr>
      </w:pPr>
    </w:p>
    <w:p>
      <w:pPr>
        <w:ind w:left="220" w:hanging="217"/>
        <w:spacing w:after="0"/>
        <w:tabs>
          <w:tab w:leader="none" w:pos="2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Represents net income (loss) attributable to noncontrolling interest plus the impact of non-GAAP adjustments, allocable to the noncontrolling owner based on their percentage of ownership interest.</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Marketing &amp; Distribution</w:t>
      </w:r>
    </w:p>
    <w:p>
      <w:pPr>
        <w:spacing w:after="0" w:line="213" w:lineRule="exact"/>
        <w:rPr>
          <w:sz w:val="20"/>
          <w:szCs w:val="20"/>
          <w:color w:val="auto"/>
        </w:rPr>
      </w:pPr>
    </w:p>
    <w:p>
      <w:pPr>
        <w:ind w:right="40" w:firstLine="619"/>
        <w:spacing w:after="0" w:line="278" w:lineRule="auto"/>
        <w:rPr>
          <w:sz w:val="20"/>
          <w:szCs w:val="20"/>
          <w:color w:val="auto"/>
        </w:rPr>
      </w:pPr>
      <w:r>
        <w:rPr>
          <w:rFonts w:ascii="Arial" w:cs="Arial" w:eastAsia="Arial" w:hAnsi="Arial"/>
          <w:sz w:val="14"/>
          <w:szCs w:val="14"/>
          <w:color w:val="auto"/>
        </w:rPr>
        <w:t>Net sales in our Marketing &amp; Distribution segment increased $75.4 million or 26% and $146.6 million or 29% in the three and six months ended April 30, 2025 compared to the same periods last year, driven by the avocado pricing increases as described above.</w:t>
      </w:r>
    </w:p>
    <w:p>
      <w:pPr>
        <w:spacing w:after="0" w:line="156" w:lineRule="exact"/>
        <w:rPr>
          <w:sz w:val="20"/>
          <w:szCs w:val="20"/>
          <w:color w:val="auto"/>
        </w:rPr>
      </w:pPr>
    </w:p>
    <w:p>
      <w:pPr>
        <w:ind w:right="140" w:firstLine="619"/>
        <w:spacing w:after="0" w:line="278" w:lineRule="auto"/>
        <w:rPr>
          <w:sz w:val="20"/>
          <w:szCs w:val="20"/>
          <w:color w:val="auto"/>
        </w:rPr>
      </w:pPr>
      <w:r>
        <w:rPr>
          <w:rFonts w:ascii="Arial" w:cs="Arial" w:eastAsia="Arial" w:hAnsi="Arial"/>
          <w:sz w:val="14"/>
          <w:szCs w:val="14"/>
          <w:color w:val="auto"/>
        </w:rPr>
        <w:t>Segment adjusted EBITDA decreased $4.9 million or 23% and $6.2 million or 19% in the three and six months ended April 30, 2025 compared to the same periods last year, primarily due to lower per-unit gross margin on avocados sold and higher SG&amp;A expenses,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International Farming</w:t>
      </w:r>
    </w:p>
    <w:p>
      <w:pPr>
        <w:spacing w:after="0" w:line="213" w:lineRule="exact"/>
        <w:rPr>
          <w:sz w:val="20"/>
          <w:szCs w:val="20"/>
          <w:color w:val="auto"/>
        </w:rPr>
      </w:pPr>
    </w:p>
    <w:p>
      <w:pPr>
        <w:ind w:right="40" w:firstLine="619"/>
        <w:spacing w:after="0" w:line="252" w:lineRule="auto"/>
        <w:rPr>
          <w:sz w:val="20"/>
          <w:szCs w:val="20"/>
          <w:color w:val="auto"/>
        </w:rPr>
      </w:pPr>
      <w:r>
        <w:rPr>
          <w:rFonts w:ascii="Arial" w:cs="Arial" w:eastAsia="Arial" w:hAnsi="Arial"/>
          <w:sz w:val="14"/>
          <w:szCs w:val="14"/>
          <w:color w:val="auto"/>
        </w:rPr>
        <w:t>The vast majority of fruit sales from our International Farming segment are made to the Marketing &amp; Distribution segment, with the remainder of revenue largely derived from services provided to third parties and our Blueberries segment. Affiliated sales are concentrated in the second half of the fiscal year in alignment with the Peruvian avocado harvest season, which typically runs from April through September of each year. As a result, adjusted EBITDA for the International Farming segment is generally concentrated in the third and fourth quarters of the fiscal year in alignment with the timing of sales. In addition, the Company operates approximately 700 acres of mangos in Peru. The timing of the mango harvest is generally concentrated in the fiscal second quarter.</w:t>
      </w:r>
    </w:p>
    <w:p>
      <w:pPr>
        <w:spacing w:after="0" w:line="186" w:lineRule="exact"/>
        <w:rPr>
          <w:sz w:val="20"/>
          <w:szCs w:val="20"/>
          <w:color w:val="auto"/>
        </w:rPr>
      </w:pPr>
    </w:p>
    <w:p>
      <w:pPr>
        <w:ind w:firstLine="619"/>
        <w:spacing w:after="0" w:line="253" w:lineRule="auto"/>
        <w:rPr>
          <w:sz w:val="20"/>
          <w:szCs w:val="20"/>
          <w:color w:val="auto"/>
        </w:rPr>
      </w:pPr>
      <w:r>
        <w:rPr>
          <w:rFonts w:ascii="Arial" w:cs="Arial" w:eastAsia="Arial" w:hAnsi="Arial"/>
          <w:sz w:val="14"/>
          <w:szCs w:val="14"/>
          <w:color w:val="auto"/>
        </w:rPr>
        <w:t>Total segment sales in our International Farming segment increased $6.7 million or 479% and $10.1 million or 140% in the three and six months ended April 30, 2025 compared to the same periods last year. Segment adjusted EBITDA increased $3.7 million or 168% and $6.0 million or 222% in the three and six months ended April 30, 2025 compared to the same periods last year. The increases were driven by higher pricing and higher yield from owned mango orchards as well as higher volume of blueberry packing and cooling services.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Blueberries</w:t>
      </w:r>
    </w:p>
    <w:p>
      <w:pPr>
        <w:spacing w:after="0" w:line="213" w:lineRule="exact"/>
        <w:rPr>
          <w:sz w:val="20"/>
          <w:szCs w:val="20"/>
          <w:color w:val="auto"/>
        </w:rPr>
      </w:pPr>
    </w:p>
    <w:p>
      <w:pPr>
        <w:ind w:right="500" w:firstLine="619"/>
        <w:spacing w:after="0" w:line="278" w:lineRule="auto"/>
        <w:rPr>
          <w:sz w:val="20"/>
          <w:szCs w:val="20"/>
          <w:color w:val="auto"/>
        </w:rPr>
      </w:pPr>
      <w:r>
        <w:rPr>
          <w:rFonts w:ascii="Arial" w:cs="Arial" w:eastAsia="Arial" w:hAnsi="Arial"/>
          <w:sz w:val="14"/>
          <w:szCs w:val="14"/>
          <w:color w:val="auto"/>
        </w:rPr>
        <w:t>Sales in our Blueberries segment have traditionally been concentrated in the first and fourth quarters of our fiscal year in alignment with the Peruvian blueberry harvest season, which typically runs from July through February.</w:t>
      </w:r>
    </w:p>
    <w:p>
      <w:pPr>
        <w:spacing w:after="0" w:line="156" w:lineRule="exact"/>
        <w:rPr>
          <w:sz w:val="20"/>
          <w:szCs w:val="20"/>
          <w:color w:val="auto"/>
        </w:rPr>
      </w:pPr>
    </w:p>
    <w:p>
      <w:pPr>
        <w:ind w:right="200" w:firstLine="619"/>
        <w:spacing w:after="0" w:line="278" w:lineRule="auto"/>
        <w:rPr>
          <w:sz w:val="20"/>
          <w:szCs w:val="20"/>
          <w:color w:val="auto"/>
        </w:rPr>
      </w:pPr>
      <w:r>
        <w:rPr>
          <w:rFonts w:ascii="Arial" w:cs="Arial" w:eastAsia="Arial" w:hAnsi="Arial"/>
          <w:sz w:val="14"/>
          <w:szCs w:val="14"/>
          <w:color w:val="auto"/>
        </w:rPr>
        <w:t>Net sales in our Blueberries segment increased $5.7 million or 57% in the three months ended April 30, 2025 compared to the same period last year, primarily due to higher volume driven by increased total acreage and yields from our farms.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Segment adjusted EBITDA was flat for the three months ended April 30, 2025 compared to the same period last year as the volume growth offset the lower per-unit margin.</w:t>
      </w:r>
    </w:p>
    <w:p>
      <w:pPr>
        <w:spacing w:after="0" w:line="213" w:lineRule="exact"/>
        <w:rPr>
          <w:sz w:val="20"/>
          <w:szCs w:val="20"/>
          <w:color w:val="auto"/>
        </w:rPr>
      </w:pPr>
    </w:p>
    <w:p>
      <w:pPr>
        <w:ind w:right="180" w:firstLine="619"/>
        <w:spacing w:after="0" w:line="283" w:lineRule="auto"/>
        <w:rPr>
          <w:sz w:val="20"/>
          <w:szCs w:val="20"/>
          <w:color w:val="auto"/>
        </w:rPr>
      </w:pPr>
      <w:r>
        <w:rPr>
          <w:rFonts w:ascii="Arial" w:cs="Arial" w:eastAsia="Arial" w:hAnsi="Arial"/>
          <w:sz w:val="13"/>
          <w:szCs w:val="13"/>
          <w:color w:val="auto"/>
        </w:rPr>
        <w:t>Net sales in our Blueberries segment increased $9.6 million or 23% in the six months ended April 30, 2025 compared to the same period last year, due to a 64% increase in volume, partially offset by a 25% decrease in average per-unit sales price. Higher volumes were driven by both increased total acreage and higher yields from our farms, while decreased prices were driven by higher total industry production from Peru after unfavorable regional weather conditions negatively impacted supply during the prior year.</w:t>
      </w:r>
    </w:p>
    <w:p>
      <w:pPr>
        <w:spacing w:after="0" w:line="167" w:lineRule="exact"/>
        <w:rPr>
          <w:sz w:val="20"/>
          <w:szCs w:val="20"/>
          <w:color w:val="auto"/>
        </w:rPr>
      </w:pPr>
    </w:p>
    <w:p>
      <w:pPr>
        <w:ind w:right="400" w:firstLine="619"/>
        <w:spacing w:after="0" w:line="278" w:lineRule="auto"/>
        <w:rPr>
          <w:sz w:val="20"/>
          <w:szCs w:val="20"/>
          <w:color w:val="auto"/>
        </w:rPr>
      </w:pPr>
      <w:r>
        <w:rPr>
          <w:rFonts w:ascii="Arial" w:cs="Arial" w:eastAsia="Arial" w:hAnsi="Arial"/>
          <w:sz w:val="14"/>
          <w:szCs w:val="14"/>
          <w:color w:val="auto"/>
        </w:rPr>
        <w:t>Segment adjusted EBITDA decreased $2.4 million or 26% for the six months ended April 30, 2025 compared to the same period last year, primarily due to lower per-unit margins attributed to lower selling prices.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activities</w:t>
      </w:r>
    </w:p>
    <w:p>
      <w:pPr>
        <w:spacing w:after="0" w:line="221" w:lineRule="exact"/>
        <w:rPr>
          <w:sz w:val="20"/>
          <w:szCs w:val="20"/>
          <w:color w:val="auto"/>
        </w:rPr>
      </w:pPr>
    </w:p>
    <w:p>
      <w:pPr>
        <w:ind w:right="20" w:firstLine="619"/>
        <w:spacing w:after="0" w:line="259" w:lineRule="auto"/>
        <w:rPr>
          <w:sz w:val="20"/>
          <w:szCs w:val="20"/>
          <w:color w:val="auto"/>
        </w:rPr>
      </w:pPr>
      <w:r>
        <w:rPr>
          <w:rFonts w:ascii="Arial" w:cs="Arial" w:eastAsia="Arial" w:hAnsi="Arial"/>
          <w:sz w:val="14"/>
          <w:szCs w:val="14"/>
          <w:color w:val="auto"/>
        </w:rPr>
        <w:t>Operating cash flows are seasonal in nature. We typically see increases in working capital during the first half of our fiscal year as our supply is predominantly sourced from Mexico under payment terms that are shorter than terms established for other source markets. In addition, we are building our growing crops inventory in our International Farming segment during the first half of the year for ultimate harvest and sale that will occur during the second half of the fiscal year. While these increases in working capital can cause operating cash flows to be unfavorable in individual quarters, it is not indicative of operating cash performance that we expect to realize for the full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40" w:type="dxa"/>
            <w:vAlign w:val="bottom"/>
            <w:gridSpan w:val="2"/>
          </w:tcPr>
          <w:p>
            <w:pPr>
              <w:jc w:val="right"/>
              <w:ind w:right="311"/>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r>
      <w:tr>
        <w:trPr>
          <w:trHeight w:val="196"/>
        </w:trPr>
        <w:tc>
          <w:tcPr>
            <w:tcW w:w="76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2"/>
          </w:tcPr>
          <w:p>
            <w:pPr>
              <w:jc w:val="right"/>
              <w:ind w:right="631"/>
              <w:spacing w:after="0"/>
              <w:rPr>
                <w:sz w:val="20"/>
                <w:szCs w:val="20"/>
                <w:color w:val="auto"/>
              </w:rPr>
            </w:pPr>
            <w:r>
              <w:rPr>
                <w:rFonts w:ascii="Arial" w:cs="Arial" w:eastAsia="Arial" w:hAnsi="Arial"/>
                <w:sz w:val="14"/>
                <w:szCs w:val="14"/>
                <w:b w:val="1"/>
                <w:bCs w:val="1"/>
                <w:color w:val="auto"/>
              </w:rPr>
              <w:t>April 30,</w:t>
            </w:r>
          </w:p>
        </w:tc>
        <w:tc>
          <w:tcPr>
            <w:tcW w:w="820" w:type="dxa"/>
            <w:vAlign w:val="bottom"/>
            <w:tcBorders>
              <w:bottom w:val="single" w:sz="8" w:color="auto"/>
            </w:tcBorders>
          </w:tcPr>
          <w:p>
            <w:pPr>
              <w:spacing w:after="0"/>
              <w:rPr>
                <w:sz w:val="17"/>
                <w:szCs w:val="17"/>
                <w:color w:val="auto"/>
              </w:rPr>
            </w:pPr>
          </w:p>
        </w:tc>
      </w:tr>
      <w:tr>
        <w:trPr>
          <w:trHeight w:val="215"/>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2025</w:t>
            </w:r>
          </w:p>
        </w:tc>
        <w:tc>
          <w:tcPr>
            <w:tcW w:w="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r>
      <w:tr>
        <w:trPr>
          <w:trHeight w:val="196"/>
        </w:trPr>
        <w:tc>
          <w:tcPr>
            <w:tcW w:w="7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income</w:t>
            </w:r>
          </w:p>
        </w:tc>
        <w:tc>
          <w:tcPr>
            <w:tcW w:w="640" w:type="dxa"/>
            <w:vAlign w:val="bottom"/>
            <w:tcBorders>
              <w:bottom w:val="single" w:sz="8" w:color="DBDBDB"/>
            </w:tcBorders>
            <w:shd w:val="clear" w:color="auto" w:fill="DBDBDB"/>
          </w:tcPr>
          <w:p>
            <w:pPr>
              <w:jc w:val="right"/>
              <w:ind w:right="49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9.2</w:t>
            </w:r>
          </w:p>
        </w:tc>
        <w:tc>
          <w:tcPr>
            <w:tcW w:w="980" w:type="dxa"/>
            <w:vAlign w:val="bottom"/>
            <w:tcBorders>
              <w:bottom w:val="single" w:sz="8" w:color="DBDBDB"/>
            </w:tcBorders>
            <w:shd w:val="clear" w:color="auto" w:fill="DBDBDB"/>
          </w:tcPr>
          <w:p>
            <w:pPr>
              <w:jc w:val="right"/>
              <w:ind w:right="69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9.0</w:t>
            </w:r>
          </w:p>
        </w:tc>
      </w:tr>
      <w:tr>
        <w:trPr>
          <w:trHeight w:val="199"/>
        </w:trPr>
        <w:tc>
          <w:tcPr>
            <w:tcW w:w="7640" w:type="dxa"/>
            <w:vAlign w:val="bottom"/>
          </w:tcPr>
          <w:p>
            <w:pPr>
              <w:ind w:left="320"/>
              <w:spacing w:after="0"/>
              <w:rPr>
                <w:sz w:val="20"/>
                <w:szCs w:val="20"/>
                <w:color w:val="auto"/>
              </w:rPr>
            </w:pPr>
            <w:r>
              <w:rPr>
                <w:rFonts w:ascii="Arial" w:cs="Arial" w:eastAsia="Arial" w:hAnsi="Arial"/>
                <w:sz w:val="14"/>
                <w:szCs w:val="14"/>
                <w:color w:val="auto"/>
              </w:rPr>
              <w:t>Depreciation and amortization</w:t>
            </w:r>
          </w:p>
        </w:tc>
        <w:tc>
          <w:tcPr>
            <w:tcW w:w="640" w:type="dxa"/>
            <w:vAlign w:val="bottom"/>
          </w:tcPr>
          <w:p>
            <w:pPr>
              <w:spacing w:after="0"/>
              <w:rPr>
                <w:sz w:val="17"/>
                <w:szCs w:val="17"/>
                <w:color w:val="auto"/>
              </w:rPr>
            </w:pP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15.7</w:t>
            </w:r>
          </w:p>
        </w:tc>
        <w:tc>
          <w:tcPr>
            <w:tcW w:w="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18.6</w:t>
            </w:r>
          </w:p>
        </w:tc>
      </w:tr>
      <w:tr>
        <w:trPr>
          <w:trHeight w:val="20"/>
        </w:trPr>
        <w:tc>
          <w:tcPr>
            <w:tcW w:w="7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9"/>
        </w:trPr>
        <w:tc>
          <w:tcPr>
            <w:tcW w:w="764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4"/>
                <w:szCs w:val="14"/>
                <w:color w:val="auto"/>
              </w:rPr>
              <w:t>Equity method income</w:t>
            </w:r>
          </w:p>
        </w:tc>
        <w:tc>
          <w:tcPr>
            <w:tcW w:w="64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(1.7)</w:t>
            </w:r>
          </w:p>
        </w:tc>
        <w:tc>
          <w:tcPr>
            <w:tcW w:w="98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(0.9)</w:t>
            </w:r>
          </w:p>
        </w:tc>
      </w:tr>
      <w:tr>
        <w:trPr>
          <w:trHeight w:val="199"/>
        </w:trPr>
        <w:tc>
          <w:tcPr>
            <w:tcW w:w="7640" w:type="dxa"/>
            <w:vAlign w:val="bottom"/>
          </w:tcPr>
          <w:p>
            <w:pPr>
              <w:ind w:left="320"/>
              <w:spacing w:after="0"/>
              <w:rPr>
                <w:sz w:val="20"/>
                <w:szCs w:val="20"/>
                <w:color w:val="auto"/>
              </w:rPr>
            </w:pPr>
            <w:r>
              <w:rPr>
                <w:rFonts w:ascii="Arial" w:cs="Arial" w:eastAsia="Arial" w:hAnsi="Arial"/>
                <w:sz w:val="14"/>
                <w:szCs w:val="14"/>
                <w:color w:val="auto"/>
              </w:rPr>
              <w:t>Noncash lease expense</w:t>
            </w:r>
          </w:p>
        </w:tc>
        <w:tc>
          <w:tcPr>
            <w:tcW w:w="640" w:type="dxa"/>
            <w:vAlign w:val="bottom"/>
          </w:tcPr>
          <w:p>
            <w:pPr>
              <w:spacing w:after="0"/>
              <w:rPr>
                <w:sz w:val="17"/>
                <w:szCs w:val="17"/>
                <w:color w:val="auto"/>
              </w:rPr>
            </w:pP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3.7</w:t>
            </w:r>
          </w:p>
        </w:tc>
        <w:tc>
          <w:tcPr>
            <w:tcW w:w="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0"/>
        </w:trPr>
        <w:tc>
          <w:tcPr>
            <w:tcW w:w="7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9"/>
        </w:trPr>
        <w:tc>
          <w:tcPr>
            <w:tcW w:w="764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4"/>
                <w:szCs w:val="14"/>
                <w:color w:val="auto"/>
              </w:rPr>
              <w:t>Stock-based compensation</w:t>
            </w:r>
          </w:p>
        </w:tc>
        <w:tc>
          <w:tcPr>
            <w:tcW w:w="64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3.9</w:t>
            </w:r>
          </w:p>
        </w:tc>
        <w:tc>
          <w:tcPr>
            <w:tcW w:w="98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3.0</w:t>
            </w:r>
          </w:p>
        </w:tc>
      </w:tr>
      <w:tr>
        <w:trPr>
          <w:trHeight w:val="199"/>
        </w:trPr>
        <w:tc>
          <w:tcPr>
            <w:tcW w:w="7640" w:type="dxa"/>
            <w:vAlign w:val="bottom"/>
          </w:tcPr>
          <w:p>
            <w:pPr>
              <w:ind w:left="320"/>
              <w:spacing w:after="0"/>
              <w:rPr>
                <w:sz w:val="20"/>
                <w:szCs w:val="20"/>
                <w:color w:val="auto"/>
              </w:rPr>
            </w:pPr>
            <w:r>
              <w:rPr>
                <w:rFonts w:ascii="Arial" w:cs="Arial" w:eastAsia="Arial" w:hAnsi="Arial"/>
                <w:sz w:val="14"/>
                <w:szCs w:val="14"/>
                <w:color w:val="auto"/>
              </w:rPr>
              <w:t>Dividends received from equity method investees</w:t>
            </w:r>
          </w:p>
        </w:tc>
        <w:tc>
          <w:tcPr>
            <w:tcW w:w="640" w:type="dxa"/>
            <w:vAlign w:val="bottom"/>
          </w:tcPr>
          <w:p>
            <w:pPr>
              <w:spacing w:after="0"/>
              <w:rPr>
                <w:sz w:val="17"/>
                <w:szCs w:val="17"/>
                <w:color w:val="auto"/>
              </w:rPr>
            </w:pP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2.2</w:t>
            </w:r>
          </w:p>
        </w:tc>
        <w:tc>
          <w:tcPr>
            <w:tcW w:w="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0"/>
        </w:trPr>
        <w:tc>
          <w:tcPr>
            <w:tcW w:w="7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9"/>
        </w:trPr>
        <w:tc>
          <w:tcPr>
            <w:tcW w:w="764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4"/>
                <w:szCs w:val="14"/>
                <w:color w:val="auto"/>
              </w:rPr>
              <w:t>Deferred income taxes</w:t>
            </w:r>
          </w:p>
        </w:tc>
        <w:tc>
          <w:tcPr>
            <w:tcW w:w="64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(0.2)</w:t>
            </w:r>
          </w:p>
        </w:tc>
        <w:tc>
          <w:tcPr>
            <w:tcW w:w="98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w:t>
            </w:r>
          </w:p>
        </w:tc>
      </w:tr>
      <w:tr>
        <w:trPr>
          <w:trHeight w:val="199"/>
        </w:trPr>
        <w:tc>
          <w:tcPr>
            <w:tcW w:w="7640" w:type="dxa"/>
            <w:vAlign w:val="bottom"/>
          </w:tcPr>
          <w:p>
            <w:pPr>
              <w:ind w:left="320"/>
              <w:spacing w:after="0"/>
              <w:rPr>
                <w:sz w:val="20"/>
                <w:szCs w:val="20"/>
                <w:color w:val="auto"/>
              </w:rPr>
            </w:pPr>
            <w:r>
              <w:rPr>
                <w:rFonts w:ascii="Arial" w:cs="Arial" w:eastAsia="Arial" w:hAnsi="Arial"/>
                <w:sz w:val="14"/>
                <w:szCs w:val="14"/>
                <w:color w:val="auto"/>
              </w:rPr>
              <w:t>Other</w:t>
            </w:r>
          </w:p>
        </w:tc>
        <w:tc>
          <w:tcPr>
            <w:tcW w:w="640" w:type="dxa"/>
            <w:vAlign w:val="bottom"/>
          </w:tcPr>
          <w:p>
            <w:pPr>
              <w:spacing w:after="0"/>
              <w:rPr>
                <w:sz w:val="17"/>
                <w:szCs w:val="17"/>
                <w:color w:val="auto"/>
              </w:rPr>
            </w:pP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2.2</w:t>
            </w:r>
          </w:p>
        </w:tc>
        <w:tc>
          <w:tcPr>
            <w:tcW w:w="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
        </w:trPr>
        <w:tc>
          <w:tcPr>
            <w:tcW w:w="7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4"/>
        </w:trPr>
        <w:tc>
          <w:tcPr>
            <w:tcW w:w="7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Changes in working capital</w:t>
            </w:r>
          </w:p>
        </w:tc>
        <w:tc>
          <w:tcPr>
            <w:tcW w:w="64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(48.0)</w:t>
            </w:r>
          </w:p>
        </w:tc>
        <w:tc>
          <w:tcPr>
            <w:tcW w:w="980" w:type="dxa"/>
            <w:vAlign w:val="bottom"/>
            <w:tcBorders>
              <w:bottom w:val="single" w:sz="8" w:color="DBDBDB"/>
            </w:tcBorders>
            <w:shd w:val="clear" w:color="auto" w:fill="DBDBDB"/>
          </w:tcPr>
          <w:p>
            <w:pPr>
              <w:spacing w:after="0"/>
              <w:rPr>
                <w:sz w:val="19"/>
                <w:szCs w:val="19"/>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(23.7)</w:t>
            </w:r>
          </w:p>
        </w:tc>
      </w:tr>
      <w:tr>
        <w:trPr>
          <w:trHeight w:val="192"/>
        </w:trPr>
        <w:tc>
          <w:tcPr>
            <w:tcW w:w="76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64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(13.0)</w:t>
            </w:r>
          </w:p>
        </w:tc>
        <w:tc>
          <w:tcPr>
            <w:tcW w:w="980" w:type="dxa"/>
            <w:vAlign w:val="bottom"/>
            <w:tcBorders>
              <w:top w:val="single" w:sz="8" w:color="auto"/>
            </w:tcBorders>
          </w:tcPr>
          <w:p>
            <w:pPr>
              <w:jc w:val="right"/>
              <w:ind w:right="69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right="20" w:firstLine="619"/>
        <w:spacing w:after="0" w:line="254" w:lineRule="auto"/>
        <w:rPr>
          <w:sz w:val="20"/>
          <w:szCs w:val="20"/>
          <w:color w:val="auto"/>
        </w:rPr>
      </w:pPr>
      <w:r>
        <w:rPr>
          <w:rFonts w:ascii="Arial" w:cs="Arial" w:eastAsia="Arial" w:hAnsi="Arial"/>
          <w:sz w:val="14"/>
          <w:szCs w:val="14"/>
          <w:color w:val="auto"/>
        </w:rPr>
        <w:t>Net cash used in operating activities was $13.0 million for the six months ended April 30, 2025, compared to cash provided of $12.9 million in the same period last year, driven largely by growth in working capital. The increase in working capital in the current year is driven by the higher avocado price environment which has increased receivable balances in our Marketing &amp; Distribution segment, while increased acreage and harvest timing has resulted in higher inventory balances in our International Farming segment.</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Investing activities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40" w:type="dxa"/>
            <w:vAlign w:val="bottom"/>
            <w:gridSpan w:val="2"/>
          </w:tcPr>
          <w:p>
            <w:pPr>
              <w:jc w:val="right"/>
              <w:ind w:right="311"/>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r>
      <w:tr>
        <w:trPr>
          <w:trHeight w:val="196"/>
        </w:trPr>
        <w:tc>
          <w:tcPr>
            <w:tcW w:w="76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2"/>
          </w:tcPr>
          <w:p>
            <w:pPr>
              <w:jc w:val="right"/>
              <w:ind w:right="631"/>
              <w:spacing w:after="0"/>
              <w:rPr>
                <w:sz w:val="20"/>
                <w:szCs w:val="20"/>
                <w:color w:val="auto"/>
              </w:rPr>
            </w:pPr>
            <w:r>
              <w:rPr>
                <w:rFonts w:ascii="Arial" w:cs="Arial" w:eastAsia="Arial" w:hAnsi="Arial"/>
                <w:sz w:val="14"/>
                <w:szCs w:val="14"/>
                <w:b w:val="1"/>
                <w:bCs w:val="1"/>
                <w:color w:val="auto"/>
              </w:rPr>
              <w:t>April 30,</w:t>
            </w:r>
          </w:p>
        </w:tc>
        <w:tc>
          <w:tcPr>
            <w:tcW w:w="820" w:type="dxa"/>
            <w:vAlign w:val="bottom"/>
            <w:tcBorders>
              <w:bottom w:val="single" w:sz="8" w:color="auto"/>
            </w:tcBorders>
          </w:tcPr>
          <w:p>
            <w:pPr>
              <w:spacing w:after="0"/>
              <w:rPr>
                <w:sz w:val="17"/>
                <w:szCs w:val="17"/>
                <w:color w:val="auto"/>
              </w:rPr>
            </w:pPr>
          </w:p>
        </w:tc>
      </w:tr>
      <w:tr>
        <w:trPr>
          <w:trHeight w:val="215"/>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2025</w:t>
            </w:r>
          </w:p>
        </w:tc>
        <w:tc>
          <w:tcPr>
            <w:tcW w:w="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r>
      <w:tr>
        <w:trPr>
          <w:trHeight w:val="196"/>
        </w:trPr>
        <w:tc>
          <w:tcPr>
            <w:tcW w:w="7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640" w:type="dxa"/>
            <w:vAlign w:val="bottom"/>
            <w:tcBorders>
              <w:bottom w:val="single" w:sz="8" w:color="DBDBDB"/>
            </w:tcBorders>
            <w:shd w:val="clear" w:color="auto" w:fill="DBDBDB"/>
          </w:tcPr>
          <w:p>
            <w:pPr>
              <w:jc w:val="right"/>
              <w:ind w:right="49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(28.0)</w:t>
            </w:r>
          </w:p>
        </w:tc>
        <w:tc>
          <w:tcPr>
            <w:tcW w:w="980" w:type="dxa"/>
            <w:vAlign w:val="bottom"/>
            <w:tcBorders>
              <w:bottom w:val="single" w:sz="8" w:color="DBDBDB"/>
            </w:tcBorders>
            <w:shd w:val="clear" w:color="auto" w:fill="DBDBDB"/>
          </w:tcPr>
          <w:p>
            <w:pPr>
              <w:jc w:val="right"/>
              <w:ind w:right="69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(17.7)</w:t>
            </w:r>
          </w:p>
        </w:tc>
      </w:tr>
      <w:tr>
        <w:trPr>
          <w:trHeight w:val="199"/>
        </w:trPr>
        <w:tc>
          <w:tcPr>
            <w:tcW w:w="7640" w:type="dxa"/>
            <w:vAlign w:val="bottom"/>
          </w:tcPr>
          <w:p>
            <w:pPr>
              <w:ind w:left="20"/>
              <w:spacing w:after="0"/>
              <w:rPr>
                <w:sz w:val="20"/>
                <w:szCs w:val="20"/>
                <w:color w:val="auto"/>
              </w:rPr>
            </w:pPr>
            <w:r>
              <w:rPr>
                <w:rFonts w:ascii="Arial" w:cs="Arial" w:eastAsia="Arial" w:hAnsi="Arial"/>
                <w:sz w:val="14"/>
                <w:szCs w:val="14"/>
                <w:color w:val="auto"/>
              </w:rPr>
              <w:t>Investment in equity method investees</w:t>
            </w:r>
          </w:p>
        </w:tc>
        <w:tc>
          <w:tcPr>
            <w:tcW w:w="640" w:type="dxa"/>
            <w:vAlign w:val="bottom"/>
          </w:tcPr>
          <w:p>
            <w:pPr>
              <w:spacing w:after="0"/>
              <w:rPr>
                <w:sz w:val="17"/>
                <w:szCs w:val="17"/>
                <w:color w:val="auto"/>
              </w:rPr>
            </w:pP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0"/>
        </w:trPr>
        <w:tc>
          <w:tcPr>
            <w:tcW w:w="7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4"/>
        </w:trPr>
        <w:tc>
          <w:tcPr>
            <w:tcW w:w="7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w:t>
            </w:r>
          </w:p>
        </w:tc>
        <w:tc>
          <w:tcPr>
            <w:tcW w:w="64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(0.2)</w:t>
            </w:r>
          </w:p>
        </w:tc>
        <w:tc>
          <w:tcPr>
            <w:tcW w:w="980" w:type="dxa"/>
            <w:vAlign w:val="bottom"/>
            <w:tcBorders>
              <w:bottom w:val="single" w:sz="8" w:color="DBDBDB"/>
            </w:tcBorders>
            <w:shd w:val="clear" w:color="auto" w:fill="DBDBDB"/>
          </w:tcPr>
          <w:p>
            <w:pPr>
              <w:spacing w:after="0"/>
              <w:rPr>
                <w:sz w:val="19"/>
                <w:szCs w:val="19"/>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6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cash used in investing activities</w:t>
            </w:r>
          </w:p>
        </w:tc>
        <w:tc>
          <w:tcPr>
            <w:tcW w:w="64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(28.2)</w:t>
            </w:r>
          </w:p>
        </w:tc>
        <w:tc>
          <w:tcPr>
            <w:tcW w:w="980" w:type="dxa"/>
            <w:vAlign w:val="bottom"/>
            <w:tcBorders>
              <w:top w:val="single" w:sz="8" w:color="auto"/>
            </w:tcBorders>
          </w:tcPr>
          <w:p>
            <w:pPr>
              <w:jc w:val="right"/>
              <w:ind w:right="69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(18.3)</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Property, plant and equipment</w:t>
      </w:r>
    </w:p>
    <w:p>
      <w:pPr>
        <w:spacing w:after="0" w:line="288"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Six Months Ended</w:t>
      </w:r>
    </w:p>
    <w:p>
      <w:pPr>
        <w:spacing w:after="0" w:line="21"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17780</wp:posOffset>
            </wp:positionV>
            <wp:extent cx="22923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92350" cy="825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7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2025</w:t>
            </w:r>
          </w:p>
        </w:tc>
        <w:tc>
          <w:tcPr>
            <w:tcW w:w="8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r>
      <w:tr>
        <w:trPr>
          <w:trHeight w:val="196"/>
        </w:trPr>
        <w:tc>
          <w:tcPr>
            <w:tcW w:w="5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Purchases of property, plant and equipment by segment:</w:t>
            </w:r>
          </w:p>
        </w:tc>
        <w:tc>
          <w:tcPr>
            <w:tcW w:w="274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r>
      <w:tr>
        <w:trPr>
          <w:trHeight w:val="199"/>
        </w:trPr>
        <w:tc>
          <w:tcPr>
            <w:tcW w:w="5560" w:type="dxa"/>
            <w:vAlign w:val="bottom"/>
          </w:tcPr>
          <w:p>
            <w:pPr>
              <w:ind w:left="220"/>
              <w:spacing w:after="0"/>
              <w:rPr>
                <w:sz w:val="20"/>
                <w:szCs w:val="20"/>
                <w:color w:val="auto"/>
              </w:rPr>
            </w:pPr>
            <w:r>
              <w:rPr>
                <w:rFonts w:ascii="Arial" w:cs="Arial" w:eastAsia="Arial" w:hAnsi="Arial"/>
                <w:sz w:val="14"/>
                <w:szCs w:val="14"/>
                <w:color w:val="auto"/>
              </w:rPr>
              <w:t>Marketing &amp; Distribution</w:t>
            </w:r>
          </w:p>
        </w:tc>
        <w:tc>
          <w:tcPr>
            <w:tcW w:w="2740" w:type="dxa"/>
            <w:vAlign w:val="bottom"/>
          </w:tcPr>
          <w:p>
            <w:pPr>
              <w:jc w:val="right"/>
              <w:ind w:right="511"/>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2.2</w:t>
            </w:r>
          </w:p>
        </w:tc>
        <w:tc>
          <w:tcPr>
            <w:tcW w:w="820" w:type="dxa"/>
            <w:vAlign w:val="bottom"/>
          </w:tcPr>
          <w:p>
            <w:pPr>
              <w:jc w:val="right"/>
              <w:ind w:right="511"/>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0"/>
        </w:trPr>
        <w:tc>
          <w:tcPr>
            <w:tcW w:w="5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9"/>
        </w:trPr>
        <w:tc>
          <w:tcPr>
            <w:tcW w:w="55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International Farming</w:t>
            </w:r>
          </w:p>
        </w:tc>
        <w:tc>
          <w:tcPr>
            <w:tcW w:w="274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17.6</w:t>
            </w:r>
          </w:p>
        </w:tc>
        <w:tc>
          <w:tcPr>
            <w:tcW w:w="82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7.6</w:t>
            </w:r>
          </w:p>
        </w:tc>
      </w:tr>
      <w:tr>
        <w:trPr>
          <w:trHeight w:val="199"/>
        </w:trPr>
        <w:tc>
          <w:tcPr>
            <w:tcW w:w="5560" w:type="dxa"/>
            <w:vAlign w:val="bottom"/>
          </w:tcPr>
          <w:p>
            <w:pPr>
              <w:ind w:left="220"/>
              <w:spacing w:after="0"/>
              <w:rPr>
                <w:sz w:val="20"/>
                <w:szCs w:val="20"/>
                <w:color w:val="auto"/>
              </w:rPr>
            </w:pPr>
            <w:r>
              <w:rPr>
                <w:rFonts w:ascii="Arial" w:cs="Arial" w:eastAsia="Arial" w:hAnsi="Arial"/>
                <w:sz w:val="14"/>
                <w:szCs w:val="14"/>
                <w:color w:val="auto"/>
              </w:rPr>
              <w:t>Blueberries</w:t>
            </w:r>
          </w:p>
        </w:tc>
        <w:tc>
          <w:tcPr>
            <w:tcW w:w="2740" w:type="dxa"/>
            <w:vAlign w:val="bottom"/>
          </w:tcPr>
          <w:p>
            <w:pPr>
              <w:spacing w:after="0"/>
              <w:rPr>
                <w:sz w:val="17"/>
                <w:szCs w:val="17"/>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8.2</w:t>
            </w:r>
          </w:p>
        </w:tc>
        <w:tc>
          <w:tcPr>
            <w:tcW w:w="8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2"/>
        </w:trPr>
        <w:tc>
          <w:tcPr>
            <w:tcW w:w="5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purchases of property, plant and equipment</w:t>
            </w:r>
          </w:p>
        </w:tc>
        <w:tc>
          <w:tcPr>
            <w:tcW w:w="274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28.0</w:t>
            </w:r>
          </w:p>
        </w:tc>
        <w:tc>
          <w:tcPr>
            <w:tcW w:w="82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17.7</w:t>
            </w:r>
          </w:p>
        </w:tc>
      </w:tr>
      <w:tr>
        <w:trPr>
          <w:trHeight w:val="20"/>
        </w:trPr>
        <w:tc>
          <w:tcPr>
            <w:tcW w:w="556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ind w:right="200" w:firstLine="619"/>
        <w:spacing w:after="0" w:line="254" w:lineRule="auto"/>
        <w:rPr>
          <w:sz w:val="20"/>
          <w:szCs w:val="20"/>
          <w:color w:val="auto"/>
        </w:rPr>
      </w:pPr>
      <w:r>
        <w:rPr>
          <w:rFonts w:ascii="Arial" w:cs="Arial" w:eastAsia="Arial" w:hAnsi="Arial"/>
          <w:sz w:val="14"/>
          <w:szCs w:val="14"/>
          <w:color w:val="auto"/>
        </w:rPr>
        <w:t>In the six months ended April 30, 2025 and 2024, capital expenditures were comprised primarily of avocado orchard development, pre-production orchard maintenance and land improvements, packhouse construction in Guatemala and pre-production land development and blueberry plant cultivation in Peru. The six months ended April 30, 2024 also included distribution facility construction costs in the U.K. in our Marketing &amp; Distribution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Financing activities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gridSpan w:val="2"/>
          </w:tcPr>
          <w:p>
            <w:pPr>
              <w:ind w:left="580"/>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6"/>
        </w:trPr>
        <w:tc>
          <w:tcPr>
            <w:tcW w:w="754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April 30,</w:t>
            </w:r>
          </w:p>
        </w:tc>
        <w:tc>
          <w:tcPr>
            <w:tcW w:w="840" w:type="dxa"/>
            <w:vAlign w:val="bottom"/>
            <w:tcBorders>
              <w:bottom w:val="single" w:sz="8" w:color="auto"/>
            </w:tcBorders>
          </w:tcPr>
          <w:p>
            <w:pPr>
              <w:spacing w:after="0"/>
              <w:rPr>
                <w:sz w:val="17"/>
                <w:szCs w:val="17"/>
                <w:color w:val="auto"/>
              </w:rPr>
            </w:pPr>
          </w:p>
        </w:tc>
      </w:tr>
      <w:tr>
        <w:trPr>
          <w:trHeight w:val="215"/>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2025</w:t>
            </w:r>
          </w:p>
        </w:tc>
        <w:tc>
          <w:tcPr>
            <w:tcW w:w="10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2024</w:t>
            </w:r>
          </w:p>
        </w:tc>
      </w:tr>
      <w:tr>
        <w:trPr>
          <w:trHeight w:val="196"/>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Borrowings on revolving credit facility</w:t>
            </w:r>
          </w:p>
        </w:tc>
        <w:tc>
          <w:tcPr>
            <w:tcW w:w="68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BDBDB"/>
            </w:tcBorders>
            <w:shd w:val="clear" w:color="auto" w:fill="DBDBDB"/>
          </w:tcPr>
          <w:p>
            <w:pPr>
              <w:jc w:val="right"/>
              <w:ind w:right="151"/>
              <w:spacing w:after="0"/>
              <w:rPr>
                <w:sz w:val="20"/>
                <w:szCs w:val="20"/>
                <w:color w:val="auto"/>
              </w:rPr>
            </w:pPr>
            <w:r>
              <w:rPr>
                <w:rFonts w:ascii="Arial" w:cs="Arial" w:eastAsia="Arial" w:hAnsi="Arial"/>
                <w:sz w:val="14"/>
                <w:szCs w:val="14"/>
                <w:color w:val="auto"/>
              </w:rPr>
              <w:t>55.0</w:t>
            </w:r>
          </w:p>
        </w:tc>
        <w:tc>
          <w:tcPr>
            <w:tcW w:w="1020" w:type="dxa"/>
            <w:vAlign w:val="bottom"/>
            <w:tcBorders>
              <w:bottom w:val="single" w:sz="8" w:color="DBDBDB"/>
            </w:tcBorders>
            <w:shd w:val="clear" w:color="auto" w:fill="DBDBDB"/>
          </w:tcPr>
          <w:p>
            <w:pPr>
              <w:jc w:val="right"/>
              <w:ind w:right="69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40.0</w:t>
            </w: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Payments on revolving credit facility</w:t>
            </w:r>
          </w:p>
        </w:tc>
        <w:tc>
          <w:tcPr>
            <w:tcW w:w="680" w:type="dxa"/>
            <w:vAlign w:val="bottom"/>
          </w:tcPr>
          <w:p>
            <w:pPr>
              <w:spacing w:after="0"/>
              <w:rPr>
                <w:sz w:val="17"/>
                <w:szCs w:val="17"/>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(20.0)</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20"/>
        </w:trPr>
        <w:tc>
          <w:tcPr>
            <w:tcW w:w="7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Repayment of short-term borrowings</w:t>
            </w:r>
          </w:p>
        </w:tc>
        <w:tc>
          <w:tcPr>
            <w:tcW w:w="6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(3.5)</w:t>
            </w:r>
          </w:p>
        </w:tc>
        <w:tc>
          <w:tcPr>
            <w:tcW w:w="10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(2.8)</w:t>
            </w: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Principal payments on long-term debt obligations</w:t>
            </w:r>
          </w:p>
        </w:tc>
        <w:tc>
          <w:tcPr>
            <w:tcW w:w="680" w:type="dxa"/>
            <w:vAlign w:val="bottom"/>
          </w:tcPr>
          <w:p>
            <w:pPr>
              <w:spacing w:after="0"/>
              <w:rPr>
                <w:sz w:val="17"/>
                <w:szCs w:val="17"/>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(1.5)</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
        </w:trPr>
        <w:tc>
          <w:tcPr>
            <w:tcW w:w="7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Principal payments on finance lease obligations</w:t>
            </w:r>
          </w:p>
        </w:tc>
        <w:tc>
          <w:tcPr>
            <w:tcW w:w="6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(0.5)</w:t>
            </w:r>
          </w:p>
        </w:tc>
        <w:tc>
          <w:tcPr>
            <w:tcW w:w="10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(2.6)</w:t>
            </w: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Payments for long-term supplier financing</w:t>
            </w:r>
          </w:p>
        </w:tc>
        <w:tc>
          <w:tcPr>
            <w:tcW w:w="680" w:type="dxa"/>
            <w:vAlign w:val="bottom"/>
          </w:tcPr>
          <w:p>
            <w:pPr>
              <w:spacing w:after="0"/>
              <w:rPr>
                <w:sz w:val="17"/>
                <w:szCs w:val="17"/>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(0.3)</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7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Payments to noncontrolling interest holder for long-term supply financing</w:t>
            </w:r>
          </w:p>
        </w:tc>
        <w:tc>
          <w:tcPr>
            <w:tcW w:w="6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(1.4)</w:t>
            </w:r>
          </w:p>
        </w:tc>
        <w:tc>
          <w:tcPr>
            <w:tcW w:w="10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w:t>
            </w: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Principal payments on loans due to noncontrolling interest holder</w:t>
            </w:r>
          </w:p>
        </w:tc>
        <w:tc>
          <w:tcPr>
            <w:tcW w:w="680" w:type="dxa"/>
            <w:vAlign w:val="bottom"/>
          </w:tcPr>
          <w:p>
            <w:pPr>
              <w:spacing w:after="0"/>
              <w:rPr>
                <w:sz w:val="17"/>
                <w:szCs w:val="17"/>
                <w:color w:val="auto"/>
              </w:rPr>
            </w:pPr>
          </w:p>
        </w:tc>
        <w:tc>
          <w:tcPr>
            <w:tcW w:w="116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0"/>
        </w:trPr>
        <w:tc>
          <w:tcPr>
            <w:tcW w:w="7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Payments of minimum withholding taxes on net share settlement of equity awards</w:t>
            </w:r>
          </w:p>
        </w:tc>
        <w:tc>
          <w:tcPr>
            <w:tcW w:w="6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(1.5)</w:t>
            </w:r>
          </w:p>
        </w:tc>
        <w:tc>
          <w:tcPr>
            <w:tcW w:w="10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(0.8)</w:t>
            </w: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680" w:type="dxa"/>
            <w:vAlign w:val="bottom"/>
          </w:tcPr>
          <w:p>
            <w:pPr>
              <w:spacing w:after="0"/>
              <w:rPr>
                <w:sz w:val="17"/>
                <w:szCs w:val="17"/>
                <w:color w:val="auto"/>
              </w:rPr>
            </w:pPr>
          </w:p>
        </w:tc>
        <w:tc>
          <w:tcPr>
            <w:tcW w:w="1160" w:type="dxa"/>
            <w:vAlign w:val="bottom"/>
          </w:tcPr>
          <w:p>
            <w:pPr>
              <w:jc w:val="right"/>
              <w:ind w:right="151"/>
              <w:spacing w:after="0"/>
              <w:rPr>
                <w:sz w:val="20"/>
                <w:szCs w:val="20"/>
                <w:color w:val="auto"/>
              </w:rPr>
            </w:pPr>
            <w:r>
              <w:rPr>
                <w:rFonts w:ascii="Arial" w:cs="Arial" w:eastAsia="Arial" w:hAnsi="Arial"/>
                <w:sz w:val="14"/>
                <w:szCs w:val="14"/>
                <w:color w:val="auto"/>
              </w:rPr>
              <w:t>0.3</w:t>
            </w:r>
          </w:p>
        </w:tc>
        <w:tc>
          <w:tcPr>
            <w:tcW w:w="1020" w:type="dxa"/>
            <w:vAlign w:val="bottom"/>
          </w:tcPr>
          <w:p>
            <w:pPr>
              <w:spacing w:after="0"/>
              <w:rPr>
                <w:sz w:val="17"/>
                <w:szCs w:val="17"/>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0"/>
        </w:trPr>
        <w:tc>
          <w:tcPr>
            <w:tcW w:w="7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4"/>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Purchase and retirement of common stock</w:t>
            </w:r>
          </w:p>
        </w:tc>
        <w:tc>
          <w:tcPr>
            <w:tcW w:w="68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(5.5)</w:t>
            </w:r>
          </w:p>
        </w:tc>
        <w:tc>
          <w:tcPr>
            <w:tcW w:w="1020" w:type="dxa"/>
            <w:vAlign w:val="bottom"/>
            <w:tcBorders>
              <w:bottom w:val="single" w:sz="8" w:color="DBDBDB"/>
            </w:tcBorders>
            <w:shd w:val="clear" w:color="auto" w:fill="DBDBDB"/>
          </w:tcPr>
          <w:p>
            <w:pPr>
              <w:spacing w:after="0"/>
              <w:rPr>
                <w:sz w:val="19"/>
                <w:szCs w:val="19"/>
                <w:color w:val="auto"/>
              </w:rPr>
            </w:pPr>
          </w:p>
        </w:tc>
        <w:tc>
          <w:tcPr>
            <w:tcW w:w="84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w:t>
            </w:r>
          </w:p>
        </w:tc>
      </w:tr>
      <w:tr>
        <w:trPr>
          <w:trHeight w:val="192"/>
        </w:trPr>
        <w:tc>
          <w:tcPr>
            <w:tcW w:w="75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680" w:type="dxa"/>
            <w:vAlign w:val="bottom"/>
            <w:tcBorders>
              <w:top w:val="single" w:sz="8" w:color="auto"/>
            </w:tcBorders>
          </w:tcPr>
          <w:p>
            <w:pPr>
              <w:jc w:val="right"/>
              <w:ind w:right="511"/>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rPr>
              <w:t>21.1</w:t>
            </w:r>
          </w:p>
        </w:tc>
        <w:tc>
          <w:tcPr>
            <w:tcW w:w="1020" w:type="dxa"/>
            <w:vAlign w:val="bottom"/>
            <w:tcBorders>
              <w:top w:val="single" w:sz="8" w:color="auto"/>
            </w:tcBorders>
          </w:tcPr>
          <w:p>
            <w:pPr>
              <w:jc w:val="right"/>
              <w:ind w:right="69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9.3</w:t>
            </w:r>
          </w:p>
        </w:tc>
      </w:tr>
      <w:tr>
        <w:trPr>
          <w:trHeight w:val="20"/>
        </w:trPr>
        <w:tc>
          <w:tcPr>
            <w:tcW w:w="7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Borrowings and repayments of debt</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We utilize a revolving line of credit for short-term working capital purposes. Principal payments on our credit facility are made in accordance with debt maturity schedules.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Blueberries</w:t>
      </w:r>
    </w:p>
    <w:p>
      <w:pPr>
        <w:spacing w:after="0" w:line="200" w:lineRule="exact"/>
        <w:rPr>
          <w:sz w:val="20"/>
          <w:szCs w:val="20"/>
          <w:color w:val="auto"/>
        </w:rPr>
      </w:pPr>
    </w:p>
    <w:p>
      <w:pPr>
        <w:ind w:right="60" w:firstLine="619"/>
        <w:spacing w:after="0" w:line="259" w:lineRule="auto"/>
        <w:rPr>
          <w:sz w:val="20"/>
          <w:szCs w:val="20"/>
          <w:color w:val="auto"/>
        </w:rPr>
      </w:pPr>
      <w:r>
        <w:rPr>
          <w:rFonts w:ascii="Arial" w:cs="Arial" w:eastAsia="Arial" w:hAnsi="Arial"/>
          <w:sz w:val="14"/>
          <w:szCs w:val="14"/>
          <w:color w:val="auto"/>
        </w:rPr>
        <w:t>Financing of our Blueberries segment consists of shareholder contributions and loans, as well as short-term bank borrowings, as needed. Principal payments on shareholder loans are made in accordance with loan agreements. Principal payments on finance lease obligations primarily relate to a long-term land lease, which for accounting purposes has been classified as a finance lease. Certain supply purchases are made under long-term financing arrangements, a significant portion of which are with the noncontrolling interest holder of the entity.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Purchase and retirement of common stock</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3"/>
          <w:szCs w:val="13"/>
          <w:color w:val="auto"/>
        </w:rPr>
        <w:t>Shares of the company’s common stock may be repurchased from time to time in the open market or privately negotiated transactions under our share repurchase program.</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For more information on our stock repurchase program, see “Item 2. Unregistered Sales of Equity Securities and Use of Proceeds” in this quarterly report.</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Capital resources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April 30, 2025</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2024</w:t>
            </w:r>
          </w:p>
        </w:tc>
      </w:tr>
      <w:tr>
        <w:trPr>
          <w:trHeight w:val="196"/>
        </w:trPr>
        <w:tc>
          <w:tcPr>
            <w:tcW w:w="4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Cash and cash equivalents</w:t>
            </w:r>
          </w:p>
        </w:tc>
        <w:tc>
          <w:tcPr>
            <w:tcW w:w="340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36.7</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58.0</w:t>
            </w:r>
          </w:p>
        </w:tc>
      </w:tr>
      <w:tr>
        <w:trPr>
          <w:trHeight w:val="199"/>
        </w:trPr>
        <w:tc>
          <w:tcPr>
            <w:tcW w:w="4660" w:type="dxa"/>
            <w:vAlign w:val="bottom"/>
          </w:tcPr>
          <w:p>
            <w:pPr>
              <w:ind w:left="20"/>
              <w:spacing w:after="0"/>
              <w:rPr>
                <w:sz w:val="20"/>
                <w:szCs w:val="20"/>
                <w:color w:val="auto"/>
              </w:rPr>
            </w:pPr>
            <w:r>
              <w:rPr>
                <w:rFonts w:ascii="Arial" w:cs="Arial" w:eastAsia="Arial" w:hAnsi="Arial"/>
                <w:sz w:val="14"/>
                <w:szCs w:val="14"/>
                <w:color w:val="auto"/>
              </w:rPr>
              <w:t>Working capital</w:t>
            </w:r>
            <w:r>
              <w:rPr>
                <w:rFonts w:ascii="Arial" w:cs="Arial" w:eastAsia="Arial" w:hAnsi="Arial"/>
                <w:sz w:val="8"/>
                <w:szCs w:val="8"/>
                <w:color w:val="auto"/>
              </w:rPr>
              <w:t>(1)</w:t>
            </w:r>
          </w:p>
        </w:tc>
        <w:tc>
          <w:tcPr>
            <w:tcW w:w="3400" w:type="dxa"/>
            <w:vAlign w:val="bottom"/>
          </w:tcPr>
          <w:p>
            <w:pPr>
              <w:spacing w:after="0"/>
              <w:rPr>
                <w:sz w:val="17"/>
                <w:szCs w:val="17"/>
                <w:color w:val="auto"/>
              </w:rPr>
            </w:pPr>
          </w:p>
        </w:tc>
        <w:tc>
          <w:tcPr>
            <w:tcW w:w="1380" w:type="dxa"/>
            <w:vAlign w:val="bottom"/>
          </w:tcPr>
          <w:p>
            <w:pPr>
              <w:jc w:val="right"/>
              <w:ind w:right="131"/>
              <w:spacing w:after="0"/>
              <w:rPr>
                <w:sz w:val="20"/>
                <w:szCs w:val="20"/>
                <w:color w:val="auto"/>
              </w:rPr>
            </w:pPr>
            <w:r>
              <w:rPr>
                <w:rFonts w:ascii="Arial" w:cs="Arial" w:eastAsia="Arial" w:hAnsi="Arial"/>
                <w:sz w:val="14"/>
                <w:szCs w:val="14"/>
                <w:color w:val="auto"/>
              </w:rPr>
              <w:t>147.2</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129.9</w:t>
            </w: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20" w:hanging="217"/>
        <w:spacing w:after="0"/>
        <w:tabs>
          <w:tab w:leader="none" w:pos="2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w:t>
      </w:r>
      <w:r>
        <w:rPr>
          <w:rFonts w:ascii="Arial" w:cs="Arial" w:eastAsia="Arial" w:hAnsi="Arial"/>
          <w:sz w:val="13"/>
          <w:szCs w:val="13"/>
          <w:color w:val="auto"/>
        </w:rPr>
        <w:t>urrent assets minus current liabilities.</w:t>
      </w:r>
    </w:p>
    <w:p>
      <w:pPr>
        <w:spacing w:after="0" w:line="224" w:lineRule="exact"/>
        <w:rPr>
          <w:sz w:val="20"/>
          <w:szCs w:val="20"/>
          <w:color w:val="auto"/>
        </w:rPr>
      </w:pPr>
    </w:p>
    <w:p>
      <w:pPr>
        <w:ind w:right="340" w:firstLine="619"/>
        <w:spacing w:after="0" w:line="278" w:lineRule="auto"/>
        <w:rPr>
          <w:sz w:val="20"/>
          <w:szCs w:val="20"/>
          <w:color w:val="auto"/>
        </w:rPr>
      </w:pPr>
      <w:r>
        <w:rPr>
          <w:rFonts w:ascii="Arial" w:cs="Arial" w:eastAsia="Arial" w:hAnsi="Arial"/>
          <w:sz w:val="14"/>
          <w:szCs w:val="14"/>
          <w:color w:val="auto"/>
        </w:rPr>
        <w:t>Capital resources include cash flows from operations, cash and cash equivalents, and debt financing. Our Blueberries segment may from time to time also receive capital contributions or loans from shareholders.</w:t>
      </w:r>
    </w:p>
    <w:p>
      <w:pPr>
        <w:spacing w:after="0" w:line="168" w:lineRule="exact"/>
        <w:rPr>
          <w:sz w:val="20"/>
          <w:szCs w:val="20"/>
          <w:color w:val="auto"/>
        </w:rPr>
      </w:pPr>
    </w:p>
    <w:p>
      <w:pPr>
        <w:jc w:val="both"/>
        <w:ind w:right="80" w:firstLine="619"/>
        <w:spacing w:after="0" w:line="253" w:lineRule="auto"/>
        <w:rPr>
          <w:sz w:val="20"/>
          <w:szCs w:val="20"/>
          <w:color w:val="auto"/>
        </w:rPr>
      </w:pPr>
      <w:r>
        <w:rPr>
          <w:rFonts w:ascii="Arial" w:cs="Arial" w:eastAsia="Arial" w:hAnsi="Arial"/>
          <w:sz w:val="14"/>
          <w:szCs w:val="14"/>
          <w:color w:val="auto"/>
        </w:rPr>
        <w:t>Our syndicated credit facility with Bank of America has a total borrowing capacity of $250 million. The credit facility is comprised of two senior term loans totaling $100 million and a revolving credit agreement of $150 million. The loans are secured by assets of the Company, including certain real property, personal property and capital stock of the Company’s subsidiaries. Borrowings under the credit facility bear interest at a spread over SOFR ranging from 1.5% to 2.5% depending on the Company’s consolidated total net leverage ratio. We pay fees on unused commitments on the credit facility.</w:t>
      </w:r>
    </w:p>
    <w:p>
      <w:pPr>
        <w:spacing w:after="0" w:line="185" w:lineRule="exact"/>
        <w:rPr>
          <w:sz w:val="20"/>
          <w:szCs w:val="20"/>
          <w:color w:val="auto"/>
        </w:rPr>
      </w:pPr>
    </w:p>
    <w:p>
      <w:pPr>
        <w:ind w:right="440" w:firstLine="619"/>
        <w:spacing w:after="0" w:line="259" w:lineRule="auto"/>
        <w:rPr>
          <w:sz w:val="20"/>
          <w:szCs w:val="20"/>
          <w:color w:val="auto"/>
        </w:rPr>
      </w:pPr>
      <w:r>
        <w:rPr>
          <w:rFonts w:ascii="Arial" w:cs="Arial" w:eastAsia="Arial" w:hAnsi="Arial"/>
          <w:sz w:val="14"/>
          <w:szCs w:val="14"/>
          <w:color w:val="auto"/>
        </w:rPr>
        <w:t>As of April 30, 2025, we were required to comply with the following financial covenants: (a) a quarterly consolidated leverage ratio of not more than 3.5 to 1.00 and (b) a quarterly consolidated fixed charge coverage ratio of not less than 1.25 to 1.00. As of April 30, 2025, we were in compliance with all such covenants of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cash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Capital expenditures</w:t>
      </w:r>
    </w:p>
    <w:p>
      <w:pPr>
        <w:spacing w:after="0" w:line="213" w:lineRule="exact"/>
        <w:rPr>
          <w:sz w:val="20"/>
          <w:szCs w:val="20"/>
          <w:color w:val="auto"/>
        </w:rPr>
      </w:pPr>
    </w:p>
    <w:p>
      <w:pPr>
        <w:ind w:right="160" w:firstLine="619"/>
        <w:spacing w:after="0" w:line="285" w:lineRule="auto"/>
        <w:rPr>
          <w:sz w:val="20"/>
          <w:szCs w:val="20"/>
          <w:color w:val="auto"/>
        </w:rPr>
      </w:pPr>
      <w:r>
        <w:rPr>
          <w:rFonts w:ascii="Arial" w:cs="Arial" w:eastAsia="Arial" w:hAnsi="Arial"/>
          <w:sz w:val="13"/>
          <w:szCs w:val="13"/>
          <w:color w:val="auto"/>
        </w:rPr>
        <w:t>We have various capital projects in progress for farming expansion and facility improvements which we intend to fund through our operating cash flow as well as cash and cash equivalents on hand. For fiscal 2025, we expect total capital expenditures inclusive of approximately $10 million carryover from fiscal 2024, to be between $50 to $55 million. The spend will be allocated primarily to our International Farming and Blueberries segments. Within our International Farming segment, spend will be concentrated in Guatemala for pre-production avocado orchard maintenance and packhouse construction. Within our Blueberries segment, spend will be concentrated on land development and plant cultivation in Peru.</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Leases</w:t>
      </w:r>
    </w:p>
    <w:p>
      <w:pPr>
        <w:spacing w:after="0" w:line="213" w:lineRule="exact"/>
        <w:rPr>
          <w:sz w:val="20"/>
          <w:szCs w:val="20"/>
          <w:color w:val="auto"/>
        </w:rPr>
      </w:pPr>
    </w:p>
    <w:p>
      <w:pPr>
        <w:ind w:right="140" w:firstLine="619"/>
        <w:spacing w:after="0" w:line="278" w:lineRule="auto"/>
        <w:rPr>
          <w:sz w:val="20"/>
          <w:szCs w:val="20"/>
          <w:color w:val="auto"/>
        </w:rPr>
      </w:pPr>
      <w:r>
        <w:rPr>
          <w:rFonts w:ascii="Arial" w:cs="Arial" w:eastAsia="Arial" w:hAnsi="Arial"/>
          <w:sz w:val="14"/>
          <w:szCs w:val="14"/>
          <w:color w:val="auto"/>
        </w:rPr>
        <w:t>We are party to various leases, the most material of which are for facilities and land. Our undiscounted cash liabilities were approximately $173.5 million as of April 30, 2025, of which, approximately $105.9 million was for long-term land leases in our International Farming and Blueberries segments.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Long-term debt</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As of April 30, 2025, outstanding borrowings on our syndicated debt facility totaled $147.5 million. See Note 6 to the consolidated financial statements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estimates</w:t>
      </w:r>
    </w:p>
    <w:p>
      <w:pPr>
        <w:spacing w:after="0" w:line="234" w:lineRule="exact"/>
        <w:rPr>
          <w:sz w:val="20"/>
          <w:szCs w:val="20"/>
          <w:color w:val="auto"/>
        </w:rPr>
      </w:pPr>
    </w:p>
    <w:p>
      <w:pPr>
        <w:ind w:right="100" w:firstLine="619"/>
        <w:spacing w:after="0" w:line="254" w:lineRule="auto"/>
        <w:rPr>
          <w:sz w:val="20"/>
          <w:szCs w:val="20"/>
          <w:color w:val="auto"/>
        </w:rPr>
      </w:pPr>
      <w:r>
        <w:rPr>
          <w:rFonts w:ascii="Arial" w:cs="Arial" w:eastAsia="Arial" w:hAnsi="Arial"/>
          <w:sz w:val="14"/>
          <w:szCs w:val="14"/>
          <w:color w:val="auto"/>
        </w:rPr>
        <w:t>For a discussion of our critical accounting estimates, see “Part II, Item 7. Management’s Discussion and Analysis of Financial Condition and Operations” in our Annual Report on Form 10-K for the year ended October 31, 2024, filed with the SEC on December 19, 2024. There have been no material changes to the critical accounting estimates disclosed in such Annual Report on Form 10-K.</w:t>
      </w:r>
    </w:p>
    <w:p>
      <w:pPr>
        <w:spacing w:after="0" w:line="300"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34" w:lineRule="exact"/>
        <w:rPr>
          <w:sz w:val="20"/>
          <w:szCs w:val="20"/>
          <w:color w:val="auto"/>
        </w:rPr>
      </w:pPr>
    </w:p>
    <w:p>
      <w:pPr>
        <w:ind w:right="100" w:firstLine="619"/>
        <w:spacing w:after="0" w:line="278" w:lineRule="auto"/>
        <w:rPr>
          <w:sz w:val="20"/>
          <w:szCs w:val="20"/>
          <w:color w:val="auto"/>
        </w:rPr>
      </w:pPr>
      <w:r>
        <w:rPr>
          <w:rFonts w:ascii="Arial" w:cs="Arial" w:eastAsia="Arial" w:hAnsi="Arial"/>
          <w:sz w:val="14"/>
          <w:szCs w:val="14"/>
          <w:color w:val="auto"/>
        </w:rPr>
        <w:t>There have been no material changes to “Part II, Item 7A. Quantitative and Qualitative Disclosures About Market Risk” in our Annual Report on Form 10-K for the year ended October 31, 2024.</w:t>
      </w:r>
    </w:p>
    <w:p>
      <w:pPr>
        <w:spacing w:after="0" w:line="271"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221"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221" w:lineRule="exact"/>
        <w:rPr>
          <w:sz w:val="20"/>
          <w:szCs w:val="20"/>
          <w:color w:val="auto"/>
        </w:rPr>
      </w:pPr>
    </w:p>
    <w:p>
      <w:pPr>
        <w:ind w:right="600" w:firstLine="619"/>
        <w:spacing w:after="0" w:line="278" w:lineRule="auto"/>
        <w:rPr>
          <w:sz w:val="20"/>
          <w:szCs w:val="20"/>
          <w:color w:val="auto"/>
        </w:rPr>
      </w:pPr>
      <w:r>
        <w:rPr>
          <w:rFonts w:ascii="Arial" w:cs="Arial" w:eastAsia="Arial" w:hAnsi="Arial"/>
          <w:sz w:val="14"/>
          <w:szCs w:val="14"/>
          <w:color w:val="auto"/>
        </w:rPr>
        <w:t>There were no changes in our internal control over financial reporting during the quarter ended April 30, 2025 that have materially affected, or are reasonably likely to materially affect, our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Limitations on Effectiveness of Controls and Procedures</w:t>
      </w:r>
    </w:p>
    <w:p>
      <w:pPr>
        <w:spacing w:after="0" w:line="221" w:lineRule="exact"/>
        <w:rPr>
          <w:sz w:val="20"/>
          <w:szCs w:val="20"/>
          <w:color w:val="auto"/>
        </w:rPr>
      </w:pPr>
    </w:p>
    <w:p>
      <w:pPr>
        <w:ind w:right="220" w:firstLine="619"/>
        <w:spacing w:after="0" w:line="285" w:lineRule="auto"/>
        <w:rPr>
          <w:sz w:val="20"/>
          <w:szCs w:val="20"/>
          <w:color w:val="auto"/>
        </w:rPr>
      </w:pPr>
      <w:r>
        <w:rPr>
          <w:rFonts w:ascii="Arial" w:cs="Arial" w:eastAsia="Arial" w:hAnsi="Arial"/>
          <w:sz w:val="13"/>
          <w:szCs w:val="13"/>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6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II- OTHER INFORMATION</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34" w:lineRule="exact"/>
        <w:rPr>
          <w:sz w:val="20"/>
          <w:szCs w:val="20"/>
          <w:color w:val="auto"/>
        </w:rPr>
      </w:pPr>
    </w:p>
    <w:p>
      <w:pPr>
        <w:ind w:right="680" w:firstLine="619"/>
        <w:spacing w:after="0" w:line="278" w:lineRule="auto"/>
        <w:rPr>
          <w:sz w:val="20"/>
          <w:szCs w:val="20"/>
          <w:color w:val="auto"/>
        </w:rPr>
      </w:pPr>
      <w:r>
        <w:rPr>
          <w:rFonts w:ascii="Arial" w:cs="Arial" w:eastAsia="Arial" w:hAnsi="Arial"/>
          <w:sz w:val="14"/>
          <w:szCs w:val="14"/>
          <w:color w:val="auto"/>
        </w:rPr>
        <w:t>We are from time to time involved in legal proceedings and investigations arising in the ordinary course of business, including those relating to employment matters, relationships with clients and contractors, intellectual property disputes and other business matters.</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following updates the matters discussed in “Part I, Item 3. Legal Proceedings” in our Annual Report on Form 10-K for the year ended October 31, 2024:</w:t>
      </w:r>
    </w:p>
    <w:p>
      <w:pPr>
        <w:spacing w:after="0" w:line="213" w:lineRule="exact"/>
        <w:rPr>
          <w:sz w:val="20"/>
          <w:szCs w:val="20"/>
          <w:color w:val="auto"/>
        </w:rPr>
      </w:pPr>
    </w:p>
    <w:p>
      <w:pPr>
        <w:ind w:right="20" w:firstLine="619"/>
        <w:spacing w:after="0" w:line="251" w:lineRule="auto"/>
        <w:rPr>
          <w:sz w:val="20"/>
          <w:szCs w:val="20"/>
          <w:color w:val="auto"/>
        </w:rPr>
      </w:pPr>
      <w:r>
        <w:rPr>
          <w:rFonts w:ascii="Arial" w:cs="Arial" w:eastAsia="Arial" w:hAnsi="Arial"/>
          <w:sz w:val="14"/>
          <w:szCs w:val="14"/>
          <w:color w:val="auto"/>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While the Company believes that it did not violate any wage or labor laws, in May 2021, the plaintiffs in both class action lawsuits and the Company agreed to settle the class action cases. Per the terms of the settlement agreement between the parties, the total amount of the settlement is $1.5 million. The Court granted Final Approval of the Class Action Settlement on June 10, 2024. Payment was sent to the Settlement Administrator on June 26, 2024, to be distributed directly to the class members. Once all settlement checks have been distributed and cashed or returned pursuant to the terms of the Settlement Agreement, the action will be dismissed with prejudice. The Court has set a deadline of June 2025 for Plaintiff to file a declaration from the settlement administrator regarding disbursal of funds.</w:t>
      </w:r>
    </w:p>
    <w:p>
      <w:pPr>
        <w:spacing w:after="0" w:line="173" w:lineRule="exact"/>
        <w:rPr>
          <w:sz w:val="20"/>
          <w:szCs w:val="20"/>
          <w:color w:val="auto"/>
        </w:rPr>
      </w:pPr>
    </w:p>
    <w:p>
      <w:pPr>
        <w:ind w:firstLine="619"/>
        <w:spacing w:after="0" w:line="257" w:lineRule="auto"/>
        <w:rPr>
          <w:sz w:val="20"/>
          <w:szCs w:val="20"/>
          <w:color w:val="auto"/>
        </w:rPr>
      </w:pPr>
      <w:r>
        <w:rPr>
          <w:rFonts w:ascii="Arial" w:cs="Arial" w:eastAsia="Arial" w:hAnsi="Arial"/>
          <w:sz w:val="14"/>
          <w:szCs w:val="14"/>
          <w:color w:val="auto"/>
        </w:rPr>
        <w:t>On October 21, 2024, a former temporary worker placed at the Company’s California packinghouse by a labor contractor utilized by the Company, filed a class action lawsuit in the Superior Court of the State of California for the County of Ventura County against us alleging violations of certain wage and hour laws. The plaintiff seeks damages primarily consisting of class certification, payment of wages earned and owed, liquidated damages, penalties and fees, and injunctive relief. The Company is vigorously defending against the claims. At this time, it is too soon to determine the outcome of the litigation. As a result, the Company has not accrued for any loss contingencies related to these claims because the amount and range of loss, if any, cannot currently be reasonably estimated.</w:t>
      </w:r>
    </w:p>
    <w:p>
      <w:pPr>
        <w:spacing w:after="0" w:line="169" w:lineRule="exact"/>
        <w:rPr>
          <w:sz w:val="20"/>
          <w:szCs w:val="20"/>
          <w:color w:val="auto"/>
        </w:rPr>
      </w:pPr>
    </w:p>
    <w:p>
      <w:pPr>
        <w:ind w:right="20" w:firstLine="619"/>
        <w:spacing w:after="0" w:line="251" w:lineRule="auto"/>
        <w:rPr>
          <w:sz w:val="20"/>
          <w:szCs w:val="20"/>
          <w:color w:val="auto"/>
        </w:rPr>
      </w:pPr>
      <w:r>
        <w:rPr>
          <w:rFonts w:ascii="Arial" w:cs="Arial" w:eastAsia="Arial" w:hAnsi="Arial"/>
          <w:sz w:val="14"/>
          <w:szCs w:val="14"/>
          <w:color w:val="auto"/>
        </w:rPr>
        <w:t>On November 6, 2024, the Organics Consumers Association filed a lawsuit in the Superior Court of the District of Columbia alleging the Company engaged in false and deceptive advertising in violation of the D.C. Consumer Protection and Procedures Act by making representations about sustainable sourcing practice in connection with its sale of avocados. Plaintiff seeks only declaratory and injunctive relief. On February 21, 2025, the same lawyers that represent the Organic Consumers Association filed a putative class action lawsuit on behalf of Kachuk Enterprises, Bantle Avocado Farm, Maskell Family Trust, and Northern Capital, Inc., owners and operators of avocado orchards located in California, against the Company and certain other avocado distributors. The lawsuit alleges violations of California’s False Advertising Law, California’s Unfair Competition Law, and unjust enrichment related to defendants’ alleged representations to consumers that their avocados are sustainably and responsibly sourced. Plaintiffs primarily seek injunctive relief, monetary and statutory damages, disgorgement of profits, and restitution. The Company is vigorously defending against the claims asserted in both these lawsuits. At this time, it is too soon to determine the outcome of these lawsuits. As a result, the Company has not accrued for any loss contingencies related to these matters because the amount and range of loss, if any, cannot be reasonably estimated.</w:t>
      </w:r>
    </w:p>
    <w:p>
      <w:pPr>
        <w:spacing w:after="0" w:line="186" w:lineRule="exact"/>
        <w:rPr>
          <w:sz w:val="20"/>
          <w:szCs w:val="20"/>
          <w:color w:val="auto"/>
        </w:rPr>
      </w:pPr>
    </w:p>
    <w:p>
      <w:pPr>
        <w:ind w:right="320" w:firstLine="619"/>
        <w:spacing w:after="0" w:line="254" w:lineRule="auto"/>
        <w:rPr>
          <w:sz w:val="20"/>
          <w:szCs w:val="20"/>
          <w:color w:val="auto"/>
        </w:rPr>
      </w:pPr>
      <w:r>
        <w:rPr>
          <w:rFonts w:ascii="Arial" w:cs="Arial" w:eastAsia="Arial" w:hAnsi="Arial"/>
          <w:sz w:val="14"/>
          <w:szCs w:val="14"/>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Item 1A.</w:t>
      </w:r>
      <w:r>
        <w:rPr>
          <w:sz w:val="20"/>
          <w:szCs w:val="20"/>
          <w:color w:val="auto"/>
        </w:rPr>
        <w:tab/>
      </w:r>
      <w:r>
        <w:rPr>
          <w:rFonts w:ascii="Arial" w:cs="Arial" w:eastAsia="Arial" w:hAnsi="Arial"/>
          <w:sz w:val="18"/>
          <w:szCs w:val="18"/>
          <w:b w:val="1"/>
          <w:bCs w:val="1"/>
          <w:color w:val="auto"/>
        </w:rPr>
        <w:t>Risk Factors</w:t>
      </w:r>
    </w:p>
    <w:p>
      <w:pPr>
        <w:spacing w:after="0" w:line="234" w:lineRule="exact"/>
        <w:rPr>
          <w:sz w:val="20"/>
          <w:szCs w:val="20"/>
          <w:color w:val="auto"/>
        </w:rPr>
      </w:pPr>
    </w:p>
    <w:p>
      <w:pPr>
        <w:ind w:right="120" w:firstLine="619"/>
        <w:spacing w:after="0" w:line="274" w:lineRule="auto"/>
        <w:rPr>
          <w:sz w:val="20"/>
          <w:szCs w:val="20"/>
          <w:color w:val="auto"/>
        </w:rPr>
      </w:pPr>
      <w:r>
        <w:rPr>
          <w:rFonts w:ascii="Arial" w:cs="Arial" w:eastAsia="Arial" w:hAnsi="Arial"/>
          <w:sz w:val="13"/>
          <w:szCs w:val="13"/>
          <w:color w:val="auto"/>
        </w:rPr>
        <w:t>For a discussion of our risk factors, see “Part I, Item 1A. Risk Factors” in our Annual Report on Form 10-K for the year ended October 31, 2024, filed with the SEC on December 19, 2024 and “Part II, Item 1A. Risk Factors” in the quarterly report on Form 10-Q for the quarter ended January 31, 2025, filed with the SEC on March 10, 2025 . The risks and uncertainties that we face are not limited to those set forth in the 2024 Form 10-K and subsequent quarterly reports. You should carefully consider the risk factors in the 2024 Form 10-K and subsequent reports, together with the other information contained in this quarterly report on Form 10-Q, including our financial statements and the related notes and “Management’s Discussion and Analysis of Financial Condition and Results of Operations,” before making a decision to purchase or sell shares of our common stock. Additional risks and uncertainties not presently known to us or that we currently believe to be immaterial may also adversely affect our business and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22"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repurchases of equity securities</w:t>
      </w:r>
    </w:p>
    <w:p>
      <w:pPr>
        <w:spacing w:after="0" w:line="228" w:lineRule="exact"/>
        <w:rPr>
          <w:sz w:val="20"/>
          <w:szCs w:val="20"/>
          <w:color w:val="auto"/>
        </w:rPr>
      </w:pPr>
    </w:p>
    <w:p>
      <w:pPr>
        <w:ind w:right="60" w:firstLine="619"/>
        <w:spacing w:after="0" w:line="253" w:lineRule="auto"/>
        <w:rPr>
          <w:sz w:val="20"/>
          <w:szCs w:val="20"/>
          <w:color w:val="auto"/>
        </w:rPr>
      </w:pPr>
      <w:r>
        <w:rPr>
          <w:rFonts w:ascii="Arial" w:cs="Arial" w:eastAsia="Arial" w:hAnsi="Arial"/>
          <w:sz w:val="14"/>
          <w:szCs w:val="14"/>
          <w:color w:val="auto"/>
        </w:rPr>
        <w:t>On September 6, 2023, the Board of Directors approved a stock repurchase program, which permits the Company to repurchase up to $20 million of shares of the Company’s common stock within 36 months from adoption. Share repurchases may be made from time to time in open market or privately negotiated transactions and/or pursuant to Rule 10b5-1 trading plans in such quantities and at such prices as may be authorized by certain designated officers of the Company and are subject to market conditions, applicable legal requirements, trading restrictions under the Company’s insider trading policy and other relevant factors.</w:t>
      </w:r>
    </w:p>
    <w:p>
      <w:pPr>
        <w:spacing w:after="0" w:line="185" w:lineRule="exact"/>
        <w:rPr>
          <w:sz w:val="20"/>
          <w:szCs w:val="20"/>
          <w:color w:val="auto"/>
        </w:rPr>
      </w:pPr>
    </w:p>
    <w:p>
      <w:pPr>
        <w:ind w:right="120" w:firstLine="619"/>
        <w:spacing w:after="0" w:line="278" w:lineRule="auto"/>
        <w:rPr>
          <w:sz w:val="20"/>
          <w:szCs w:val="20"/>
          <w:color w:val="auto"/>
        </w:rPr>
      </w:pPr>
      <w:r>
        <w:rPr>
          <w:rFonts w:ascii="Arial" w:cs="Arial" w:eastAsia="Arial" w:hAnsi="Arial"/>
          <w:sz w:val="14"/>
          <w:szCs w:val="14"/>
          <w:color w:val="auto"/>
        </w:rPr>
        <w:t>Repurchases by us or our “affiliated purchasers” (as defined in Rule 10b-18(a)(3) of the Exchange Act) of registered equity securities during the second quarter of 2025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68"/>
        </w:trPr>
        <w:tc>
          <w:tcPr>
            <w:tcW w:w="2400" w:type="dxa"/>
            <w:vAlign w:val="bottom"/>
          </w:tcPr>
          <w:p>
            <w:pPr>
              <w:spacing w:after="0"/>
              <w:rPr>
                <w:sz w:val="14"/>
                <w:szCs w:val="14"/>
                <w:color w:val="auto"/>
              </w:rPr>
            </w:pPr>
          </w:p>
        </w:tc>
        <w:tc>
          <w:tcPr>
            <w:tcW w:w="2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 of shares</w:t>
            </w:r>
          </w:p>
        </w:tc>
        <w:tc>
          <w:tcPr>
            <w:tcW w:w="20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Average price paid per</w:t>
            </w: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Total number of shares</w:t>
            </w:r>
          </w:p>
        </w:tc>
        <w:tc>
          <w:tcPr>
            <w:tcW w:w="22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28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19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9"/>
              </w:rPr>
              <w:t>purchased as part of publicly</w:t>
            </w:r>
          </w:p>
        </w:tc>
        <w:tc>
          <w:tcPr>
            <w:tcW w:w="220" w:type="dxa"/>
            <w:vAlign w:val="bottom"/>
          </w:tcPr>
          <w:p>
            <w:pPr>
              <w:spacing w:after="0"/>
              <w:rPr>
                <w:sz w:val="13"/>
                <w:szCs w:val="13"/>
                <w:color w:val="auto"/>
              </w:rPr>
            </w:pPr>
          </w:p>
        </w:tc>
        <w:tc>
          <w:tcPr>
            <w:tcW w:w="1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purchased under the plan</w:t>
            </w:r>
          </w:p>
        </w:tc>
        <w:tc>
          <w:tcPr>
            <w:tcW w:w="0" w:type="dxa"/>
            <w:vAlign w:val="bottom"/>
          </w:tcPr>
          <w:p>
            <w:pPr>
              <w:spacing w:after="0"/>
              <w:rPr>
                <w:sz w:val="1"/>
                <w:szCs w:val="1"/>
                <w:color w:val="auto"/>
              </w:rPr>
            </w:pPr>
          </w:p>
        </w:tc>
      </w:tr>
      <w:tr>
        <w:trPr>
          <w:trHeight w:val="202"/>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purchased</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announced plan</w:t>
            </w:r>
          </w:p>
        </w:tc>
        <w:tc>
          <w:tcPr>
            <w:tcW w:w="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93"/>
        </w:trPr>
        <w:tc>
          <w:tcPr>
            <w:tcW w:w="2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March 1-31, 2025</w:t>
            </w:r>
          </w:p>
        </w:tc>
        <w:tc>
          <w:tcPr>
            <w:tcW w:w="2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400,806</w:t>
            </w:r>
          </w:p>
        </w:tc>
        <w:tc>
          <w:tcPr>
            <w:tcW w:w="20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10.06</w:t>
            </w:r>
          </w:p>
        </w:tc>
        <w:tc>
          <w:tcPr>
            <w:tcW w:w="19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400,806</w:t>
            </w:r>
          </w:p>
        </w:tc>
        <w:tc>
          <w:tcPr>
            <w:tcW w:w="22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99"/>
        </w:trPr>
        <w:tc>
          <w:tcPr>
            <w:tcW w:w="2400" w:type="dxa"/>
            <w:vAlign w:val="bottom"/>
          </w:tcPr>
          <w:p>
            <w:pPr>
              <w:ind w:left="20"/>
              <w:spacing w:after="0"/>
              <w:rPr>
                <w:sz w:val="20"/>
                <w:szCs w:val="20"/>
                <w:color w:val="auto"/>
              </w:rPr>
            </w:pPr>
            <w:r>
              <w:rPr>
                <w:rFonts w:ascii="Arial" w:cs="Arial" w:eastAsia="Arial" w:hAnsi="Arial"/>
                <w:sz w:val="14"/>
                <w:szCs w:val="14"/>
                <w:color w:val="auto"/>
              </w:rPr>
              <w:t>April 1-30, 2025</w:t>
            </w:r>
          </w:p>
        </w:tc>
        <w:tc>
          <w:tcPr>
            <w:tcW w:w="2840" w:type="dxa"/>
            <w:vAlign w:val="bottom"/>
          </w:tcPr>
          <w:p>
            <w:pPr>
              <w:jc w:val="right"/>
              <w:spacing w:after="0"/>
              <w:rPr>
                <w:sz w:val="20"/>
                <w:szCs w:val="20"/>
                <w:color w:val="auto"/>
              </w:rPr>
            </w:pPr>
            <w:r>
              <w:rPr>
                <w:rFonts w:ascii="Arial" w:cs="Arial" w:eastAsia="Arial" w:hAnsi="Arial"/>
                <w:sz w:val="14"/>
                <w:szCs w:val="14"/>
                <w:color w:val="auto"/>
              </w:rPr>
              <w:t>116,995</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
              <w:spacing w:after="0"/>
              <w:rPr>
                <w:sz w:val="20"/>
                <w:szCs w:val="20"/>
                <w:color w:val="auto"/>
              </w:rPr>
            </w:pPr>
            <w:r>
              <w:rPr>
                <w:rFonts w:ascii="Arial" w:cs="Arial" w:eastAsia="Arial" w:hAnsi="Arial"/>
                <w:sz w:val="14"/>
                <w:szCs w:val="14"/>
                <w:color w:val="auto"/>
              </w:rPr>
              <w:t>10.00</w:t>
            </w:r>
          </w:p>
        </w:tc>
        <w:tc>
          <w:tcPr>
            <w:tcW w:w="1980" w:type="dxa"/>
            <w:vAlign w:val="bottom"/>
          </w:tcPr>
          <w:p>
            <w:pPr>
              <w:jc w:val="right"/>
              <w:ind w:right="11"/>
              <w:spacing w:after="0"/>
              <w:rPr>
                <w:sz w:val="20"/>
                <w:szCs w:val="20"/>
                <w:color w:val="auto"/>
              </w:rPr>
            </w:pPr>
            <w:r>
              <w:rPr>
                <w:rFonts w:ascii="Arial" w:cs="Arial" w:eastAsia="Arial" w:hAnsi="Arial"/>
                <w:sz w:val="14"/>
                <w:szCs w:val="14"/>
                <w:color w:val="auto"/>
              </w:rPr>
              <w:t>116,995</w:t>
            </w: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960" w:type="dxa"/>
            <w:vAlign w:val="bottom"/>
          </w:tcPr>
          <w:p>
            <w:pPr>
              <w:jc w:val="right"/>
              <w:ind w:right="11"/>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0"/>
        </w:trPr>
        <w:tc>
          <w:tcPr>
            <w:tcW w:w="24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8"/>
          <w:szCs w:val="18"/>
          <w:b w:val="1"/>
          <w:bCs w:val="1"/>
          <w:color w:val="auto"/>
        </w:rPr>
        <w:t>Defaults Upon Senior Securities</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None.</w:t>
      </w:r>
    </w:p>
    <w:p>
      <w:pPr>
        <w:spacing w:after="0" w:line="186"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None.</w:t>
      </w:r>
    </w:p>
    <w:p>
      <w:pPr>
        <w:spacing w:after="0" w:line="199"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1" w:lineRule="exact"/>
        <w:rPr>
          <w:sz w:val="20"/>
          <w:szCs w:val="20"/>
          <w:color w:val="auto"/>
        </w:rPr>
      </w:pPr>
    </w:p>
    <w:p>
      <w:pPr>
        <w:ind w:right="60" w:firstLine="619"/>
        <w:spacing w:after="0" w:line="278" w:lineRule="auto"/>
        <w:rPr>
          <w:sz w:val="20"/>
          <w:szCs w:val="20"/>
          <w:color w:val="auto"/>
        </w:rPr>
      </w:pPr>
      <w:r>
        <w:rPr>
          <w:rFonts w:ascii="Arial" w:cs="Arial" w:eastAsia="Arial" w:hAnsi="Arial"/>
          <w:sz w:val="14"/>
          <w:szCs w:val="14"/>
          <w:color w:val="auto"/>
        </w:rPr>
        <w:t>During the fiscal quarter ended April 30, 2025, no director or officer of the Company adopted or terminated a “Rule 10b5-1 trading arrangement” or a “non-Rule 10b5-1 trading arrangement” (in each case,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20" w:type="dxa"/>
            <w:vAlign w:val="bottom"/>
          </w:tcPr>
          <w:p>
            <w:pPr>
              <w:spacing w:after="0"/>
              <w:rPr>
                <w:sz w:val="20"/>
                <w:szCs w:val="20"/>
                <w:color w:val="auto"/>
              </w:rPr>
            </w:pPr>
            <w:r>
              <w:rPr>
                <w:rFonts w:ascii="Arial" w:cs="Arial" w:eastAsia="Arial" w:hAnsi="Arial"/>
                <w:sz w:val="19"/>
                <w:szCs w:val="19"/>
                <w:b w:val="1"/>
                <w:bCs w:val="1"/>
                <w:color w:val="auto"/>
                <w:w w:val="99"/>
              </w:rPr>
              <w:t>Item 6.</w:t>
            </w:r>
          </w:p>
        </w:tc>
        <w:tc>
          <w:tcPr>
            <w:tcW w:w="7060" w:type="dxa"/>
            <w:vAlign w:val="bottom"/>
            <w:gridSpan w:val="10"/>
          </w:tcPr>
          <w:p>
            <w:pPr>
              <w:ind w:left="400"/>
              <w:spacing w:after="0"/>
              <w:rPr>
                <w:sz w:val="20"/>
                <w:szCs w:val="20"/>
                <w:color w:val="auto"/>
              </w:rPr>
            </w:pPr>
            <w:r>
              <w:rPr>
                <w:rFonts w:ascii="Arial" w:cs="Arial" w:eastAsia="Arial" w:hAnsi="Arial"/>
                <w:sz w:val="19"/>
                <w:szCs w:val="19"/>
                <w:b w:val="1"/>
                <w:bCs w:val="1"/>
                <w:color w:val="auto"/>
              </w:rPr>
              <w:t>Exhibits</w:t>
            </w:r>
          </w:p>
        </w:tc>
        <w:tc>
          <w:tcPr>
            <w:tcW w:w="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4"/>
        </w:trPr>
        <w:tc>
          <w:tcPr>
            <w:tcW w:w="620" w:type="dxa"/>
            <w:vAlign w:val="bottom"/>
          </w:tcPr>
          <w:p>
            <w:pPr>
              <w:spacing w:after="0"/>
              <w:rPr>
                <w:sz w:val="24"/>
                <w:szCs w:val="24"/>
                <w:color w:val="auto"/>
              </w:rPr>
            </w:pPr>
          </w:p>
        </w:tc>
        <w:tc>
          <w:tcPr>
            <w:tcW w:w="7060" w:type="dxa"/>
            <w:vAlign w:val="bottom"/>
            <w:gridSpan w:val="10"/>
          </w:tcPr>
          <w:p>
            <w:pPr>
              <w:spacing w:after="0"/>
              <w:rPr>
                <w:sz w:val="20"/>
                <w:szCs w:val="20"/>
                <w:color w:val="auto"/>
              </w:rPr>
            </w:pPr>
            <w:r>
              <w:rPr>
                <w:rFonts w:ascii="Arial" w:cs="Arial" w:eastAsia="Arial" w:hAnsi="Arial"/>
                <w:sz w:val="14"/>
                <w:szCs w:val="14"/>
                <w:color w:val="auto"/>
              </w:rPr>
              <w:t>The documents set forth are filed herewith or incorporated herein by reference.</w:t>
            </w: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40" w:type="dxa"/>
            <w:vAlign w:val="bottom"/>
            <w:gridSpan w:val="6"/>
          </w:tcPr>
          <w:p>
            <w:pPr>
              <w:ind w:left="220"/>
              <w:spacing w:after="0"/>
              <w:rPr>
                <w:sz w:val="20"/>
                <w:szCs w:val="20"/>
                <w:color w:val="auto"/>
              </w:rPr>
            </w:pPr>
            <w:r>
              <w:rPr>
                <w:rFonts w:ascii="Arial" w:cs="Arial" w:eastAsia="Arial" w:hAnsi="Arial"/>
                <w:sz w:val="17"/>
                <w:szCs w:val="17"/>
                <w:b w:val="1"/>
                <w:bCs w:val="1"/>
                <w:color w:val="auto"/>
              </w:rPr>
              <w:t>INDEX</w:t>
            </w: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ind w:left="140"/>
              <w:spacing w:after="0"/>
              <w:rPr>
                <w:sz w:val="20"/>
                <w:szCs w:val="20"/>
                <w:color w:val="auto"/>
              </w:rPr>
            </w:pPr>
            <w:r>
              <w:rPr>
                <w:rFonts w:ascii="Arial" w:cs="Arial" w:eastAsia="Arial" w:hAnsi="Arial"/>
                <w:sz w:val="12"/>
                <w:szCs w:val="12"/>
                <w:b w:val="1"/>
                <w:bCs w:val="1"/>
                <w:color w:val="auto"/>
              </w:rPr>
              <w:t>Incorporated by Reference</w:t>
            </w: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Exhibit No.</w:t>
            </w:r>
          </w:p>
        </w:tc>
        <w:tc>
          <w:tcPr>
            <w:tcW w:w="1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vMerge w:val="restart"/>
          </w:tcPr>
          <w:p>
            <w:pPr>
              <w:ind w:left="460"/>
              <w:spacing w:after="0"/>
              <w:rPr>
                <w:sz w:val="20"/>
                <w:szCs w:val="20"/>
                <w:color w:val="auto"/>
              </w:rPr>
            </w:pPr>
            <w:r>
              <w:rPr>
                <w:rFonts w:ascii="Arial" w:cs="Arial" w:eastAsia="Arial" w:hAnsi="Arial"/>
                <w:sz w:val="12"/>
                <w:szCs w:val="12"/>
                <w:b w:val="1"/>
                <w:bCs w:val="1"/>
                <w:color w:val="auto"/>
                <w:w w:val="93"/>
              </w:rPr>
              <w:t>Fi</w:t>
            </w:r>
          </w:p>
        </w:tc>
        <w:tc>
          <w:tcPr>
            <w:tcW w:w="0" w:type="dxa"/>
            <w:vAlign w:val="bottom"/>
          </w:tcPr>
          <w:p>
            <w:pPr>
              <w:spacing w:after="0"/>
              <w:rPr>
                <w:sz w:val="1"/>
                <w:szCs w:val="1"/>
                <w:color w:val="auto"/>
              </w:rPr>
            </w:pPr>
          </w:p>
        </w:tc>
      </w:tr>
      <w:tr>
        <w:trPr>
          <w:trHeight w:val="130"/>
        </w:trPr>
        <w:tc>
          <w:tcPr>
            <w:tcW w:w="6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380" w:type="dxa"/>
            <w:vAlign w:val="bottom"/>
            <w:gridSpan w:val="8"/>
          </w:tcPr>
          <w:p>
            <w:pPr>
              <w:ind w:left="740"/>
              <w:spacing w:after="0"/>
              <w:rPr>
                <w:sz w:val="20"/>
                <w:szCs w:val="20"/>
                <w:color w:val="auto"/>
              </w:rPr>
            </w:pPr>
            <w:r>
              <w:rPr>
                <w:rFonts w:ascii="Arial" w:cs="Arial" w:eastAsia="Arial" w:hAnsi="Arial"/>
                <w:sz w:val="12"/>
                <w:szCs w:val="12"/>
                <w:b w:val="1"/>
                <w:bCs w:val="1"/>
                <w:color w:val="auto"/>
              </w:rPr>
              <w:t>Exhibit Description</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9"/>
              </w:rPr>
              <w:t>Form</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160"/>
              <w:spacing w:after="0"/>
              <w:rPr>
                <w:sz w:val="20"/>
                <w:szCs w:val="20"/>
                <w:color w:val="auto"/>
              </w:rPr>
            </w:pPr>
            <w:r>
              <w:rPr>
                <w:rFonts w:ascii="Arial" w:cs="Arial" w:eastAsia="Arial" w:hAnsi="Arial"/>
                <w:sz w:val="12"/>
                <w:szCs w:val="12"/>
                <w:b w:val="1"/>
                <w:bCs w:val="1"/>
                <w:color w:val="auto"/>
                <w:w w:val="96"/>
              </w:rPr>
              <w:t>Number</w:t>
            </w:r>
          </w:p>
        </w:tc>
        <w:tc>
          <w:tcPr>
            <w:tcW w:w="580" w:type="dxa"/>
            <w:vAlign w:val="bottom"/>
          </w:tcPr>
          <w:p>
            <w:pPr>
              <w:ind w:left="360"/>
              <w:spacing w:after="0"/>
              <w:rPr>
                <w:sz w:val="20"/>
                <w:szCs w:val="20"/>
                <w:color w:val="auto"/>
              </w:rPr>
            </w:pPr>
            <w:r>
              <w:rPr>
                <w:rFonts w:ascii="Arial" w:cs="Arial" w:eastAsia="Arial" w:hAnsi="Arial"/>
                <w:sz w:val="12"/>
                <w:szCs w:val="12"/>
                <w:b w:val="1"/>
                <w:bCs w:val="1"/>
                <w:color w:val="auto"/>
                <w:w w:val="99"/>
              </w:rPr>
              <w:t>Her</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0" w:type="dxa"/>
            <w:vAlign w:val="bottom"/>
            <w:shd w:val="clear" w:color="auto" w:fill="DBDBDB"/>
          </w:tcPr>
          <w:p>
            <w:pPr>
              <w:jc w:val="center"/>
              <w:ind w:right="36"/>
              <w:spacing w:after="0" w:line="135" w:lineRule="exact"/>
              <w:rPr>
                <w:sz w:val="20"/>
                <w:szCs w:val="20"/>
                <w:color w:val="auto"/>
              </w:rPr>
            </w:pPr>
            <w:r>
              <w:rPr>
                <w:rFonts w:ascii="Arial" w:cs="Arial" w:eastAsia="Arial" w:hAnsi="Arial"/>
                <w:sz w:val="12"/>
                <w:szCs w:val="12"/>
                <w:color w:val="auto"/>
              </w:rPr>
              <w:t>3.1</w:t>
            </w:r>
          </w:p>
        </w:tc>
        <w:tc>
          <w:tcPr>
            <w:tcW w:w="6060" w:type="dxa"/>
            <w:vAlign w:val="bottom"/>
            <w:gridSpan w:val="9"/>
            <w:shd w:val="clear" w:color="auto" w:fill="DBDBDB"/>
          </w:tcPr>
          <w:p>
            <w:pPr>
              <w:spacing w:after="0" w:line="135" w:lineRule="exact"/>
              <w:rPr>
                <w:rFonts w:ascii="Arial" w:cs="Arial" w:eastAsia="Arial" w:hAnsi="Arial"/>
                <w:sz w:val="12"/>
                <w:szCs w:val="12"/>
                <w:color w:val="auto"/>
              </w:rPr>
            </w:pPr>
            <w:hyperlink r:id="rId46">
              <w:r>
                <w:rPr>
                  <w:rFonts w:ascii="Arial" w:cs="Arial" w:eastAsia="Arial" w:hAnsi="Arial"/>
                  <w:sz w:val="12"/>
                  <w:szCs w:val="12"/>
                  <w:color w:val="auto"/>
                </w:rPr>
                <w:t>Amended and Restated Certificate of Incorporation</w:t>
              </w:r>
            </w:hyperlink>
          </w:p>
        </w:tc>
        <w:tc>
          <w:tcPr>
            <w:tcW w:w="640" w:type="dxa"/>
            <w:vAlign w:val="bottom"/>
            <w:shd w:val="clear" w:color="auto" w:fill="DBDBDB"/>
          </w:tcPr>
          <w:p>
            <w:pPr>
              <w:jc w:val="center"/>
              <w:spacing w:after="0" w:line="135" w:lineRule="exact"/>
              <w:rPr>
                <w:sz w:val="20"/>
                <w:szCs w:val="20"/>
                <w:color w:val="auto"/>
              </w:rPr>
            </w:pPr>
            <w:r>
              <w:rPr>
                <w:rFonts w:ascii="Arial" w:cs="Arial" w:eastAsia="Arial" w:hAnsi="Arial"/>
                <w:sz w:val="12"/>
                <w:szCs w:val="12"/>
                <w:color w:val="auto"/>
              </w:rPr>
              <w:t>8-K</w:t>
            </w:r>
          </w:p>
        </w:tc>
        <w:tc>
          <w:tcPr>
            <w:tcW w:w="1700" w:type="dxa"/>
            <w:vAlign w:val="bottom"/>
            <w:shd w:val="clear" w:color="auto" w:fill="DBDBDB"/>
          </w:tcPr>
          <w:p>
            <w:pPr>
              <w:jc w:val="center"/>
              <w:ind w:right="100"/>
              <w:spacing w:after="0" w:line="135" w:lineRule="exact"/>
              <w:rPr>
                <w:sz w:val="20"/>
                <w:szCs w:val="20"/>
                <w:color w:val="auto"/>
              </w:rPr>
            </w:pPr>
            <w:r>
              <w:rPr>
                <w:rFonts w:ascii="Arial" w:cs="Arial" w:eastAsia="Arial" w:hAnsi="Arial"/>
                <w:sz w:val="12"/>
                <w:szCs w:val="12"/>
                <w:color w:val="auto"/>
              </w:rPr>
              <w:t>10/7/2020</w:t>
            </w:r>
          </w:p>
        </w:tc>
        <w:tc>
          <w:tcPr>
            <w:tcW w:w="740" w:type="dxa"/>
            <w:vAlign w:val="bottom"/>
            <w:shd w:val="clear" w:color="auto" w:fill="DBDBDB"/>
          </w:tcPr>
          <w:p>
            <w:pPr>
              <w:jc w:val="center"/>
              <w:ind w:right="160"/>
              <w:spacing w:after="0" w:line="135" w:lineRule="exact"/>
              <w:rPr>
                <w:sz w:val="20"/>
                <w:szCs w:val="20"/>
                <w:color w:val="auto"/>
              </w:rPr>
            </w:pPr>
            <w:r>
              <w:rPr>
                <w:rFonts w:ascii="Arial" w:cs="Arial" w:eastAsia="Arial" w:hAnsi="Arial"/>
                <w:sz w:val="12"/>
                <w:szCs w:val="12"/>
                <w:color w:val="auto"/>
                <w:w w:val="95"/>
              </w:rPr>
              <w:t>3.2</w:t>
            </w:r>
          </w:p>
        </w:tc>
        <w:tc>
          <w:tcPr>
            <w:tcW w:w="58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1000" w:type="dxa"/>
            <w:vAlign w:val="bottom"/>
            <w:tcBorders>
              <w:top w:val="single" w:sz="8" w:color="DBDBDB"/>
            </w:tcBorders>
            <w:shd w:val="clear" w:color="auto" w:fill="DBDBDB"/>
          </w:tcPr>
          <w:p>
            <w:pPr>
              <w:spacing w:after="0"/>
              <w:rPr>
                <w:sz w:val="2"/>
                <w:szCs w:val="2"/>
                <w:color w:val="auto"/>
              </w:rPr>
            </w:pPr>
          </w:p>
        </w:tc>
        <w:tc>
          <w:tcPr>
            <w:tcW w:w="1680" w:type="dxa"/>
            <w:vAlign w:val="bottom"/>
            <w:tcBorders>
              <w:top w:val="single" w:sz="8" w:color="auto"/>
            </w:tcBorders>
            <w:shd w:val="clear" w:color="auto" w:fill="DBDBDB"/>
          </w:tcPr>
          <w:p>
            <w:pPr>
              <w:spacing w:after="0"/>
              <w:rPr>
                <w:sz w:val="2"/>
                <w:szCs w:val="2"/>
                <w:color w:val="auto"/>
              </w:rPr>
            </w:pPr>
          </w:p>
        </w:tc>
        <w:tc>
          <w:tcPr>
            <w:tcW w:w="1020" w:type="dxa"/>
            <w:vAlign w:val="bottom"/>
            <w:tcBorders>
              <w:top w:val="single" w:sz="8" w:color="auto"/>
            </w:tcBorders>
            <w:shd w:val="clear" w:color="auto" w:fill="DBDBDB"/>
          </w:tcPr>
          <w:p>
            <w:pPr>
              <w:spacing w:after="0"/>
              <w:rPr>
                <w:sz w:val="2"/>
                <w:szCs w:val="2"/>
                <w:color w:val="auto"/>
              </w:rPr>
            </w:pPr>
          </w:p>
        </w:tc>
        <w:tc>
          <w:tcPr>
            <w:tcW w:w="820" w:type="dxa"/>
            <w:vAlign w:val="bottom"/>
            <w:tcBorders>
              <w:top w:val="single" w:sz="8" w:color="DBDBDB"/>
            </w:tcBorders>
            <w:shd w:val="clear" w:color="auto" w:fill="DBDBDB"/>
          </w:tcPr>
          <w:p>
            <w:pPr>
              <w:spacing w:after="0"/>
              <w:rPr>
                <w:sz w:val="2"/>
                <w:szCs w:val="2"/>
                <w:color w:val="auto"/>
              </w:rPr>
            </w:pPr>
          </w:p>
        </w:tc>
        <w:tc>
          <w:tcPr>
            <w:tcW w:w="1520" w:type="dxa"/>
            <w:vAlign w:val="bottom"/>
            <w:tcBorders>
              <w:top w:val="single" w:sz="8" w:color="DBDBDB"/>
            </w:tcBorders>
            <w:shd w:val="clear" w:color="auto" w:fill="DBDBDB"/>
          </w:tcPr>
          <w:p>
            <w:pPr>
              <w:spacing w:after="0"/>
              <w:rPr>
                <w:sz w:val="2"/>
                <w:szCs w:val="2"/>
                <w:color w:val="auto"/>
              </w:rPr>
            </w:pPr>
          </w:p>
        </w:tc>
        <w:tc>
          <w:tcPr>
            <w:tcW w:w="120" w:type="dxa"/>
            <w:vAlign w:val="bottom"/>
            <w:tcBorders>
              <w:top w:val="single" w:sz="8" w:color="DBDBDB"/>
            </w:tcBorders>
            <w:shd w:val="clear" w:color="auto" w:fill="DBDBDB"/>
          </w:tcPr>
          <w:p>
            <w:pPr>
              <w:spacing w:after="0"/>
              <w:rPr>
                <w:sz w:val="2"/>
                <w:szCs w:val="2"/>
                <w:color w:val="auto"/>
              </w:rPr>
            </w:pPr>
          </w:p>
        </w:tc>
        <w:tc>
          <w:tcPr>
            <w:tcW w:w="40" w:type="dxa"/>
            <w:vAlign w:val="bottom"/>
            <w:tcBorders>
              <w:top w:val="single" w:sz="8" w:color="DBDBDB"/>
            </w:tcBorders>
            <w:shd w:val="clear" w:color="auto" w:fill="DBDBDB"/>
          </w:tcPr>
          <w:p>
            <w:pPr>
              <w:spacing w:after="0"/>
              <w:rPr>
                <w:sz w:val="2"/>
                <w:szCs w:val="2"/>
                <w:color w:val="auto"/>
              </w:rPr>
            </w:pPr>
          </w:p>
        </w:tc>
        <w:tc>
          <w:tcPr>
            <w:tcW w:w="400" w:type="dxa"/>
            <w:vAlign w:val="bottom"/>
            <w:tcBorders>
              <w:top w:val="single" w:sz="8" w:color="DBDBDB"/>
            </w:tcBorders>
            <w:shd w:val="clear" w:color="auto" w:fill="DBDBDB"/>
          </w:tcPr>
          <w:p>
            <w:pPr>
              <w:spacing w:after="0"/>
              <w:rPr>
                <w:sz w:val="2"/>
                <w:szCs w:val="2"/>
                <w:color w:val="auto"/>
              </w:rPr>
            </w:pPr>
          </w:p>
        </w:tc>
        <w:tc>
          <w:tcPr>
            <w:tcW w:w="40" w:type="dxa"/>
            <w:vAlign w:val="bottom"/>
            <w:tcBorders>
              <w:top w:val="single" w:sz="8" w:color="DBDBDB"/>
            </w:tcBorders>
            <w:shd w:val="clear" w:color="auto" w:fill="DBDBDB"/>
          </w:tcPr>
          <w:p>
            <w:pPr>
              <w:spacing w:after="0"/>
              <w:rPr>
                <w:sz w:val="2"/>
                <w:szCs w:val="2"/>
                <w:color w:val="auto"/>
              </w:rPr>
            </w:pPr>
          </w:p>
        </w:tc>
        <w:tc>
          <w:tcPr>
            <w:tcW w:w="420" w:type="dxa"/>
            <w:vAlign w:val="bottom"/>
            <w:tcBorders>
              <w:top w:val="single" w:sz="8" w:color="DBDBDB"/>
            </w:tcBorders>
            <w:shd w:val="clear" w:color="auto" w:fill="DBDBDB"/>
          </w:tcPr>
          <w:p>
            <w:pPr>
              <w:spacing w:after="0"/>
              <w:rPr>
                <w:sz w:val="2"/>
                <w:szCs w:val="2"/>
                <w:color w:val="auto"/>
              </w:rPr>
            </w:pPr>
          </w:p>
        </w:tc>
        <w:tc>
          <w:tcPr>
            <w:tcW w:w="640" w:type="dxa"/>
            <w:vAlign w:val="bottom"/>
            <w:tcBorders>
              <w:top w:val="single" w:sz="8" w:color="DBDBDB"/>
            </w:tcBorders>
            <w:shd w:val="clear" w:color="auto" w:fill="DBDBDB"/>
          </w:tcPr>
          <w:p>
            <w:pPr>
              <w:spacing w:after="0"/>
              <w:rPr>
                <w:sz w:val="2"/>
                <w:szCs w:val="2"/>
                <w:color w:val="auto"/>
              </w:rPr>
            </w:pPr>
          </w:p>
        </w:tc>
        <w:tc>
          <w:tcPr>
            <w:tcW w:w="1700" w:type="dxa"/>
            <w:vAlign w:val="bottom"/>
            <w:tcBorders>
              <w:top w:val="single" w:sz="8" w:color="DBDBDB"/>
            </w:tcBorders>
            <w:shd w:val="clear" w:color="auto" w:fill="DBDBDB"/>
          </w:tcPr>
          <w:p>
            <w:pPr>
              <w:spacing w:after="0"/>
              <w:rPr>
                <w:sz w:val="2"/>
                <w:szCs w:val="2"/>
                <w:color w:val="auto"/>
              </w:rPr>
            </w:pPr>
          </w:p>
        </w:tc>
        <w:tc>
          <w:tcPr>
            <w:tcW w:w="740" w:type="dxa"/>
            <w:vAlign w:val="bottom"/>
            <w:tcBorders>
              <w:top w:val="single" w:sz="8" w:color="DBDBDB"/>
            </w:tcBorders>
            <w:shd w:val="clear" w:color="auto" w:fill="DBDBDB"/>
          </w:tcPr>
          <w:p>
            <w:pPr>
              <w:spacing w:after="0"/>
              <w:rPr>
                <w:sz w:val="2"/>
                <w:szCs w:val="2"/>
                <w:color w:val="auto"/>
              </w:rPr>
            </w:pPr>
          </w:p>
        </w:tc>
        <w:tc>
          <w:tcPr>
            <w:tcW w:w="58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620" w:type="dxa"/>
            <w:vAlign w:val="bottom"/>
          </w:tcPr>
          <w:p>
            <w:pPr>
              <w:spacing w:after="0"/>
              <w:rPr>
                <w:sz w:val="12"/>
                <w:szCs w:val="12"/>
                <w:color w:val="auto"/>
              </w:rPr>
            </w:pPr>
          </w:p>
        </w:tc>
        <w:tc>
          <w:tcPr>
            <w:tcW w:w="1000" w:type="dxa"/>
            <w:vAlign w:val="bottom"/>
          </w:tcPr>
          <w:p>
            <w:pPr>
              <w:jc w:val="center"/>
              <w:ind w:right="36"/>
              <w:spacing w:after="0"/>
              <w:rPr>
                <w:sz w:val="20"/>
                <w:szCs w:val="20"/>
                <w:color w:val="auto"/>
              </w:rPr>
            </w:pPr>
            <w:r>
              <w:rPr>
                <w:rFonts w:ascii="Arial" w:cs="Arial" w:eastAsia="Arial" w:hAnsi="Arial"/>
                <w:sz w:val="12"/>
                <w:szCs w:val="12"/>
                <w:color w:val="auto"/>
              </w:rPr>
              <w:t>3.2</w:t>
            </w:r>
          </w:p>
        </w:tc>
        <w:tc>
          <w:tcPr>
            <w:tcW w:w="6060" w:type="dxa"/>
            <w:vAlign w:val="bottom"/>
            <w:gridSpan w:val="9"/>
          </w:tcPr>
          <w:p>
            <w:pPr>
              <w:spacing w:after="0"/>
              <w:rPr>
                <w:rFonts w:ascii="Arial" w:cs="Arial" w:eastAsia="Arial" w:hAnsi="Arial"/>
                <w:sz w:val="12"/>
                <w:szCs w:val="12"/>
                <w:color w:val="auto"/>
              </w:rPr>
            </w:pPr>
            <w:hyperlink r:id="rId47">
              <w:r>
                <w:rPr>
                  <w:rFonts w:ascii="Arial" w:cs="Arial" w:eastAsia="Arial" w:hAnsi="Arial"/>
                  <w:sz w:val="12"/>
                  <w:szCs w:val="12"/>
                  <w:color w:val="auto"/>
                </w:rPr>
                <w:t>Amendment to Amended and Restated Certificate of Incorporation</w:t>
              </w:r>
            </w:hyperlink>
          </w:p>
        </w:tc>
        <w:tc>
          <w:tcPr>
            <w:tcW w:w="640" w:type="dxa"/>
            <w:vAlign w:val="bottom"/>
          </w:tcPr>
          <w:p>
            <w:pPr>
              <w:jc w:val="center"/>
              <w:spacing w:after="0"/>
              <w:rPr>
                <w:sz w:val="20"/>
                <w:szCs w:val="20"/>
                <w:color w:val="auto"/>
              </w:rPr>
            </w:pPr>
            <w:r>
              <w:rPr>
                <w:rFonts w:ascii="Arial" w:cs="Arial" w:eastAsia="Arial" w:hAnsi="Arial"/>
                <w:sz w:val="12"/>
                <w:szCs w:val="12"/>
                <w:color w:val="auto"/>
              </w:rPr>
              <w:t>10-Q</w:t>
            </w:r>
          </w:p>
        </w:tc>
        <w:tc>
          <w:tcPr>
            <w:tcW w:w="1700" w:type="dxa"/>
            <w:vAlign w:val="bottom"/>
          </w:tcPr>
          <w:p>
            <w:pPr>
              <w:jc w:val="center"/>
              <w:ind w:right="100"/>
              <w:spacing w:after="0"/>
              <w:rPr>
                <w:sz w:val="20"/>
                <w:szCs w:val="20"/>
                <w:color w:val="auto"/>
              </w:rPr>
            </w:pPr>
            <w:r>
              <w:rPr>
                <w:rFonts w:ascii="Arial" w:cs="Arial" w:eastAsia="Arial" w:hAnsi="Arial"/>
                <w:sz w:val="12"/>
                <w:szCs w:val="12"/>
                <w:color w:val="auto"/>
                <w:w w:val="98"/>
              </w:rPr>
              <w:t>6/8/2024</w:t>
            </w:r>
          </w:p>
        </w:tc>
        <w:tc>
          <w:tcPr>
            <w:tcW w:w="740" w:type="dxa"/>
            <w:vAlign w:val="bottom"/>
          </w:tcPr>
          <w:p>
            <w:pPr>
              <w:jc w:val="center"/>
              <w:ind w:right="160"/>
              <w:spacing w:after="0"/>
              <w:rPr>
                <w:sz w:val="20"/>
                <w:szCs w:val="20"/>
                <w:color w:val="auto"/>
              </w:rPr>
            </w:pPr>
            <w:r>
              <w:rPr>
                <w:rFonts w:ascii="Arial" w:cs="Arial" w:eastAsia="Arial" w:hAnsi="Arial"/>
                <w:sz w:val="12"/>
                <w:szCs w:val="12"/>
                <w:color w:val="auto"/>
                <w:w w:val="95"/>
              </w:rPr>
              <w:t>3.2</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20" w:type="dxa"/>
            <w:vAlign w:val="bottom"/>
          </w:tcPr>
          <w:p>
            <w:pPr>
              <w:spacing w:after="0"/>
              <w:rPr>
                <w:sz w:val="15"/>
                <w:szCs w:val="15"/>
                <w:color w:val="auto"/>
              </w:rPr>
            </w:pPr>
          </w:p>
        </w:tc>
        <w:tc>
          <w:tcPr>
            <w:tcW w:w="1000" w:type="dxa"/>
            <w:vAlign w:val="bottom"/>
            <w:tcBorders>
              <w:bottom w:val="single" w:sz="8" w:color="DBDBDB"/>
            </w:tcBorders>
            <w:shd w:val="clear" w:color="auto" w:fill="DBDBDB"/>
          </w:tcPr>
          <w:p>
            <w:pPr>
              <w:jc w:val="center"/>
              <w:ind w:right="36"/>
              <w:spacing w:after="0"/>
              <w:rPr>
                <w:sz w:val="20"/>
                <w:szCs w:val="20"/>
                <w:color w:val="auto"/>
              </w:rPr>
            </w:pPr>
            <w:r>
              <w:rPr>
                <w:rFonts w:ascii="Arial" w:cs="Arial" w:eastAsia="Arial" w:hAnsi="Arial"/>
                <w:sz w:val="12"/>
                <w:szCs w:val="12"/>
                <w:color w:val="auto"/>
              </w:rPr>
              <w:t>3.3</w:t>
            </w:r>
          </w:p>
        </w:tc>
        <w:tc>
          <w:tcPr>
            <w:tcW w:w="1680" w:type="dxa"/>
            <w:vAlign w:val="bottom"/>
            <w:tcBorders>
              <w:bottom w:val="single" w:sz="8" w:color="auto"/>
            </w:tcBorders>
            <w:shd w:val="clear" w:color="auto" w:fill="DBDBDB"/>
          </w:tcPr>
          <w:p>
            <w:pPr>
              <w:spacing w:after="0"/>
              <w:rPr>
                <w:rFonts w:ascii="Arial" w:cs="Arial" w:eastAsia="Arial" w:hAnsi="Arial"/>
                <w:sz w:val="12"/>
                <w:szCs w:val="12"/>
                <w:color w:val="auto"/>
                <w:w w:val="99"/>
              </w:rPr>
            </w:pPr>
            <w:hyperlink r:id="rId48">
              <w:r>
                <w:rPr>
                  <w:rFonts w:ascii="Arial" w:cs="Arial" w:eastAsia="Arial" w:hAnsi="Arial"/>
                  <w:sz w:val="12"/>
                  <w:szCs w:val="12"/>
                  <w:color w:val="auto"/>
                  <w:w w:val="99"/>
                </w:rPr>
                <w:t>Amended and Restated Bylaws</w:t>
              </w:r>
            </w:hyperlink>
          </w:p>
        </w:tc>
        <w:tc>
          <w:tcPr>
            <w:tcW w:w="4380" w:type="dxa"/>
            <w:vAlign w:val="bottom"/>
            <w:tcBorders>
              <w:bottom w:val="single" w:sz="8" w:color="DBDBDB"/>
            </w:tcBorders>
            <w:gridSpan w:val="8"/>
            <w:shd w:val="clear" w:color="auto" w:fill="DBDBDB"/>
          </w:tcPr>
          <w:p>
            <w:pPr>
              <w:spacing w:after="0"/>
              <w:rPr>
                <w:sz w:val="15"/>
                <w:szCs w:val="15"/>
                <w:color w:val="auto"/>
              </w:rPr>
            </w:pPr>
          </w:p>
        </w:tc>
        <w:tc>
          <w:tcPr>
            <w:tcW w:w="6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rPr>
              <w:t>8-K</w:t>
            </w:r>
          </w:p>
        </w:tc>
        <w:tc>
          <w:tcPr>
            <w:tcW w:w="1700" w:type="dxa"/>
            <w:vAlign w:val="bottom"/>
            <w:tcBorders>
              <w:bottom w:val="single" w:sz="8" w:color="DBDBDB"/>
            </w:tcBorders>
            <w:shd w:val="clear" w:color="auto" w:fill="DBDBDB"/>
          </w:tcPr>
          <w:p>
            <w:pPr>
              <w:jc w:val="center"/>
              <w:ind w:right="100"/>
              <w:spacing w:after="0"/>
              <w:rPr>
                <w:sz w:val="20"/>
                <w:szCs w:val="20"/>
                <w:color w:val="auto"/>
              </w:rPr>
            </w:pPr>
            <w:r>
              <w:rPr>
                <w:rFonts w:ascii="Arial" w:cs="Arial" w:eastAsia="Arial" w:hAnsi="Arial"/>
                <w:sz w:val="12"/>
                <w:szCs w:val="12"/>
                <w:color w:val="auto"/>
              </w:rPr>
              <w:t>10/7/2020</w:t>
            </w:r>
          </w:p>
        </w:tc>
        <w:tc>
          <w:tcPr>
            <w:tcW w:w="740" w:type="dxa"/>
            <w:vAlign w:val="bottom"/>
            <w:tcBorders>
              <w:bottom w:val="single" w:sz="8" w:color="DBDBDB"/>
            </w:tcBorders>
            <w:shd w:val="clear" w:color="auto" w:fill="DBDBDB"/>
          </w:tcPr>
          <w:p>
            <w:pPr>
              <w:jc w:val="center"/>
              <w:ind w:right="160"/>
              <w:spacing w:after="0"/>
              <w:rPr>
                <w:sz w:val="20"/>
                <w:szCs w:val="20"/>
                <w:color w:val="auto"/>
              </w:rPr>
            </w:pPr>
            <w:r>
              <w:rPr>
                <w:rFonts w:ascii="Arial" w:cs="Arial" w:eastAsia="Arial" w:hAnsi="Arial"/>
                <w:sz w:val="12"/>
                <w:szCs w:val="12"/>
                <w:color w:val="auto"/>
                <w:w w:val="95"/>
              </w:rPr>
              <w:t>3.2</w:t>
            </w:r>
          </w:p>
        </w:tc>
        <w:tc>
          <w:tcPr>
            <w:tcW w:w="58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1000" w:type="dxa"/>
            <w:vAlign w:val="bottom"/>
          </w:tcPr>
          <w:p>
            <w:pPr>
              <w:jc w:val="center"/>
              <w:ind w:right="56"/>
              <w:spacing w:after="0"/>
              <w:rPr>
                <w:sz w:val="20"/>
                <w:szCs w:val="20"/>
                <w:color w:val="auto"/>
              </w:rPr>
            </w:pPr>
            <w:r>
              <w:rPr>
                <w:rFonts w:ascii="Arial" w:cs="Arial" w:eastAsia="Arial" w:hAnsi="Arial"/>
                <w:sz w:val="12"/>
                <w:szCs w:val="12"/>
                <w:color w:val="auto"/>
                <w:w w:val="99"/>
              </w:rPr>
              <w:t>31.1*</w:t>
            </w:r>
          </w:p>
        </w:tc>
        <w:tc>
          <w:tcPr>
            <w:tcW w:w="6060" w:type="dxa"/>
            <w:vAlign w:val="bottom"/>
            <w:gridSpan w:val="9"/>
          </w:tcPr>
          <w:p>
            <w:pPr>
              <w:spacing w:after="0"/>
              <w:rPr>
                <w:sz w:val="20"/>
                <w:szCs w:val="20"/>
                <w:color w:val="auto"/>
              </w:rPr>
            </w:pPr>
            <w:r>
              <w:rPr>
                <w:rFonts w:ascii="Arial" w:cs="Arial" w:eastAsia="Arial" w:hAnsi="Arial"/>
                <w:sz w:val="12"/>
                <w:szCs w:val="12"/>
                <w:color w:val="auto"/>
              </w:rPr>
              <w:t>Certification of Principal Executive Officer Pursuant to Rules 13a-14(a) and 15d-14(a) under the Securities</w:t>
            </w:r>
          </w:p>
        </w:tc>
        <w:tc>
          <w:tcPr>
            <w:tcW w:w="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40" w:type="dxa"/>
            <w:vAlign w:val="bottom"/>
            <w:tcBorders>
              <w:top w:val="single" w:sz="8" w:color="auto"/>
            </w:tcBorders>
            <w:gridSpan w:val="8"/>
          </w:tcPr>
          <w:p>
            <w:pPr>
              <w:spacing w:after="0" w:line="122" w:lineRule="exact"/>
              <w:rPr>
                <w:sz w:val="20"/>
                <w:szCs w:val="20"/>
                <w:color w:val="auto"/>
              </w:rPr>
            </w:pPr>
            <w:r>
              <w:rPr>
                <w:rFonts w:ascii="Arial" w:cs="Arial" w:eastAsia="Arial" w:hAnsi="Arial"/>
                <w:sz w:val="12"/>
                <w:szCs w:val="12"/>
                <w:color w:val="auto"/>
              </w:rPr>
              <w:t>Exchange Act of 1934, as Adopted Pursuant to Section 302 of the Sarbanes-Oxley Act of 2002</w:t>
            </w: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620" w:type="dxa"/>
            <w:vAlign w:val="bottom"/>
          </w:tcPr>
          <w:p>
            <w:pPr>
              <w:spacing w:after="0"/>
              <w:rPr>
                <w:sz w:val="12"/>
                <w:szCs w:val="12"/>
                <w:color w:val="auto"/>
              </w:rPr>
            </w:pPr>
          </w:p>
        </w:tc>
        <w:tc>
          <w:tcPr>
            <w:tcW w:w="1000" w:type="dxa"/>
            <w:vAlign w:val="bottom"/>
            <w:shd w:val="clear" w:color="auto" w:fill="DBDBDB"/>
          </w:tcPr>
          <w:p>
            <w:pPr>
              <w:jc w:val="center"/>
              <w:ind w:right="56"/>
              <w:spacing w:after="0"/>
              <w:rPr>
                <w:sz w:val="20"/>
                <w:szCs w:val="20"/>
                <w:color w:val="auto"/>
              </w:rPr>
            </w:pPr>
            <w:r>
              <w:rPr>
                <w:rFonts w:ascii="Arial" w:cs="Arial" w:eastAsia="Arial" w:hAnsi="Arial"/>
                <w:sz w:val="12"/>
                <w:szCs w:val="12"/>
                <w:color w:val="auto"/>
                <w:w w:val="99"/>
              </w:rPr>
              <w:t>31.2*</w:t>
            </w:r>
          </w:p>
        </w:tc>
        <w:tc>
          <w:tcPr>
            <w:tcW w:w="6060" w:type="dxa"/>
            <w:vAlign w:val="bottom"/>
            <w:gridSpan w:val="9"/>
            <w:shd w:val="clear" w:color="auto" w:fill="DBDBDB"/>
          </w:tcPr>
          <w:p>
            <w:pPr>
              <w:spacing w:after="0"/>
              <w:rPr>
                <w:sz w:val="20"/>
                <w:szCs w:val="20"/>
                <w:color w:val="auto"/>
              </w:rPr>
            </w:pPr>
            <w:r>
              <w:rPr>
                <w:rFonts w:ascii="Arial" w:cs="Arial" w:eastAsia="Arial" w:hAnsi="Arial"/>
                <w:sz w:val="12"/>
                <w:szCs w:val="12"/>
                <w:color w:val="auto"/>
              </w:rPr>
              <w:t>Certification of Principal Financial Officer Pursuant to Rules 13a-14(a) and 15d-14(a) under the Securities</w:t>
            </w:r>
          </w:p>
        </w:tc>
        <w:tc>
          <w:tcPr>
            <w:tcW w:w="640" w:type="dxa"/>
            <w:vAlign w:val="bottom"/>
            <w:shd w:val="clear" w:color="auto" w:fill="DBDBDB"/>
          </w:tcPr>
          <w:p>
            <w:pPr>
              <w:spacing w:after="0"/>
              <w:rPr>
                <w:sz w:val="12"/>
                <w:szCs w:val="12"/>
                <w:color w:val="auto"/>
              </w:rPr>
            </w:pPr>
          </w:p>
        </w:tc>
        <w:tc>
          <w:tcPr>
            <w:tcW w:w="170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1000" w:type="dxa"/>
            <w:vAlign w:val="bottom"/>
            <w:tcBorders>
              <w:top w:val="single" w:sz="8" w:color="DBDBDB"/>
              <w:bottom w:val="single" w:sz="8" w:color="DBDBDB"/>
            </w:tcBorders>
            <w:shd w:val="clear" w:color="auto" w:fill="DBDBDB"/>
          </w:tcPr>
          <w:p>
            <w:pPr>
              <w:spacing w:after="0"/>
              <w:rPr>
                <w:sz w:val="13"/>
                <w:szCs w:val="13"/>
                <w:color w:val="auto"/>
              </w:rPr>
            </w:pPr>
          </w:p>
        </w:tc>
        <w:tc>
          <w:tcPr>
            <w:tcW w:w="5040" w:type="dxa"/>
            <w:vAlign w:val="bottom"/>
            <w:tcBorders>
              <w:top w:val="single" w:sz="8" w:color="auto"/>
              <w:bottom w:val="single" w:sz="8" w:color="auto"/>
            </w:tcBorders>
            <w:gridSpan w:val="4"/>
            <w:shd w:val="clear" w:color="auto" w:fill="DBDBDB"/>
          </w:tcPr>
          <w:p>
            <w:pPr>
              <w:spacing w:after="0" w:line="122" w:lineRule="exact"/>
              <w:rPr>
                <w:sz w:val="20"/>
                <w:szCs w:val="20"/>
                <w:color w:val="auto"/>
              </w:rPr>
            </w:pPr>
            <w:r>
              <w:rPr>
                <w:rFonts w:ascii="Arial" w:cs="Arial" w:eastAsia="Arial" w:hAnsi="Arial"/>
                <w:sz w:val="12"/>
                <w:szCs w:val="12"/>
                <w:color w:val="auto"/>
                <w:w w:val="99"/>
              </w:rPr>
              <w:t>Exchange Act of 1934, as Adopted Pursuant to Section 302 of the Sarbanes-Oxley Act of 2002</w:t>
            </w:r>
          </w:p>
        </w:tc>
        <w:tc>
          <w:tcPr>
            <w:tcW w:w="560" w:type="dxa"/>
            <w:vAlign w:val="bottom"/>
            <w:tcBorders>
              <w:top w:val="single" w:sz="8" w:color="auto"/>
              <w:bottom w:val="single" w:sz="8" w:color="DBDBDB"/>
            </w:tcBorders>
            <w:gridSpan w:val="3"/>
            <w:shd w:val="clear" w:color="auto" w:fill="DBDBDB"/>
          </w:tcPr>
          <w:p>
            <w:pPr>
              <w:spacing w:after="0"/>
              <w:rPr>
                <w:sz w:val="13"/>
                <w:szCs w:val="13"/>
                <w:color w:val="auto"/>
              </w:rPr>
            </w:pPr>
          </w:p>
        </w:tc>
        <w:tc>
          <w:tcPr>
            <w:tcW w:w="460" w:type="dxa"/>
            <w:vAlign w:val="bottom"/>
            <w:tcBorders>
              <w:top w:val="single" w:sz="8" w:color="DBDBDB"/>
              <w:bottom w:val="single" w:sz="8" w:color="DBDBDB"/>
            </w:tcBorders>
            <w:gridSpan w:val="2"/>
            <w:shd w:val="clear" w:color="auto" w:fill="DBDBDB"/>
          </w:tcPr>
          <w:p>
            <w:pPr>
              <w:spacing w:after="0"/>
              <w:rPr>
                <w:sz w:val="13"/>
                <w:szCs w:val="13"/>
                <w:color w:val="auto"/>
              </w:rPr>
            </w:pPr>
          </w:p>
        </w:tc>
        <w:tc>
          <w:tcPr>
            <w:tcW w:w="640" w:type="dxa"/>
            <w:vAlign w:val="bottom"/>
            <w:tcBorders>
              <w:top w:val="single" w:sz="8" w:color="DBDBDB"/>
              <w:bottom w:val="single" w:sz="8" w:color="DBDBDB"/>
            </w:tcBorders>
            <w:shd w:val="clear" w:color="auto" w:fill="DBDBDB"/>
          </w:tcPr>
          <w:p>
            <w:pPr>
              <w:spacing w:after="0"/>
              <w:rPr>
                <w:sz w:val="13"/>
                <w:szCs w:val="13"/>
                <w:color w:val="auto"/>
              </w:rPr>
            </w:pPr>
          </w:p>
        </w:tc>
        <w:tc>
          <w:tcPr>
            <w:tcW w:w="1700" w:type="dxa"/>
            <w:vAlign w:val="bottom"/>
            <w:tcBorders>
              <w:top w:val="single" w:sz="8" w:color="DBDBDB"/>
              <w:bottom w:val="single" w:sz="8" w:color="DBDBDB"/>
            </w:tcBorders>
            <w:shd w:val="clear" w:color="auto" w:fill="DBDBDB"/>
          </w:tcPr>
          <w:p>
            <w:pPr>
              <w:spacing w:after="0"/>
              <w:rPr>
                <w:sz w:val="13"/>
                <w:szCs w:val="13"/>
                <w:color w:val="auto"/>
              </w:rPr>
            </w:pPr>
          </w:p>
        </w:tc>
        <w:tc>
          <w:tcPr>
            <w:tcW w:w="740" w:type="dxa"/>
            <w:vAlign w:val="bottom"/>
            <w:tcBorders>
              <w:top w:val="single" w:sz="8" w:color="DBDBDB"/>
              <w:bottom w:val="single" w:sz="8" w:color="DBDBDB"/>
            </w:tcBorders>
            <w:shd w:val="clear" w:color="auto" w:fill="DBDBDB"/>
          </w:tcPr>
          <w:p>
            <w:pPr>
              <w:spacing w:after="0"/>
              <w:rPr>
                <w:sz w:val="13"/>
                <w:szCs w:val="13"/>
                <w:color w:val="auto"/>
              </w:rPr>
            </w:pPr>
          </w:p>
        </w:tc>
        <w:tc>
          <w:tcPr>
            <w:tcW w:w="580" w:type="dxa"/>
            <w:vAlign w:val="bottom"/>
            <w:tcBorders>
              <w:top w:val="single" w:sz="8" w:color="DBDBDB"/>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1000" w:type="dxa"/>
            <w:vAlign w:val="bottom"/>
          </w:tcPr>
          <w:p>
            <w:pPr>
              <w:jc w:val="center"/>
              <w:ind w:right="56"/>
              <w:spacing w:after="0"/>
              <w:rPr>
                <w:sz w:val="20"/>
                <w:szCs w:val="20"/>
                <w:color w:val="auto"/>
              </w:rPr>
            </w:pPr>
            <w:r>
              <w:rPr>
                <w:rFonts w:ascii="Arial" w:cs="Arial" w:eastAsia="Arial" w:hAnsi="Arial"/>
                <w:sz w:val="12"/>
                <w:szCs w:val="12"/>
                <w:color w:val="auto"/>
                <w:w w:val="99"/>
              </w:rPr>
              <w:t>32.1*</w:t>
            </w:r>
          </w:p>
        </w:tc>
        <w:tc>
          <w:tcPr>
            <w:tcW w:w="6060" w:type="dxa"/>
            <w:vAlign w:val="bottom"/>
            <w:gridSpan w:val="9"/>
          </w:tcPr>
          <w:p>
            <w:pPr>
              <w:spacing w:after="0"/>
              <w:rPr>
                <w:sz w:val="20"/>
                <w:szCs w:val="20"/>
                <w:color w:val="auto"/>
              </w:rPr>
            </w:pPr>
            <w:r>
              <w:rPr>
                <w:rFonts w:ascii="Arial" w:cs="Arial" w:eastAsia="Arial" w:hAnsi="Arial"/>
                <w:sz w:val="12"/>
                <w:szCs w:val="12"/>
                <w:color w:val="auto"/>
              </w:rPr>
              <w:t>Certification of Chief Executive Officer pursuant to Section 906 of the Sarbanes-Oxley Act of 2002</w:t>
            </w:r>
          </w:p>
        </w:tc>
        <w:tc>
          <w:tcPr>
            <w:tcW w:w="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620" w:type="dxa"/>
            <w:vAlign w:val="bottom"/>
          </w:tcPr>
          <w:p>
            <w:pPr>
              <w:spacing w:after="0"/>
              <w:rPr>
                <w:sz w:val="12"/>
                <w:szCs w:val="12"/>
                <w:color w:val="auto"/>
              </w:rPr>
            </w:pPr>
          </w:p>
        </w:tc>
        <w:tc>
          <w:tcPr>
            <w:tcW w:w="1000" w:type="dxa"/>
            <w:vAlign w:val="bottom"/>
            <w:shd w:val="clear" w:color="auto" w:fill="DBDBDB"/>
          </w:tcPr>
          <w:p>
            <w:pPr>
              <w:jc w:val="center"/>
              <w:ind w:right="56"/>
              <w:spacing w:after="0"/>
              <w:rPr>
                <w:sz w:val="20"/>
                <w:szCs w:val="20"/>
                <w:color w:val="auto"/>
              </w:rPr>
            </w:pPr>
            <w:r>
              <w:rPr>
                <w:rFonts w:ascii="Arial" w:cs="Arial" w:eastAsia="Arial" w:hAnsi="Arial"/>
                <w:sz w:val="12"/>
                <w:szCs w:val="12"/>
                <w:color w:val="auto"/>
                <w:w w:val="99"/>
              </w:rPr>
              <w:t>32.2*</w:t>
            </w:r>
          </w:p>
        </w:tc>
        <w:tc>
          <w:tcPr>
            <w:tcW w:w="6060" w:type="dxa"/>
            <w:vAlign w:val="bottom"/>
            <w:gridSpan w:val="9"/>
            <w:shd w:val="clear" w:color="auto" w:fill="DBDBDB"/>
          </w:tcPr>
          <w:p>
            <w:pPr>
              <w:spacing w:after="0"/>
              <w:rPr>
                <w:sz w:val="20"/>
                <w:szCs w:val="20"/>
                <w:color w:val="auto"/>
              </w:rPr>
            </w:pPr>
            <w:r>
              <w:rPr>
                <w:rFonts w:ascii="Arial" w:cs="Arial" w:eastAsia="Arial" w:hAnsi="Arial"/>
                <w:sz w:val="12"/>
                <w:szCs w:val="12"/>
                <w:color w:val="auto"/>
              </w:rPr>
              <w:t>Certification of Chief Financial Officer pursuant to Section 906 of the Sarbanes-Oxley Act of 2002</w:t>
            </w:r>
          </w:p>
        </w:tc>
        <w:tc>
          <w:tcPr>
            <w:tcW w:w="640" w:type="dxa"/>
            <w:vAlign w:val="bottom"/>
            <w:shd w:val="clear" w:color="auto" w:fill="DBDBDB"/>
          </w:tcPr>
          <w:p>
            <w:pPr>
              <w:spacing w:after="0"/>
              <w:rPr>
                <w:sz w:val="12"/>
                <w:szCs w:val="12"/>
                <w:color w:val="auto"/>
              </w:rPr>
            </w:pPr>
          </w:p>
        </w:tc>
        <w:tc>
          <w:tcPr>
            <w:tcW w:w="170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1000" w:type="dxa"/>
            <w:vAlign w:val="bottom"/>
            <w:tcBorders>
              <w:top w:val="single" w:sz="8" w:color="DBDBDB"/>
            </w:tcBorders>
            <w:shd w:val="clear" w:color="auto" w:fill="DBDBDB"/>
          </w:tcPr>
          <w:p>
            <w:pPr>
              <w:spacing w:after="0"/>
              <w:rPr>
                <w:sz w:val="2"/>
                <w:szCs w:val="2"/>
                <w:color w:val="auto"/>
              </w:rPr>
            </w:pPr>
          </w:p>
        </w:tc>
        <w:tc>
          <w:tcPr>
            <w:tcW w:w="1680" w:type="dxa"/>
            <w:vAlign w:val="bottom"/>
            <w:tcBorders>
              <w:top w:val="single" w:sz="8" w:color="auto"/>
            </w:tcBorders>
            <w:shd w:val="clear" w:color="auto" w:fill="DBDBDB"/>
          </w:tcPr>
          <w:p>
            <w:pPr>
              <w:spacing w:after="0"/>
              <w:rPr>
                <w:sz w:val="2"/>
                <w:szCs w:val="2"/>
                <w:color w:val="auto"/>
              </w:rPr>
            </w:pPr>
          </w:p>
        </w:tc>
        <w:tc>
          <w:tcPr>
            <w:tcW w:w="1020" w:type="dxa"/>
            <w:vAlign w:val="bottom"/>
            <w:tcBorders>
              <w:top w:val="single" w:sz="8" w:color="auto"/>
            </w:tcBorders>
            <w:shd w:val="clear" w:color="auto" w:fill="DBDBDB"/>
          </w:tcPr>
          <w:p>
            <w:pPr>
              <w:spacing w:after="0"/>
              <w:rPr>
                <w:sz w:val="2"/>
                <w:szCs w:val="2"/>
                <w:color w:val="auto"/>
              </w:rPr>
            </w:pPr>
          </w:p>
        </w:tc>
        <w:tc>
          <w:tcPr>
            <w:tcW w:w="820" w:type="dxa"/>
            <w:vAlign w:val="bottom"/>
            <w:tcBorders>
              <w:top w:val="single" w:sz="8" w:color="auto"/>
            </w:tcBorders>
            <w:shd w:val="clear" w:color="auto" w:fill="DBDBDB"/>
          </w:tcPr>
          <w:p>
            <w:pPr>
              <w:spacing w:after="0"/>
              <w:rPr>
                <w:sz w:val="2"/>
                <w:szCs w:val="2"/>
                <w:color w:val="auto"/>
              </w:rPr>
            </w:pPr>
          </w:p>
        </w:tc>
        <w:tc>
          <w:tcPr>
            <w:tcW w:w="1520" w:type="dxa"/>
            <w:vAlign w:val="bottom"/>
            <w:tcBorders>
              <w:top w:val="single" w:sz="8" w:color="auto"/>
            </w:tcBorders>
            <w:shd w:val="clear" w:color="auto" w:fill="DBDBDB"/>
          </w:tcPr>
          <w:p>
            <w:pPr>
              <w:spacing w:after="0"/>
              <w:rPr>
                <w:sz w:val="2"/>
                <w:szCs w:val="2"/>
                <w:color w:val="auto"/>
              </w:rPr>
            </w:pPr>
          </w:p>
        </w:tc>
        <w:tc>
          <w:tcPr>
            <w:tcW w:w="120" w:type="dxa"/>
            <w:vAlign w:val="bottom"/>
            <w:tcBorders>
              <w:top w:val="single" w:sz="8" w:color="auto"/>
            </w:tcBorders>
            <w:shd w:val="clear" w:color="auto" w:fill="DBDBDB"/>
          </w:tcPr>
          <w:p>
            <w:pPr>
              <w:spacing w:after="0"/>
              <w:rPr>
                <w:sz w:val="2"/>
                <w:szCs w:val="2"/>
                <w:color w:val="auto"/>
              </w:rPr>
            </w:pPr>
          </w:p>
        </w:tc>
        <w:tc>
          <w:tcPr>
            <w:tcW w:w="40" w:type="dxa"/>
            <w:vAlign w:val="bottom"/>
            <w:tcBorders>
              <w:top w:val="single" w:sz="8" w:color="DBDBDB"/>
            </w:tcBorders>
            <w:shd w:val="clear" w:color="auto" w:fill="DBDBDB"/>
          </w:tcPr>
          <w:p>
            <w:pPr>
              <w:spacing w:after="0"/>
              <w:rPr>
                <w:sz w:val="2"/>
                <w:szCs w:val="2"/>
                <w:color w:val="auto"/>
              </w:rPr>
            </w:pPr>
          </w:p>
        </w:tc>
        <w:tc>
          <w:tcPr>
            <w:tcW w:w="400" w:type="dxa"/>
            <w:vAlign w:val="bottom"/>
            <w:tcBorders>
              <w:top w:val="single" w:sz="8" w:color="DBDBDB"/>
            </w:tcBorders>
            <w:shd w:val="clear" w:color="auto" w:fill="DBDBDB"/>
          </w:tcPr>
          <w:p>
            <w:pPr>
              <w:spacing w:after="0"/>
              <w:rPr>
                <w:sz w:val="2"/>
                <w:szCs w:val="2"/>
                <w:color w:val="auto"/>
              </w:rPr>
            </w:pPr>
          </w:p>
        </w:tc>
        <w:tc>
          <w:tcPr>
            <w:tcW w:w="40" w:type="dxa"/>
            <w:vAlign w:val="bottom"/>
            <w:tcBorders>
              <w:top w:val="single" w:sz="8" w:color="DBDBDB"/>
            </w:tcBorders>
            <w:shd w:val="clear" w:color="auto" w:fill="DBDBDB"/>
          </w:tcPr>
          <w:p>
            <w:pPr>
              <w:spacing w:after="0"/>
              <w:rPr>
                <w:sz w:val="2"/>
                <w:szCs w:val="2"/>
                <w:color w:val="auto"/>
              </w:rPr>
            </w:pPr>
          </w:p>
        </w:tc>
        <w:tc>
          <w:tcPr>
            <w:tcW w:w="420" w:type="dxa"/>
            <w:vAlign w:val="bottom"/>
            <w:tcBorders>
              <w:top w:val="single" w:sz="8" w:color="DBDBDB"/>
            </w:tcBorders>
            <w:shd w:val="clear" w:color="auto" w:fill="DBDBDB"/>
          </w:tcPr>
          <w:p>
            <w:pPr>
              <w:spacing w:after="0"/>
              <w:rPr>
                <w:sz w:val="2"/>
                <w:szCs w:val="2"/>
                <w:color w:val="auto"/>
              </w:rPr>
            </w:pPr>
          </w:p>
        </w:tc>
        <w:tc>
          <w:tcPr>
            <w:tcW w:w="640" w:type="dxa"/>
            <w:vAlign w:val="bottom"/>
            <w:tcBorders>
              <w:top w:val="single" w:sz="8" w:color="DBDBDB"/>
            </w:tcBorders>
            <w:shd w:val="clear" w:color="auto" w:fill="DBDBDB"/>
          </w:tcPr>
          <w:p>
            <w:pPr>
              <w:spacing w:after="0"/>
              <w:rPr>
                <w:sz w:val="2"/>
                <w:szCs w:val="2"/>
                <w:color w:val="auto"/>
              </w:rPr>
            </w:pPr>
          </w:p>
        </w:tc>
        <w:tc>
          <w:tcPr>
            <w:tcW w:w="1700" w:type="dxa"/>
            <w:vAlign w:val="bottom"/>
            <w:tcBorders>
              <w:top w:val="single" w:sz="8" w:color="DBDBDB"/>
            </w:tcBorders>
            <w:shd w:val="clear" w:color="auto" w:fill="DBDBDB"/>
          </w:tcPr>
          <w:p>
            <w:pPr>
              <w:spacing w:after="0"/>
              <w:rPr>
                <w:sz w:val="2"/>
                <w:szCs w:val="2"/>
                <w:color w:val="auto"/>
              </w:rPr>
            </w:pPr>
          </w:p>
        </w:tc>
        <w:tc>
          <w:tcPr>
            <w:tcW w:w="740" w:type="dxa"/>
            <w:vAlign w:val="bottom"/>
            <w:tcBorders>
              <w:top w:val="single" w:sz="8" w:color="DBDBDB"/>
            </w:tcBorders>
            <w:shd w:val="clear" w:color="auto" w:fill="DBDBDB"/>
          </w:tcPr>
          <w:p>
            <w:pPr>
              <w:spacing w:after="0"/>
              <w:rPr>
                <w:sz w:val="2"/>
                <w:szCs w:val="2"/>
                <w:color w:val="auto"/>
              </w:rPr>
            </w:pPr>
          </w:p>
        </w:tc>
        <w:tc>
          <w:tcPr>
            <w:tcW w:w="58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1620" w:right="3940" w:hanging="654"/>
        <w:spacing w:after="0" w:line="261" w:lineRule="auto"/>
        <w:tabs>
          <w:tab w:leader="none" w:pos="1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following financial statements from the Company's Quarterly Report on Form 10-Q for the quarter ended April 30, 2025 formatted in Inline XBRL: (i) Condensed Consolidated Balance Sheets, (ii) Condensed Consolidated Statements of Income, (iii) Condensed Consolidated Statements of Income (iv) Condensed Consolidated Statements of Changes in Equity, (v) Condensed Consolidated Statements of Cash Flows, and (vi) Notes to Consolidated Financial Statements, tagged as blocks of text and including detailed tags.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9525</wp:posOffset>
            </wp:positionV>
            <wp:extent cx="6805930" cy="1225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6805930" cy="122555"/>
                    </a:xfrm>
                    <a:prstGeom prst="rect">
                      <a:avLst/>
                    </a:prstGeom>
                    <a:noFill/>
                  </pic:spPr>
                </pic:pic>
              </a:graphicData>
            </a:graphic>
          </wp:anchor>
        </w:drawing>
      </w:r>
    </w:p>
    <w:p>
      <w:pPr>
        <w:spacing w:after="0" w:line="3" w:lineRule="exact"/>
        <w:rPr>
          <w:sz w:val="20"/>
          <w:szCs w:val="20"/>
          <w:color w:val="auto"/>
        </w:rPr>
      </w:pPr>
    </w:p>
    <w:p>
      <w:pPr>
        <w:ind w:left="1620" w:hanging="654"/>
        <w:spacing w:after="0"/>
        <w:tabs>
          <w:tab w:leader="none" w:pos="1620" w:val="left"/>
        </w:tabs>
        <w:numPr>
          <w:ilvl w:val="1"/>
          <w:numId w:val="19"/>
        </w:numPr>
        <w:rPr>
          <w:rFonts w:ascii="Arial" w:cs="Arial" w:eastAsia="Arial" w:hAnsi="Arial"/>
          <w:sz w:val="12"/>
          <w:szCs w:val="12"/>
          <w:color w:val="auto"/>
        </w:rPr>
      </w:pPr>
      <w:r>
        <w:rPr>
          <w:rFonts w:ascii="Arial" w:cs="Arial" w:eastAsia="Arial" w:hAnsi="Arial"/>
          <w:sz w:val="12"/>
          <w:szCs w:val="12"/>
          <w:color w:val="auto"/>
        </w:rPr>
        <w:t>Cover Page Interactive Data File (formatted as Inline XBRL and contained in Exhibit 101)</w:t>
      </w:r>
    </w:p>
    <w:p>
      <w:pPr>
        <w:spacing w:after="0" w:line="184" w:lineRule="exact"/>
        <w:rPr>
          <w:rFonts w:ascii="Arial" w:cs="Arial" w:eastAsia="Arial" w:hAnsi="Arial"/>
          <w:sz w:val="12"/>
          <w:szCs w:val="12"/>
          <w:color w:val="auto"/>
        </w:rPr>
      </w:pPr>
    </w:p>
    <w:p>
      <w:pPr>
        <w:ind w:left="440" w:right="180" w:hanging="81"/>
        <w:spacing w:after="0" w:line="282" w:lineRule="auto"/>
        <w:rPr>
          <w:rFonts w:ascii="Arial" w:cs="Arial" w:eastAsia="Arial" w:hAnsi="Arial"/>
          <w:sz w:val="12"/>
          <w:szCs w:val="12"/>
          <w:color w:val="auto"/>
        </w:rPr>
      </w:pPr>
      <w:r>
        <w:rPr>
          <w:rFonts w:ascii="Arial" w:cs="Arial" w:eastAsia="Arial" w:hAnsi="Arial"/>
          <w:sz w:val="12"/>
          <w:szCs w:val="12"/>
          <w:color w:val="auto"/>
        </w:rPr>
        <w:t>* 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-292100</wp:posOffset>
            </wp:positionV>
            <wp:extent cx="68059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SIGNATURES</w:t>
      </w:r>
    </w:p>
    <w:p>
      <w:pPr>
        <w:spacing w:after="0" w:line="234" w:lineRule="exact"/>
        <w:rPr>
          <w:sz w:val="20"/>
          <w:szCs w:val="20"/>
          <w:color w:val="auto"/>
        </w:rPr>
      </w:pPr>
    </w:p>
    <w:p>
      <w:pPr>
        <w:ind w:right="300" w:firstLine="619"/>
        <w:spacing w:after="0" w:line="278"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quarterly report to be signed on its behalf by the undersigned, thereunto duly authorized, on June 5, 2025.</w:t>
      </w:r>
    </w:p>
    <w:p>
      <w:pPr>
        <w:spacing w:after="0" w:line="239" w:lineRule="exact"/>
        <w:rPr>
          <w:sz w:val="20"/>
          <w:szCs w:val="20"/>
          <w:color w:val="auto"/>
        </w:rPr>
      </w:pPr>
    </w:p>
    <w:p>
      <w:pPr>
        <w:ind w:left="8060"/>
        <w:spacing w:after="0"/>
        <w:rPr>
          <w:sz w:val="20"/>
          <w:szCs w:val="20"/>
          <w:color w:val="auto"/>
        </w:rPr>
      </w:pPr>
      <w:r>
        <w:rPr>
          <w:rFonts w:ascii="Arial" w:cs="Arial" w:eastAsia="Arial" w:hAnsi="Arial"/>
          <w:sz w:val="15"/>
          <w:szCs w:val="15"/>
          <w:b w:val="1"/>
          <w:bCs w:val="1"/>
          <w:color w:val="auto"/>
        </w:rPr>
        <w:t>MISSION PRODUCE, INC.</w:t>
      </w:r>
    </w:p>
    <w:p>
      <w:pPr>
        <w:spacing w:after="0" w:line="311"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17145</wp:posOffset>
            </wp:positionV>
            <wp:extent cx="28568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2856865" cy="8255"/>
                    </a:xfrm>
                    <a:prstGeom prst="rect">
                      <a:avLst/>
                    </a:prstGeom>
                    <a:noFill/>
                  </pic:spPr>
                </pic:pic>
              </a:graphicData>
            </a:graphic>
          </wp:anchor>
        </w:drawing>
      </w:r>
    </w:p>
    <w:p>
      <w:pPr>
        <w:spacing w:after="0" w:line="38"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Stephen J. Barnard</w:t>
      </w:r>
    </w:p>
    <w:p>
      <w:pPr>
        <w:spacing w:after="0" w:line="45" w:lineRule="exact"/>
        <w:rPr>
          <w:sz w:val="20"/>
          <w:szCs w:val="20"/>
          <w:color w:val="auto"/>
        </w:rPr>
      </w:pPr>
    </w:p>
    <w:p>
      <w:pPr>
        <w:ind w:left="8300"/>
        <w:spacing w:after="0"/>
        <w:rPr>
          <w:sz w:val="20"/>
          <w:szCs w:val="20"/>
          <w:color w:val="auto"/>
        </w:rPr>
      </w:pPr>
      <w:r>
        <w:rPr>
          <w:rFonts w:ascii="Arial" w:cs="Arial" w:eastAsia="Arial" w:hAnsi="Arial"/>
          <w:sz w:val="14"/>
          <w:szCs w:val="14"/>
          <w:i w:val="1"/>
          <w:iCs w:val="1"/>
          <w:color w:val="auto"/>
        </w:rPr>
        <w:t>Chief Executive Officer</w:t>
      </w:r>
    </w:p>
    <w:p>
      <w:pPr>
        <w:spacing w:after="0" w:line="290" w:lineRule="exact"/>
        <w:rPr>
          <w:sz w:val="20"/>
          <w:szCs w:val="20"/>
          <w:color w:val="auto"/>
        </w:rPr>
      </w:pPr>
    </w:p>
    <w:p>
      <w:pPr>
        <w:ind w:left="8460"/>
        <w:spacing w:after="0"/>
        <w:rPr>
          <w:sz w:val="20"/>
          <w:szCs w:val="20"/>
          <w:color w:val="auto"/>
        </w:rPr>
      </w:pPr>
      <w:r>
        <w:rPr>
          <w:rFonts w:ascii="Arial" w:cs="Arial" w:eastAsia="Arial" w:hAnsi="Arial"/>
          <w:sz w:val="14"/>
          <w:szCs w:val="14"/>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17145</wp:posOffset>
            </wp:positionV>
            <wp:extent cx="28568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2856865" cy="8255"/>
                    </a:xfrm>
                    <a:prstGeom prst="rect">
                      <a:avLst/>
                    </a:prstGeom>
                    <a:noFill/>
                  </pic:spPr>
                </pic:pic>
              </a:graphicData>
            </a:graphic>
          </wp:anchor>
        </w:drawing>
      </w:r>
    </w:p>
    <w:p>
      <w:pPr>
        <w:spacing w:after="0" w:line="38" w:lineRule="exact"/>
        <w:rPr>
          <w:sz w:val="20"/>
          <w:szCs w:val="20"/>
          <w:color w:val="auto"/>
        </w:rPr>
      </w:pPr>
    </w:p>
    <w:p>
      <w:pPr>
        <w:ind w:left="8560"/>
        <w:spacing w:after="0"/>
        <w:rPr>
          <w:sz w:val="20"/>
          <w:szCs w:val="20"/>
          <w:color w:val="auto"/>
        </w:rPr>
      </w:pPr>
      <w:r>
        <w:rPr>
          <w:rFonts w:ascii="Arial" w:cs="Arial" w:eastAsia="Arial" w:hAnsi="Arial"/>
          <w:sz w:val="14"/>
          <w:szCs w:val="14"/>
          <w:color w:val="auto"/>
        </w:rPr>
        <w:t>Bryan E. Giles</w:t>
      </w:r>
    </w:p>
    <w:p>
      <w:pPr>
        <w:spacing w:after="0" w:line="45" w:lineRule="exact"/>
        <w:rPr>
          <w:sz w:val="20"/>
          <w:szCs w:val="20"/>
          <w:color w:val="auto"/>
        </w:rPr>
      </w:pPr>
    </w:p>
    <w:p>
      <w:pPr>
        <w:ind w:left="8320"/>
        <w:spacing w:after="0"/>
        <w:rPr>
          <w:sz w:val="20"/>
          <w:szCs w:val="20"/>
          <w:color w:val="auto"/>
        </w:rPr>
      </w:pPr>
      <w:r>
        <w:rPr>
          <w:rFonts w:ascii="Arial" w:cs="Arial" w:eastAsia="Arial" w:hAnsi="Arial"/>
          <w:sz w:val="14"/>
          <w:szCs w:val="14"/>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340"/>
          </w:cols>
          <w:pgMar w:left="320" w:top="1440" w:right="239" w:bottom="1440" w:gutter="0" w:footer="0" w:header="0"/>
        </w:sectPr>
      </w:pPr>
    </w:p>
    <w:bookmarkStart w:id="32" w:name="page33"/>
    <w:bookmarkEnd w:id="32"/>
    <w:p>
      <w:pPr>
        <w:spacing w:after="0"/>
        <w:rPr>
          <w:sz w:val="20"/>
          <w:szCs w:val="20"/>
          <w:color w:val="auto"/>
        </w:rPr>
      </w:pPr>
      <w:r>
        <w:rPr>
          <w:rFonts w:ascii="Arial" w:cs="Arial" w:eastAsia="Arial" w:hAnsi="Arial"/>
          <w:sz w:val="19"/>
          <w:szCs w:val="19"/>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I, Stephen J. Barnard, certify that:</w:t>
      </w:r>
    </w:p>
    <w:p>
      <w:pPr>
        <w:spacing w:after="0" w:line="213" w:lineRule="exact"/>
        <w:rPr>
          <w:sz w:val="20"/>
          <w:szCs w:val="20"/>
          <w:color w:val="auto"/>
        </w:rPr>
      </w:pPr>
    </w:p>
    <w:p>
      <w:pPr>
        <w:ind w:left="620" w:hanging="307"/>
        <w:spacing w:after="0"/>
        <w:tabs>
          <w:tab w:leader="none" w:pos="6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Mission Produce, Inc.;</w:t>
      </w:r>
    </w:p>
    <w:p>
      <w:pPr>
        <w:spacing w:after="0" w:line="212" w:lineRule="exact"/>
        <w:rPr>
          <w:rFonts w:ascii="Arial" w:cs="Arial" w:eastAsia="Arial" w:hAnsi="Arial"/>
          <w:sz w:val="14"/>
          <w:szCs w:val="14"/>
          <w:color w:val="auto"/>
        </w:rPr>
      </w:pPr>
    </w:p>
    <w:p>
      <w:pPr>
        <w:ind w:left="620" w:hanging="307"/>
        <w:spacing w:after="0" w:line="259" w:lineRule="auto"/>
        <w:tabs>
          <w:tab w:leader="none" w:pos="618"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4"/>
          <w:szCs w:val="14"/>
          <w:color w:val="auto"/>
        </w:rPr>
      </w:pPr>
    </w:p>
    <w:p>
      <w:pPr>
        <w:ind w:left="620" w:right="60" w:hanging="307"/>
        <w:spacing w:after="0" w:line="278" w:lineRule="auto"/>
        <w:tabs>
          <w:tab w:leader="none" w:pos="618"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4"/>
          <w:szCs w:val="14"/>
          <w:color w:val="auto"/>
        </w:rPr>
      </w:pPr>
    </w:p>
    <w:p>
      <w:pPr>
        <w:ind w:left="620" w:right="240" w:hanging="307"/>
        <w:spacing w:after="0" w:line="278" w:lineRule="auto"/>
        <w:tabs>
          <w:tab w:leader="none" w:pos="618"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4"/>
          <w:szCs w:val="14"/>
          <w:color w:val="auto"/>
        </w:rPr>
      </w:pPr>
    </w:p>
    <w:p>
      <w:pPr>
        <w:ind w:left="1240" w:hanging="309"/>
        <w:spacing w:after="0" w:line="264" w:lineRule="auto"/>
        <w:tabs>
          <w:tab w:leader="none" w:pos="1227" w:val="left"/>
        </w:tabs>
        <w:numPr>
          <w:ilvl w:val="1"/>
          <w:numId w:val="2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4"/>
          <w:szCs w:val="14"/>
          <w:color w:val="auto"/>
        </w:rPr>
      </w:pPr>
    </w:p>
    <w:p>
      <w:pPr>
        <w:ind w:left="1240" w:right="200" w:hanging="309"/>
        <w:spacing w:after="0" w:line="254" w:lineRule="auto"/>
        <w:tabs>
          <w:tab w:leader="none" w:pos="1227" w:val="left"/>
        </w:tabs>
        <w:numPr>
          <w:ilvl w:val="1"/>
          <w:numId w:val="2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4"/>
          <w:szCs w:val="14"/>
          <w:color w:val="auto"/>
        </w:rPr>
      </w:pPr>
    </w:p>
    <w:p>
      <w:pPr>
        <w:ind w:left="1240" w:right="520" w:hanging="309"/>
        <w:spacing w:after="0" w:line="278" w:lineRule="auto"/>
        <w:tabs>
          <w:tab w:leader="none" w:pos="1233" w:val="left"/>
        </w:tabs>
        <w:numPr>
          <w:ilvl w:val="1"/>
          <w:numId w:val="2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4"/>
          <w:szCs w:val="14"/>
          <w:color w:val="auto"/>
        </w:rPr>
      </w:pPr>
    </w:p>
    <w:p>
      <w:pPr>
        <w:ind w:left="1240" w:right="20" w:hanging="309"/>
        <w:spacing w:after="0" w:line="254" w:lineRule="auto"/>
        <w:tabs>
          <w:tab w:leader="none" w:pos="1227" w:val="left"/>
        </w:tabs>
        <w:numPr>
          <w:ilvl w:val="1"/>
          <w:numId w:val="20"/>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4"/>
          <w:szCs w:val="14"/>
          <w:color w:val="auto"/>
        </w:rPr>
      </w:pPr>
    </w:p>
    <w:p>
      <w:pPr>
        <w:ind w:left="620" w:right="120" w:hanging="307"/>
        <w:spacing w:after="0" w:line="278" w:lineRule="auto"/>
        <w:tabs>
          <w:tab w:leader="none" w:pos="618"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4"/>
          <w:szCs w:val="14"/>
          <w:color w:val="auto"/>
        </w:rPr>
      </w:pPr>
    </w:p>
    <w:p>
      <w:pPr>
        <w:ind w:left="1240" w:right="280" w:hanging="309"/>
        <w:spacing w:after="0" w:line="278" w:lineRule="auto"/>
        <w:tabs>
          <w:tab w:leader="none" w:pos="1227" w:val="left"/>
        </w:tabs>
        <w:numPr>
          <w:ilvl w:val="1"/>
          <w:numId w:val="2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4"/>
          <w:szCs w:val="14"/>
          <w:color w:val="auto"/>
        </w:rPr>
      </w:pPr>
    </w:p>
    <w:p>
      <w:pPr>
        <w:ind w:left="1240" w:right="500" w:hanging="309"/>
        <w:spacing w:after="0" w:line="278" w:lineRule="auto"/>
        <w:tabs>
          <w:tab w:leader="none" w:pos="1227" w:val="left"/>
        </w:tabs>
        <w:numPr>
          <w:ilvl w:val="1"/>
          <w:numId w:val="2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2"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25400</wp:posOffset>
            </wp:positionV>
            <wp:extent cx="30537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51" w:lineRule="exact"/>
        <w:rPr>
          <w:sz w:val="20"/>
          <w:szCs w:val="20"/>
          <w:color w:val="auto"/>
        </w:rPr>
      </w:pPr>
    </w:p>
    <w:p>
      <w:pPr>
        <w:ind w:left="8240"/>
        <w:spacing w:after="0"/>
        <w:rPr>
          <w:sz w:val="20"/>
          <w:szCs w:val="20"/>
          <w:color w:val="auto"/>
        </w:rPr>
      </w:pPr>
      <w:r>
        <w:rPr>
          <w:rFonts w:ascii="Arial" w:cs="Arial" w:eastAsia="Arial" w:hAnsi="Arial"/>
          <w:sz w:val="14"/>
          <w:szCs w:val="14"/>
          <w:color w:val="auto"/>
        </w:rPr>
        <w:t>Stephen J. Barnard</w:t>
      </w:r>
    </w:p>
    <w:p>
      <w:pPr>
        <w:spacing w:after="0" w:line="58" w:lineRule="exact"/>
        <w:rPr>
          <w:sz w:val="20"/>
          <w:szCs w:val="20"/>
          <w:color w:val="auto"/>
        </w:rPr>
      </w:pPr>
    </w:p>
    <w:p>
      <w:pPr>
        <w:ind w:left="7760"/>
        <w:spacing w:after="0"/>
        <w:rPr>
          <w:sz w:val="20"/>
          <w:szCs w:val="20"/>
          <w:color w:val="auto"/>
        </w:rPr>
      </w:pPr>
      <w:r>
        <w:rPr>
          <w:rFonts w:ascii="Arial" w:cs="Arial" w:eastAsia="Arial" w:hAnsi="Arial"/>
          <w:sz w:val="14"/>
          <w:szCs w:val="14"/>
          <w:color w:val="auto"/>
        </w:rPr>
        <w:t>Chief Executive Officer and Director</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Date: June 5, 2025</w:t>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Arial" w:cs="Arial" w:eastAsia="Arial" w:hAnsi="Arial"/>
          <w:sz w:val="19"/>
          <w:szCs w:val="19"/>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I, Bryan E. Giles, certify that:</w:t>
      </w:r>
    </w:p>
    <w:p>
      <w:pPr>
        <w:spacing w:after="0" w:line="213" w:lineRule="exact"/>
        <w:rPr>
          <w:sz w:val="20"/>
          <w:szCs w:val="20"/>
          <w:color w:val="auto"/>
        </w:rPr>
      </w:pPr>
    </w:p>
    <w:p>
      <w:pPr>
        <w:ind w:left="620" w:hanging="307"/>
        <w:spacing w:after="0"/>
        <w:tabs>
          <w:tab w:leader="none" w:pos="6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Mission Produce, Inc.;</w:t>
      </w:r>
    </w:p>
    <w:p>
      <w:pPr>
        <w:spacing w:after="0" w:line="212" w:lineRule="exact"/>
        <w:rPr>
          <w:rFonts w:ascii="Arial" w:cs="Arial" w:eastAsia="Arial" w:hAnsi="Arial"/>
          <w:sz w:val="14"/>
          <w:szCs w:val="14"/>
          <w:color w:val="auto"/>
        </w:rPr>
      </w:pPr>
    </w:p>
    <w:p>
      <w:pPr>
        <w:ind w:left="620" w:hanging="307"/>
        <w:spacing w:after="0" w:line="259" w:lineRule="auto"/>
        <w:tabs>
          <w:tab w:leader="none" w:pos="618"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4"/>
          <w:szCs w:val="14"/>
          <w:color w:val="auto"/>
        </w:rPr>
      </w:pPr>
    </w:p>
    <w:p>
      <w:pPr>
        <w:ind w:left="620" w:right="60" w:hanging="307"/>
        <w:spacing w:after="0" w:line="278" w:lineRule="auto"/>
        <w:tabs>
          <w:tab w:leader="none" w:pos="618"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4"/>
          <w:szCs w:val="14"/>
          <w:color w:val="auto"/>
        </w:rPr>
      </w:pPr>
    </w:p>
    <w:p>
      <w:pPr>
        <w:ind w:left="620" w:right="240" w:hanging="307"/>
        <w:spacing w:after="0" w:line="278" w:lineRule="auto"/>
        <w:tabs>
          <w:tab w:leader="none" w:pos="618"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4"/>
          <w:szCs w:val="14"/>
          <w:color w:val="auto"/>
        </w:rPr>
      </w:pPr>
    </w:p>
    <w:p>
      <w:pPr>
        <w:ind w:left="1240" w:hanging="309"/>
        <w:spacing w:after="0" w:line="264" w:lineRule="auto"/>
        <w:tabs>
          <w:tab w:leader="none" w:pos="1227" w:val="left"/>
        </w:tabs>
        <w:numPr>
          <w:ilvl w:val="1"/>
          <w:numId w:val="2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4"/>
          <w:szCs w:val="14"/>
          <w:color w:val="auto"/>
        </w:rPr>
      </w:pPr>
    </w:p>
    <w:p>
      <w:pPr>
        <w:ind w:left="1240" w:right="200" w:hanging="309"/>
        <w:spacing w:after="0" w:line="254" w:lineRule="auto"/>
        <w:tabs>
          <w:tab w:leader="none" w:pos="1227" w:val="left"/>
        </w:tabs>
        <w:numPr>
          <w:ilvl w:val="1"/>
          <w:numId w:val="21"/>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4"/>
          <w:szCs w:val="14"/>
          <w:color w:val="auto"/>
        </w:rPr>
      </w:pPr>
    </w:p>
    <w:p>
      <w:pPr>
        <w:ind w:left="1240" w:right="520" w:hanging="309"/>
        <w:spacing w:after="0" w:line="278" w:lineRule="auto"/>
        <w:tabs>
          <w:tab w:leader="none" w:pos="1233" w:val="left"/>
        </w:tabs>
        <w:numPr>
          <w:ilvl w:val="1"/>
          <w:numId w:val="2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4"/>
          <w:szCs w:val="14"/>
          <w:color w:val="auto"/>
        </w:rPr>
      </w:pPr>
    </w:p>
    <w:p>
      <w:pPr>
        <w:ind w:left="1240" w:right="20" w:hanging="309"/>
        <w:spacing w:after="0" w:line="254" w:lineRule="auto"/>
        <w:tabs>
          <w:tab w:leader="none" w:pos="1227" w:val="left"/>
        </w:tabs>
        <w:numPr>
          <w:ilvl w:val="1"/>
          <w:numId w:val="2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4"/>
          <w:szCs w:val="14"/>
          <w:color w:val="auto"/>
        </w:rPr>
      </w:pPr>
    </w:p>
    <w:p>
      <w:pPr>
        <w:ind w:left="620" w:right="120" w:hanging="307"/>
        <w:spacing w:after="0" w:line="278" w:lineRule="auto"/>
        <w:tabs>
          <w:tab w:leader="none" w:pos="618"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4"/>
          <w:szCs w:val="14"/>
          <w:color w:val="auto"/>
        </w:rPr>
      </w:pPr>
    </w:p>
    <w:p>
      <w:pPr>
        <w:ind w:left="1240" w:right="280" w:hanging="309"/>
        <w:spacing w:after="0" w:line="278" w:lineRule="auto"/>
        <w:tabs>
          <w:tab w:leader="none" w:pos="1227" w:val="left"/>
        </w:tabs>
        <w:numPr>
          <w:ilvl w:val="1"/>
          <w:numId w:val="2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4"/>
          <w:szCs w:val="14"/>
          <w:color w:val="auto"/>
        </w:rPr>
      </w:pPr>
    </w:p>
    <w:p>
      <w:pPr>
        <w:ind w:left="1240" w:right="500" w:hanging="309"/>
        <w:spacing w:after="0" w:line="278" w:lineRule="auto"/>
        <w:tabs>
          <w:tab w:leader="none" w:pos="1227" w:val="left"/>
        </w:tabs>
        <w:numPr>
          <w:ilvl w:val="1"/>
          <w:numId w:val="2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2"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25400</wp:posOffset>
            </wp:positionV>
            <wp:extent cx="30537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51"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Bryan E. Giles</w:t>
      </w:r>
    </w:p>
    <w:p>
      <w:pPr>
        <w:spacing w:after="0" w:line="58"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Chief Financial Officer</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Date: June 5, 2025</w:t>
      </w:r>
    </w:p>
    <w:p>
      <w:pPr>
        <w:sectPr>
          <w:pgSz w:w="11900" w:h="16838" w:orient="portrait"/>
          <w:cols w:equalWidth="0" w:num="1">
            <w:col w:w="11220"/>
          </w:cols>
          <w:pgMar w:left="320" w:top="118" w:right="359" w:bottom="1440" w:gutter="0" w:footer="0" w:header="0"/>
        </w:sectPr>
      </w:pPr>
    </w:p>
    <w:bookmarkStart w:id="34" w:name="page35"/>
    <w:bookmarkEnd w:id="34"/>
    <w:p>
      <w:pPr>
        <w:spacing w:after="0"/>
        <w:rPr>
          <w:sz w:val="20"/>
          <w:szCs w:val="20"/>
          <w:color w:val="auto"/>
        </w:rPr>
      </w:pPr>
      <w:r>
        <w:rPr>
          <w:rFonts w:ascii="Arial" w:cs="Arial" w:eastAsia="Arial" w:hAnsi="Arial"/>
          <w:sz w:val="19"/>
          <w:szCs w:val="19"/>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6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 w:firstLine="619"/>
        <w:spacing w:after="0" w:line="278" w:lineRule="auto"/>
        <w:rPr>
          <w:sz w:val="20"/>
          <w:szCs w:val="20"/>
          <w:color w:val="auto"/>
        </w:rPr>
      </w:pPr>
      <w:r>
        <w:rPr>
          <w:rFonts w:ascii="Arial" w:cs="Arial" w:eastAsia="Arial" w:hAnsi="Arial"/>
          <w:sz w:val="14"/>
          <w:szCs w:val="14"/>
          <w:color w:val="auto"/>
        </w:rPr>
        <w:t>Pursuant to 18 U.S.C. Section 1350, as created by Section 906 of the Sarbanes-Oxley Act of 2002, the undersigned officer of Mission Produce, Inc. (the “Company”) hereby certifies, to the best of his knowledge, that:</w:t>
      </w:r>
    </w:p>
    <w:p>
      <w:pPr>
        <w:spacing w:after="0" w:line="168" w:lineRule="exact"/>
        <w:rPr>
          <w:sz w:val="20"/>
          <w:szCs w:val="20"/>
          <w:color w:val="auto"/>
        </w:rPr>
      </w:pPr>
    </w:p>
    <w:p>
      <w:pPr>
        <w:ind w:left="620" w:hanging="307"/>
        <w:spacing w:after="0" w:line="259" w:lineRule="auto"/>
        <w:tabs>
          <w:tab w:leader="none" w:pos="613"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Quarterly Report on Form 10-Q of the Company for the quarter ended April 30, 2025 (the “Report”) fully complies with the requirements of Section 13(a) or Section 15(d), as applicable, of the Securities Exchange Act of 1934, as amended; and</w:t>
      </w:r>
    </w:p>
    <w:p>
      <w:pPr>
        <w:spacing w:after="0" w:line="181" w:lineRule="exact"/>
        <w:rPr>
          <w:rFonts w:ascii="Arial" w:cs="Arial" w:eastAsia="Arial" w:hAnsi="Arial"/>
          <w:sz w:val="14"/>
          <w:szCs w:val="14"/>
          <w:color w:val="auto"/>
        </w:rPr>
      </w:pPr>
    </w:p>
    <w:p>
      <w:pPr>
        <w:ind w:left="620" w:hanging="307"/>
        <w:spacing w:after="0"/>
        <w:tabs>
          <w:tab w:leader="none" w:pos="6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25400</wp:posOffset>
            </wp:positionV>
            <wp:extent cx="30537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51" w:lineRule="exact"/>
        <w:rPr>
          <w:sz w:val="20"/>
          <w:szCs w:val="20"/>
          <w:color w:val="auto"/>
        </w:rPr>
      </w:pPr>
    </w:p>
    <w:p>
      <w:pPr>
        <w:ind w:left="8240"/>
        <w:spacing w:after="0"/>
        <w:rPr>
          <w:sz w:val="20"/>
          <w:szCs w:val="20"/>
          <w:color w:val="auto"/>
        </w:rPr>
      </w:pPr>
      <w:r>
        <w:rPr>
          <w:rFonts w:ascii="Arial" w:cs="Arial" w:eastAsia="Arial" w:hAnsi="Arial"/>
          <w:sz w:val="14"/>
          <w:szCs w:val="14"/>
          <w:color w:val="auto"/>
        </w:rPr>
        <w:t>Stephen J. Barnard</w:t>
      </w:r>
    </w:p>
    <w:p>
      <w:pPr>
        <w:spacing w:after="0" w:line="58" w:lineRule="exact"/>
        <w:rPr>
          <w:sz w:val="20"/>
          <w:szCs w:val="20"/>
          <w:color w:val="auto"/>
        </w:rPr>
      </w:pPr>
    </w:p>
    <w:p>
      <w:pPr>
        <w:ind w:left="7760"/>
        <w:spacing w:after="0"/>
        <w:rPr>
          <w:sz w:val="20"/>
          <w:szCs w:val="20"/>
          <w:color w:val="auto"/>
        </w:rPr>
      </w:pPr>
      <w:r>
        <w:rPr>
          <w:rFonts w:ascii="Arial" w:cs="Arial" w:eastAsia="Arial" w:hAnsi="Arial"/>
          <w:sz w:val="14"/>
          <w:szCs w:val="14"/>
          <w:color w:val="auto"/>
        </w:rPr>
        <w:t>Chief Executive Officer and Director</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Date: June 5, 2025</w:t>
      </w:r>
    </w:p>
    <w:p>
      <w:pPr>
        <w:sectPr>
          <w:pgSz w:w="11900" w:h="16838" w:orient="portrait"/>
          <w:cols w:equalWidth="0" w:num="1">
            <w:col w:w="11100"/>
          </w:cols>
          <w:pgMar w:left="320" w:top="118" w:right="479" w:bottom="1440" w:gutter="0" w:footer="0" w:header="0"/>
        </w:sectPr>
      </w:pPr>
    </w:p>
    <w:bookmarkStart w:id="35" w:name="page36"/>
    <w:bookmarkEnd w:id="35"/>
    <w:p>
      <w:pPr>
        <w:spacing w:after="0"/>
        <w:rPr>
          <w:sz w:val="20"/>
          <w:szCs w:val="20"/>
          <w:color w:val="auto"/>
        </w:rPr>
      </w:pPr>
      <w:r>
        <w:rPr>
          <w:rFonts w:ascii="Arial" w:cs="Arial" w:eastAsia="Arial" w:hAnsi="Arial"/>
          <w:sz w:val="19"/>
          <w:szCs w:val="19"/>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6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228" w:lineRule="exact"/>
        <w:rPr>
          <w:sz w:val="20"/>
          <w:szCs w:val="20"/>
          <w:color w:val="auto"/>
        </w:rPr>
      </w:pPr>
    </w:p>
    <w:p>
      <w:pPr>
        <w:ind w:right="20" w:firstLine="619"/>
        <w:spacing w:after="0" w:line="278" w:lineRule="auto"/>
        <w:rPr>
          <w:sz w:val="20"/>
          <w:szCs w:val="20"/>
          <w:color w:val="auto"/>
        </w:rPr>
      </w:pPr>
      <w:r>
        <w:rPr>
          <w:rFonts w:ascii="Arial" w:cs="Arial" w:eastAsia="Arial" w:hAnsi="Arial"/>
          <w:sz w:val="14"/>
          <w:szCs w:val="14"/>
          <w:color w:val="auto"/>
        </w:rPr>
        <w:t>Pursuant to 18 U.S.C. Section 1350, as created by Section 906 of the Sarbanes-Oxley Act of 2002, the undersigned officer of Mission Produce, Inc. (the “Company”) hereby certifies, to the best of his knowledge, that:</w:t>
      </w:r>
    </w:p>
    <w:p>
      <w:pPr>
        <w:spacing w:after="0" w:line="168" w:lineRule="exact"/>
        <w:rPr>
          <w:sz w:val="20"/>
          <w:szCs w:val="20"/>
          <w:color w:val="auto"/>
        </w:rPr>
      </w:pPr>
    </w:p>
    <w:p>
      <w:pPr>
        <w:ind w:left="620" w:hanging="307"/>
        <w:spacing w:after="0" w:line="259" w:lineRule="auto"/>
        <w:tabs>
          <w:tab w:leader="none" w:pos="613"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Quarterly Report on Form 10-Q of the Company for the quarter ended April 30, 2025 (the “Report”) fully complies with the requirements of Section 13(a) or Section 15(d), as applicable, of the Securities Exchange Act of 1934, as amended; and</w:t>
      </w:r>
    </w:p>
    <w:p>
      <w:pPr>
        <w:spacing w:after="0" w:line="181" w:lineRule="exact"/>
        <w:rPr>
          <w:rFonts w:ascii="Arial" w:cs="Arial" w:eastAsia="Arial" w:hAnsi="Arial"/>
          <w:sz w:val="14"/>
          <w:szCs w:val="14"/>
          <w:color w:val="auto"/>
        </w:rPr>
      </w:pPr>
    </w:p>
    <w:p>
      <w:pPr>
        <w:ind w:left="620" w:hanging="307"/>
        <w:spacing w:after="0"/>
        <w:tabs>
          <w:tab w:leader="none" w:pos="6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25400</wp:posOffset>
            </wp:positionV>
            <wp:extent cx="30537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51"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Bryan E. Giles</w:t>
      </w:r>
    </w:p>
    <w:p>
      <w:pPr>
        <w:spacing w:after="0" w:line="58"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Chief Financial Officer</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Date: June 5, 2025</w:t>
      </w:r>
    </w:p>
    <w:sectPr>
      <w:pgSz w:w="11900" w:h="16838" w:orient="portrait"/>
      <w:cols w:equalWidth="0" w:num="1">
        <w:col w:w="11100"/>
      </w:cols>
      <w:pgMar w:left="320" w:top="11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5"/>
    </w:lvl>
  </w:abstractNum>
  <w:abstractNum w:abstractNumId="5">
    <w:nsid w:val="7FDCC233"/>
    <w:multiLevelType w:val="hybridMultilevel"/>
    <w:lvl w:ilvl="0">
      <w:lvlJc w:val="left"/>
      <w:lvlText w:val="%1."/>
      <w:numFmt w:val="decimal"/>
      <w:start w:val="6"/>
    </w:lvl>
  </w:abstractNum>
  <w:abstractNum w:abstractNumId="6">
    <w:nsid w:val="1BEFD79F"/>
    <w:multiLevelType w:val="hybridMultilevel"/>
    <w:lvl w:ilvl="0">
      <w:lvlJc w:val="left"/>
      <w:lvlText w:val="%1."/>
      <w:numFmt w:val="decimal"/>
      <w:start w:val="7"/>
    </w:lvl>
  </w:abstractNum>
  <w:abstractNum w:abstractNumId="7">
    <w:nsid w:val="41A7C4C9"/>
    <w:multiLevelType w:val="hybridMultilevel"/>
    <w:lvl w:ilvl="0">
      <w:lvlJc w:val="left"/>
      <w:lvlText w:val="%1."/>
      <w:numFmt w:val="decimal"/>
      <w:start w:val="8"/>
    </w:lvl>
  </w:abstractNum>
  <w:abstractNum w:abstractNumId="8">
    <w:nsid w:val="6B68079A"/>
    <w:multiLevelType w:val="hybridMultilevel"/>
    <w:lvl w:ilvl="0">
      <w:lvlJc w:val="left"/>
      <w:lvlText w:val="%1."/>
      <w:numFmt w:val="decimal"/>
      <w:start w:val="9"/>
    </w:lvl>
  </w:abstractNum>
  <w:abstractNum w:abstractNumId="9">
    <w:nsid w:val="4E6AFB66"/>
    <w:multiLevelType w:val="hybridMultilevel"/>
    <w:lvl w:ilvl="0">
      <w:lvlJc w:val="left"/>
      <w:lvlText w:val="%1."/>
      <w:numFmt w:val="decimal"/>
      <w:start w:val="1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2"/>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01"/>
    </w:lvl>
  </w:abstractNum>
  <w:abstractNum w:abstractNumId="18">
    <w:nsid w:val="628C895D"/>
    <w:multiLevelType w:val="hybridMultilevel"/>
    <w:lvl w:ilvl="0">
      <w:lvlJc w:val="left"/>
      <w:lvlText w:val="*"/>
      <w:numFmt w:val="bullet"/>
      <w:start w:val="1"/>
    </w:lvl>
    <w:lvl w:ilvl="1">
      <w:lvlJc w:val="left"/>
      <w:lvlText w:val="%2"/>
      <w:numFmt w:val="decimal"/>
      <w:start w:val="104"/>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46" Type="http://schemas.openxmlformats.org/officeDocument/2006/relationships/hyperlink" Target="https://www.sec.gov/Archives/edgar/data/1802974/000119312520265099/d32849dex31.htm" TargetMode="External"/><Relationship Id="rId47" Type="http://schemas.openxmlformats.org/officeDocument/2006/relationships/hyperlink" Target="https://www.sec.gov/Archives/edgar/data/1802974/000180297424000028/ex32amendmenttoamendedandr.htm" TargetMode="External"/><Relationship Id="rId48" Type="http://schemas.openxmlformats.org/officeDocument/2006/relationships/hyperlink" Target="https://www.sec.gov/Archives/edgar/data/1802974/000119312520265099/d3284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2025-06-05T15:42:47Z</dcterms:created>
  <dcterms:modified xsi:type="dcterms:W3CDTF">2025-06-05T15:42:47Z</dcterms:modified>
</cp:coreProperties>
</file>