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8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56"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56" w:before="0" w:after="0"/>
        <w:jc w:val="center"/>
        <w:rPr>
          <w:rFonts w:ascii="Arial;sans-serif" w:hAnsi="Arial;sans-serif"/>
          <w:b/>
          <w:color w:val="000000"/>
          <w:sz w:val="16"/>
        </w:rPr>
      </w:pPr>
      <w:r>
        <w:rPr>
          <w:rFonts w:ascii="Arial;sans-serif" w:hAnsi="Arial;sans-serif"/>
          <w:b/>
          <w:color w:val="000000"/>
          <w:sz w:val="16"/>
        </w:rPr>
        <w:t>WASHINGTON, D.C. 20549</w:t>
      </w:r>
    </w:p>
    <w:p>
      <w:pPr>
        <w:pStyle w:val="TextBody"/>
        <w:bidi w:val="0"/>
        <w:spacing w:lineRule="auto" w:line="288" w:before="0" w:after="1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lineRule="auto" w:line="256" w:before="60" w:after="283"/>
        <w:jc w:val="center"/>
        <w:rPr>
          <w:rFonts w:ascii="Arial;sans-serif" w:hAnsi="Arial;sans-serif"/>
          <w:b/>
          <w:color w:val="000000"/>
          <w:sz w:val="28"/>
        </w:rPr>
      </w:pPr>
      <w:r>
        <w:rPr>
          <w:rFonts w:ascii="Arial;sans-serif" w:hAnsi="Arial;sans-serif"/>
          <w:b/>
          <w:color w:val="000000"/>
          <w:sz w:val="28"/>
        </w:rPr>
        <w:t>FORM 10-Q</w:t>
      </w:r>
    </w:p>
    <w:p>
      <w:pPr>
        <w:pStyle w:val="TextBody"/>
        <w:bidi w:val="0"/>
        <w:spacing w:lineRule="auto" w:line="288" w:before="0" w:after="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before="0" w:after="0"/>
        <w:ind w:left="0" w:right="0" w:firstLine="720"/>
        <w:jc w:val="center"/>
        <w:rPr/>
      </w:pPr>
      <w:r>
        <w:rPr/>
      </w:r>
    </w:p>
    <w:p>
      <w:pPr>
        <w:pStyle w:val="TextBody"/>
        <w:bidi w:val="0"/>
        <w:spacing w:lineRule="auto" w:line="256" w:before="0" w:after="0"/>
        <w:jc w:val="left"/>
        <w:rPr>
          <w:rFonts w:ascii="Arial;sans-serif" w:hAnsi="Arial;sans-serif"/>
          <w:b w:val="false"/>
          <w:color w:val="000000"/>
          <w:sz w:val="16"/>
        </w:rPr>
      </w:pPr>
      <w:r>
        <w:rPr>
          <w:rFonts w:ascii="Arial;sans-serif" w:hAnsi="Arial;sans-serif"/>
          <w:b w:val="false"/>
          <w:color w:val="000000"/>
          <w:sz w:val="16"/>
        </w:rPr>
        <w:t>(Mark One)</w:t>
      </w:r>
    </w:p>
    <w:tbl>
      <w:tblPr>
        <w:tblW w:w="9716" w:type="dxa"/>
        <w:jc w:val="left"/>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ind w:left="0" w:right="0" w:firstLine="720"/>
        <w:jc w:val="center"/>
        <w:rPr>
          <w:rFonts w:ascii="Arial;sans-serif" w:hAnsi="Arial;sans-serif"/>
          <w:b/>
          <w:color w:val="000000"/>
          <w:sz w:val="16"/>
        </w:rPr>
      </w:pPr>
      <w:r>
        <w:rPr>
          <w:rFonts w:ascii="Arial;sans-serif" w:hAnsi="Arial;sans-serif"/>
          <w:b/>
          <w:color w:val="000000"/>
          <w:sz w:val="16"/>
        </w:rPr>
        <w:t>For the quarterly period ended July 31, 2026</w:t>
      </w:r>
    </w:p>
    <w:p>
      <w:pPr>
        <w:pStyle w:val="TextBody"/>
        <w:bidi w:val="0"/>
        <w:spacing w:lineRule="auto" w:line="256" w:before="60" w:after="283"/>
        <w:jc w:val="center"/>
        <w:rPr>
          <w:rFonts w:ascii="Arial;sans-serif" w:hAnsi="Arial;sans-serif"/>
          <w:b/>
          <w:color w:val="000000"/>
          <w:sz w:val="16"/>
        </w:rPr>
      </w:pPr>
      <w:r>
        <w:rPr>
          <w:rFonts w:ascii="Arial;sans-serif" w:hAnsi="Arial;sans-serif"/>
          <w:b/>
          <w:color w:val="000000"/>
          <w:sz w:val="16"/>
        </w:rPr>
        <w:t>OR</w:t>
      </w:r>
    </w:p>
    <w:p>
      <w:pPr>
        <w:pStyle w:val="TextBody"/>
        <w:bidi w:val="0"/>
        <w:spacing w:before="0" w:after="0"/>
        <w:jc w:val="left"/>
        <w:rPr/>
      </w:pPr>
      <w:r>
        <w:rPr/>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56" w:before="0" w:after="0"/>
        <w:jc w:val="center"/>
        <w:rPr/>
      </w:pPr>
      <w:r>
        <w:rPr>
          <w:rFonts w:ascii="Arial;sans-serif" w:hAnsi="Arial;sans-serif"/>
          <w:b/>
          <w:color w:val="000000"/>
          <w:sz w:val="16"/>
        </w:rPr>
        <w:t xml:space="preserve">For the transition period from </w:t>
      </w:r>
      <w:r>
        <w:rPr>
          <w:color w:val="000000"/>
          <w:u w:val="single"/>
        </w:rPr>
        <w:t>                    </w:t>
      </w:r>
      <w:r>
        <w:rPr>
          <w:color w:val="000000"/>
        </w:rPr>
        <w:t xml:space="preserve"> </w:t>
      </w:r>
      <w:r>
        <w:rPr>
          <w:rFonts w:ascii="Arial;sans-serif" w:hAnsi="Arial;sans-serif"/>
          <w:b/>
          <w:color w:val="000000"/>
          <w:sz w:val="16"/>
        </w:rPr>
        <w:t xml:space="preserve">to </w:t>
      </w:r>
      <w:r>
        <w:rPr>
          <w:color w:val="000000"/>
          <w:u w:val="single"/>
        </w:rPr>
        <w:t>                    </w:t>
      </w:r>
    </w:p>
    <w:p>
      <w:pPr>
        <w:pStyle w:val="TextBody"/>
        <w:bidi w:val="0"/>
        <w:spacing w:lineRule="auto" w:line="256" w:before="60" w:after="283"/>
        <w:jc w:val="center"/>
        <w:rPr>
          <w:rFonts w:ascii="Arial;sans-serif" w:hAnsi="Arial;sans-serif"/>
          <w:b/>
          <w:color w:val="000000"/>
          <w:sz w:val="16"/>
        </w:rPr>
      </w:pPr>
      <w:r>
        <w:rPr>
          <w:rFonts w:ascii="Arial;sans-serif" w:hAnsi="Arial;sans-serif"/>
          <w:b/>
          <w:color w:val="000000"/>
          <w:sz w:val="16"/>
        </w:rPr>
        <w:t>Commission file number: 001-39561</w:t>
      </w:r>
    </w:p>
    <w:p>
      <w:pPr>
        <w:pStyle w:val="TextBody"/>
        <w:bidi w:val="0"/>
        <w:spacing w:lineRule="auto" w:line="288" w:before="0" w:after="1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before="0" w:after="0"/>
        <w:ind w:left="0" w:right="0" w:firstLine="720"/>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MISSION PRODUCE, INC.</w:t>
      </w:r>
    </w:p>
    <w:p>
      <w:pPr>
        <w:pStyle w:val="TextBody"/>
        <w:bidi w:val="0"/>
        <w:spacing w:lineRule="auto" w:line="256"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p>
      <w:pPr>
        <w:pStyle w:val="TextBody"/>
        <w:bidi w:val="0"/>
        <w:spacing w:lineRule="auto" w:line="288" w:before="0" w:after="0"/>
        <w:ind w:left="0" w:right="0" w:firstLine="7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before="0" w:after="0"/>
        <w:ind w:left="0" w:right="0" w:firstLine="720"/>
        <w:jc w:val="center"/>
        <w:rPr/>
      </w:pPr>
      <w:r>
        <w:rPr/>
      </w:r>
    </w:p>
    <w:p>
      <w:pPr>
        <w:pStyle w:val="TextBody"/>
        <w:bidi w:val="0"/>
        <w:spacing w:lineRule="auto" w:line="256" w:before="0" w:after="0"/>
        <w:jc w:val="center"/>
        <w:rPr>
          <w:rFonts w:ascii="Arial;sans-serif" w:hAnsi="Arial;sans-serif"/>
          <w:b/>
          <w:color w:val="000000"/>
          <w:sz w:val="16"/>
        </w:rPr>
      </w:pPr>
      <w:r>
        <w:rPr>
          <w:rFonts w:ascii="Arial;sans-serif" w:hAnsi="Arial;sans-serif"/>
          <w:b/>
          <w:color w:val="000000"/>
          <w:sz w:val="16"/>
        </w:rPr>
        <w:t>Delaware</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(State or Other Jurisdiction of</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Incorporation or Organization)</w:t>
      </w:r>
    </w:p>
    <w:p>
      <w:pPr>
        <w:pStyle w:val="TextBody"/>
        <w:bidi w:val="0"/>
        <w:spacing w:lineRule="auto" w:line="288" w:before="180" w:after="283"/>
        <w:jc w:val="center"/>
        <w:rPr>
          <w:rFonts w:ascii="Arial;sans-serif" w:hAnsi="Arial;sans-serif"/>
          <w:b/>
          <w:color w:val="000000"/>
          <w:sz w:val="16"/>
        </w:rPr>
      </w:pPr>
      <w:r>
        <w:rPr>
          <w:rFonts w:ascii="Arial;sans-serif" w:hAnsi="Arial;sans-serif"/>
          <w:b/>
          <w:color w:val="000000"/>
          <w:sz w:val="16"/>
        </w:rPr>
        <w:t>2710 Camino Del Sol</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Oxnard, California</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(Address of Principal Executive Offices)</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95-3847744</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(I.R.S. Employer</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Identification No.)</w:t>
      </w:r>
    </w:p>
    <w:p>
      <w:pPr>
        <w:pStyle w:val="TextBody"/>
        <w:bidi w:val="0"/>
        <w:spacing w:lineRule="auto" w:line="288" w:before="180" w:after="283"/>
        <w:jc w:val="center"/>
        <w:rPr>
          <w:rFonts w:ascii="Arial;sans-serif" w:hAnsi="Arial;sans-serif"/>
          <w:b/>
          <w:color w:val="000000"/>
          <w:sz w:val="16"/>
        </w:rPr>
      </w:pPr>
      <w:r>
        <w:rPr>
          <w:rFonts w:ascii="Arial;sans-serif" w:hAnsi="Arial;sans-serif"/>
          <w:b/>
          <w:color w:val="000000"/>
          <w:sz w:val="16"/>
        </w:rPr>
        <w:t>93030</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(Zip Code)</w:t>
      </w:r>
    </w:p>
    <w:p>
      <w:pPr>
        <w:pStyle w:val="TextBody"/>
        <w:bidi w:val="0"/>
        <w:spacing w:before="0" w:after="0"/>
        <w:jc w:val="center"/>
        <w:rPr/>
      </w:pPr>
      <w:r>
        <w:rPr/>
      </w:r>
    </w:p>
    <w:p>
      <w:pPr>
        <w:pStyle w:val="TextBody"/>
        <w:bidi w:val="0"/>
        <w:spacing w:lineRule="auto" w:line="256" w:before="0" w:after="0"/>
        <w:jc w:val="center"/>
        <w:rPr>
          <w:rFonts w:ascii="Arial;sans-serif" w:hAnsi="Arial;sans-serif"/>
          <w:b/>
          <w:color w:val="000000"/>
          <w:sz w:val="16"/>
        </w:rPr>
      </w:pPr>
      <w:r>
        <w:rPr>
          <w:rFonts w:ascii="Arial;sans-serif" w:hAnsi="Arial;sans-serif"/>
          <w:b/>
          <w:color w:val="000000"/>
          <w:sz w:val="16"/>
        </w:rPr>
        <w:t>Registrant’s Telephone Number, Including Area Code: (805) 981-3650</w:t>
      </w:r>
    </w:p>
    <w:p>
      <w:pPr>
        <w:pStyle w:val="TextBody"/>
        <w:bidi w:val="0"/>
        <w:spacing w:lineRule="auto" w:line="288" w:before="0" w:after="1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lineRule="auto" w:line="256" w:before="60" w:after="283"/>
        <w:jc w:val="center"/>
        <w:rPr>
          <w:rFonts w:ascii="Arial;sans-serif" w:hAnsi="Arial;sans-serif"/>
          <w:b/>
          <w:color w:val="000000"/>
          <w:sz w:val="16"/>
        </w:rPr>
      </w:pPr>
      <w:r>
        <w:rPr>
          <w:rFonts w:ascii="Arial;sans-serif" w:hAnsi="Arial;sans-serif"/>
          <w:b/>
          <w:color w:val="000000"/>
          <w:sz w:val="16"/>
        </w:rPr>
        <w:t xml:space="preserve">Securities registered pursuant to Section 12(b) of the Act: </w:t>
      </w:r>
    </w:p>
    <w:p>
      <w:pPr>
        <w:pStyle w:val="TextBody"/>
        <w:bidi w:val="0"/>
        <w:spacing w:before="0" w:after="0"/>
        <w:jc w:val="center"/>
        <w:rPr/>
      </w:pPr>
      <w:r>
        <w:rPr/>
      </w:r>
    </w:p>
    <w:p>
      <w:pPr>
        <w:pStyle w:val="TextBody"/>
        <w:bidi w:val="0"/>
        <w:spacing w:lineRule="auto" w:line="256"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853"/>
        <w:gridCol w:w="1533"/>
        <w:gridCol w:w="1552"/>
        <w:gridCol w:w="109"/>
        <w:gridCol w:w="109"/>
        <w:gridCol w:w="109"/>
        <w:gridCol w:w="476"/>
        <w:gridCol w:w="476"/>
        <w:gridCol w:w="478"/>
        <w:gridCol w:w="109"/>
        <w:gridCol w:w="109"/>
        <w:gridCol w:w="109"/>
        <w:gridCol w:w="930"/>
        <w:gridCol w:w="930"/>
        <w:gridCol w:w="1323"/>
      </w:tblGrid>
      <w:tr>
        <w:trPr/>
        <w:tc>
          <w:tcPr>
            <w:tcW w:w="185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4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4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NASDAQ Global Select Market</w:t>
            </w:r>
          </w:p>
        </w:tc>
      </w:tr>
      <w:tr>
        <w:trPr/>
        <w:tc>
          <w:tcPr>
            <w:tcW w:w="4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A Junior Participating Preferred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720"/>
        <w:jc w:val="center"/>
        <w:rPr/>
      </w:pPr>
      <w:r>
        <w:rPr/>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60" w:after="60"/>
        <w:ind w:left="0" w:right="0" w:firstLine="720"/>
        <w:jc w:val="left"/>
        <w:rPr/>
      </w:pPr>
      <w:r>
        <w:rPr/>
      </w:r>
    </w:p>
    <w:tbl>
      <w:tblPr>
        <w:tblW w:w="5151" w:type="dxa"/>
        <w:jc w:val="left"/>
        <w:tblInd w:w="0" w:type="dxa"/>
        <w:tblLayout w:type="fixed"/>
        <w:tblCellMar>
          <w:top w:w="28" w:type="dxa"/>
          <w:left w:w="28" w:type="dxa"/>
          <w:bottom w:w="28" w:type="dxa"/>
          <w:right w:w="28" w:type="dxa"/>
        </w:tblCellMar>
      </w:tblPr>
      <w:tblGrid>
        <w:gridCol w:w="749"/>
        <w:gridCol w:w="659"/>
        <w:gridCol w:w="662"/>
        <w:gridCol w:w="109"/>
        <w:gridCol w:w="109"/>
        <w:gridCol w:w="109"/>
        <w:gridCol w:w="109"/>
        <w:gridCol w:w="109"/>
        <w:gridCol w:w="109"/>
        <w:gridCol w:w="684"/>
        <w:gridCol w:w="684"/>
        <w:gridCol w:w="687"/>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firstLine="720"/>
        <w:jc w:val="left"/>
        <w:rPr/>
      </w:pPr>
      <w:r>
        <w:rPr/>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shell company (as defined in Rule 12b-2 of the Act). Yes  ☐    No  ☒</w:t>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 xml:space="preserve">As of September 1, 2026, the registrant had 87,678,404 shares of common stock at $0.001 par value outstanding. </w:t>
      </w:r>
    </w:p>
    <w:p>
      <w:pPr>
        <w:pStyle w:val="TextBody"/>
        <w:bidi w:val="0"/>
        <w:spacing w:before="60" w:after="283"/>
        <w:ind w:left="0" w:right="0" w:firstLine="720"/>
        <w:jc w:val="center"/>
        <w:rPr/>
      </w:pPr>
      <w:r>
        <w:rPr/>
      </w:r>
    </w:p>
    <w:p>
      <w:pPr>
        <w:pStyle w:val="TextBody"/>
        <w:bidi w:val="0"/>
        <w:spacing w:before="60" w:after="283"/>
        <w:ind w:left="0" w:right="0" w:firstLine="49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13360"/>
                <wp:effectExtent l="0" t="0" r="0" b="0"/>
                <wp:wrapNone/>
                <wp:docPr id="1"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120" w:after="240"/>
        <w:jc w:val="center"/>
        <w:rPr/>
      </w:pPr>
      <w:r>
        <w:rPr/>
      </w:r>
    </w:p>
    <w:p>
      <w:pPr>
        <w:pStyle w:val="TextBody"/>
        <w:bidi w:val="0"/>
        <w:spacing w:lineRule="auto" w:line="288" w:before="120" w:after="12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120" w:after="120"/>
        <w:jc w:val="center"/>
        <w:rPr>
          <w:rFonts w:ascii="Arial;sans-serif" w:hAnsi="Arial;sans-serif"/>
          <w:b/>
          <w:color w:val="000000"/>
          <w:sz w:val="22"/>
        </w:rPr>
      </w:pPr>
      <w:r>
        <w:rPr>
          <w:rFonts w:ascii="Arial;sans-serif" w:hAnsi="Arial;sans-serif"/>
          <w:b/>
          <w:color w:val="000000"/>
          <w:sz w:val="22"/>
        </w:rPr>
        <w:t>TABLE OF CONTENTS</w:t>
      </w:r>
    </w:p>
    <w:p>
      <w:pPr>
        <w:pStyle w:val="TextBody"/>
        <w:bidi w:val="0"/>
        <w:spacing w:before="120" w:after="120"/>
        <w:jc w:val="center"/>
        <w:rPr/>
      </w:pPr>
      <w:r>
        <w:rPr/>
      </w:r>
    </w:p>
    <w:p>
      <w:pPr>
        <w:pStyle w:val="TextBody"/>
        <w:bidi w:val="0"/>
        <w:spacing w:lineRule="auto" w:line="288" w:before="120" w:after="120"/>
        <w:jc w:val="center"/>
        <w:rPr>
          <w:rFonts w:ascii="Arial;sans-serif" w:hAnsi="Arial;sans-serif"/>
          <w:b/>
          <w:color w:val="000000"/>
          <w:sz w:val="22"/>
        </w:rPr>
      </w:pPr>
      <w:r>
        <w:rPr>
          <w:rFonts w:ascii="Arial;sans-serif" w:hAnsi="Arial;sans-serif"/>
          <w:b/>
          <w:color w:val="000000"/>
          <w:sz w:val="22"/>
        </w:rPr>
        <w:t>FORM 10-Q</w:t>
      </w:r>
    </w:p>
    <w:p>
      <w:pPr>
        <w:pStyle w:val="TextBody"/>
        <w:bidi w:val="0"/>
        <w:spacing w:lineRule="auto" w:line="288" w:before="120" w:after="120"/>
        <w:jc w:val="center"/>
        <w:rPr>
          <w:rFonts w:ascii="Arial;sans-serif" w:hAnsi="Arial;sans-serif"/>
          <w:b/>
          <w:color w:val="000000"/>
          <w:sz w:val="22"/>
        </w:rPr>
      </w:pPr>
      <w:r>
        <w:rPr>
          <w:rFonts w:ascii="Arial;sans-serif" w:hAnsi="Arial;sans-serif"/>
          <w:b/>
          <w:color w:val="000000"/>
          <w:sz w:val="22"/>
        </w:rPr>
        <w:t>FISCAL THIRD QUARTER 2026</w:t>
      </w:r>
    </w:p>
    <w:p>
      <w:pPr>
        <w:pStyle w:val="TextBody"/>
        <w:bidi w:val="0"/>
        <w:spacing w:before="120" w:after="120"/>
        <w:jc w:val="center"/>
        <w:rPr/>
      </w:pPr>
      <w:r>
        <w:rPr/>
      </w:r>
    </w:p>
    <w:p>
      <w:pPr>
        <w:pStyle w:val="TextBody"/>
        <w:bidi w:val="0"/>
        <w:spacing w:before="0" w:after="0"/>
        <w:ind w:left="0" w:right="0" w:firstLine="720"/>
        <w:jc w:val="left"/>
        <w:rPr/>
      </w:pPr>
      <w:r>
        <w:rPr/>
      </w:r>
    </w:p>
    <w:tbl>
      <w:tblPr>
        <w:tblW w:w="8838" w:type="dxa"/>
        <w:jc w:val="center"/>
        <w:tblInd w:w="0" w:type="dxa"/>
        <w:tblLayout w:type="fixed"/>
        <w:tblCellMar>
          <w:top w:w="28" w:type="dxa"/>
          <w:left w:w="28" w:type="dxa"/>
          <w:bottom w:w="28" w:type="dxa"/>
          <w:right w:w="28" w:type="dxa"/>
        </w:tblCellMar>
      </w:tblPr>
      <w:tblGrid>
        <w:gridCol w:w="357"/>
        <w:gridCol w:w="314"/>
        <w:gridCol w:w="314"/>
        <w:gridCol w:w="314"/>
        <w:gridCol w:w="314"/>
        <w:gridCol w:w="314"/>
        <w:gridCol w:w="2164"/>
        <w:gridCol w:w="2164"/>
        <w:gridCol w:w="2211"/>
        <w:gridCol w:w="109"/>
        <w:gridCol w:w="109"/>
        <w:gridCol w:w="154"/>
      </w:tblGrid>
      <w:tr>
        <w:trPr/>
        <w:tc>
          <w:tcPr>
            <w:tcW w:w="3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66"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fd5da4ebd64341988ed2484a067b9002_13">
              <w:r>
                <w:rPr>
                  <w:rStyle w:val="InternetLink"/>
                  <w:rFonts w:ascii="Arial;sans-serif" w:hAnsi="Arial;sans-serif"/>
                  <w:b w:val="false"/>
                  <w:color w:val="0000FF"/>
                  <w:sz w:val="16"/>
                  <w:u w:val="single"/>
                </w:rPr>
                <w:t>PART I- FINANCIAL INFORMATION</w:t>
              </w:r>
            </w:hyperlink>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d5da4ebd64341988ed2484a067b9002_13">
              <w:r>
                <w:rPr>
                  <w:rStyle w:val="InternetLink"/>
                  <w:rFonts w:ascii="Arial;sans-serif" w:hAnsi="Arial;sans-serif"/>
                  <w:b w:val="false"/>
                  <w:color w:val="0000FF"/>
                  <w:sz w:val="16"/>
                  <w:u w:val="single"/>
                </w:rPr>
                <w:t>5</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5da4ebd64341988ed2484a067b9002_16">
              <w:r>
                <w:rPr>
                  <w:rStyle w:val="InternetLink"/>
                  <w:rFonts w:ascii="Arial;sans-serif" w:hAnsi="Arial;sans-serif"/>
                  <w:b w:val="false"/>
                  <w:color w:val="0000FF"/>
                  <w:sz w:val="16"/>
                  <w:u w:val="single"/>
                </w:rPr>
                <w:t>Item 1.</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5da4ebd64341988ed2484a067b9002_16">
              <w:r>
                <w:rPr>
                  <w:rStyle w:val="InternetLink"/>
                  <w:rFonts w:ascii="Arial;sans-serif" w:hAnsi="Arial;sans-serif"/>
                  <w:b w:val="false"/>
                  <w:color w:val="0000FF"/>
                  <w:sz w:val="16"/>
                  <w:u w:val="single"/>
                </w:rPr>
                <w:t>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d5da4ebd64341988ed2484a067b9002_16">
              <w:r>
                <w:rPr>
                  <w:rStyle w:val="InternetLink"/>
                  <w:rFonts w:ascii="Arial;sans-serif" w:hAnsi="Arial;sans-serif"/>
                  <w:b w:val="false"/>
                  <w:color w:val="0000FF"/>
                  <w:sz w:val="16"/>
                  <w:u w:val="single"/>
                </w:rPr>
                <w:t>5</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5da4ebd64341988ed2484a067b9002_19">
              <w:r>
                <w:rPr>
                  <w:rStyle w:val="InternetLink"/>
                  <w:rFonts w:ascii="Arial;sans-serif" w:hAnsi="Arial;sans-serif"/>
                  <w:b w:val="false"/>
                  <w:color w:val="0000FF"/>
                  <w:sz w:val="16"/>
                  <w:u w:val="single"/>
                </w:rPr>
                <w:t>Condensed Consolidated Balance Sheets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d5da4ebd64341988ed2484a067b9002_19">
              <w:r>
                <w:rPr>
                  <w:rStyle w:val="InternetLink"/>
                  <w:rFonts w:ascii="Arial;sans-serif" w:hAnsi="Arial;sans-serif"/>
                  <w:b w:val="false"/>
                  <w:color w:val="0000FF"/>
                  <w:sz w:val="16"/>
                  <w:u w:val="single"/>
                </w:rPr>
                <w:t>5</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5da4ebd64341988ed2484a067b9002_22">
              <w:r>
                <w:rPr>
                  <w:rStyle w:val="InternetLink"/>
                  <w:rFonts w:ascii="Arial;sans-serif" w:hAnsi="Arial;sans-serif"/>
                  <w:b w:val="false"/>
                  <w:color w:val="0000FF"/>
                  <w:sz w:val="16"/>
                  <w:u w:val="single"/>
                </w:rPr>
                <w:t>Condensed Consolidated Statements of Operations</w:t>
              </w:r>
            </w:hyperlink>
            <w:r>
              <w:rPr>
                <w:color w:val="3051F2"/>
                <w:u w:val="single"/>
              </w:rPr>
              <w:t xml:space="preserve"> </w:t>
            </w:r>
            <w:r>
              <w:rPr>
                <w:rFonts w:ascii="Arial;sans-serif" w:hAnsi="Arial;sans-serif"/>
                <w:b w:val="false"/>
                <w:color w:val="3051F2"/>
                <w:sz w:val="16"/>
                <w:u w:val="single"/>
              </w:rPr>
              <w:t>(Unaudited)</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d5da4ebd64341988ed2484a067b9002_22">
              <w:r>
                <w:rPr>
                  <w:rStyle w:val="InternetLink"/>
                  <w:rFonts w:ascii="Arial;sans-serif" w:hAnsi="Arial;sans-serif"/>
                  <w:b w:val="false"/>
                  <w:color w:val="0000FF"/>
                  <w:sz w:val="16"/>
                  <w:u w:val="single"/>
                </w:rPr>
                <w:t>6</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5da4ebd64341988ed2484a067b9002_25">
              <w:r>
                <w:rPr>
                  <w:rStyle w:val="InternetLink"/>
                  <w:rFonts w:ascii="Arial;sans-serif" w:hAnsi="Arial;sans-serif"/>
                  <w:b w:val="false"/>
                  <w:color w:val="0000FF"/>
                  <w:sz w:val="16"/>
                  <w:u w:val="single"/>
                </w:rPr>
                <w:t>Condensed Consolidated Statements of</w:t>
              </w:r>
            </w:hyperlink>
            <w:hyperlink w:anchor="ifd5da4ebd64341988ed2484a067b9002_25">
              <w:r>
                <w:rPr>
                  <w:rStyle w:val="InternetLink"/>
                  <w:color w:val="3051F2"/>
                  <w:u w:val="single"/>
                </w:rPr>
                <w:t xml:space="preserve"> </w:t>
              </w:r>
            </w:hyperlink>
            <w:r>
              <w:rPr>
                <w:rFonts w:ascii="Arial;sans-serif" w:hAnsi="Arial;sans-serif"/>
                <w:b w:val="false"/>
                <w:color w:val="3051F2"/>
                <w:sz w:val="16"/>
                <w:u w:val="single"/>
              </w:rPr>
              <w:t>Comprehensive (Loss) Income (Unaudited)</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d5da4ebd64341988ed2484a067b9002_25">
              <w:r>
                <w:rPr>
                  <w:rStyle w:val="InternetLink"/>
                  <w:rFonts w:ascii="Arial;sans-serif" w:hAnsi="Arial;sans-serif"/>
                  <w:b w:val="false"/>
                  <w:color w:val="0000FF"/>
                  <w:sz w:val="16"/>
                  <w:u w:val="single"/>
                </w:rPr>
                <w:t>7</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5da4ebd64341988ed2484a067b9002_28">
              <w:r>
                <w:rPr>
                  <w:rStyle w:val="InternetLink"/>
                  <w:rFonts w:ascii="Arial;sans-serif" w:hAnsi="Arial;sans-serif"/>
                  <w:b w:val="false"/>
                  <w:color w:val="0000FF"/>
                  <w:sz w:val="16"/>
                  <w:u w:val="single"/>
                </w:rPr>
                <w:t>Condensed Consolidated Statements of Changes in Equity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d5da4ebd64341988ed2484a067b9002_28">
              <w:r>
                <w:rPr>
                  <w:rStyle w:val="InternetLink"/>
                  <w:rFonts w:ascii="Arial;sans-serif" w:hAnsi="Arial;sans-serif"/>
                  <w:b w:val="false"/>
                  <w:color w:val="0000FF"/>
                  <w:sz w:val="16"/>
                  <w:u w:val="single"/>
                </w:rPr>
                <w:t>8</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5da4ebd64341988ed2484a067b9002_31">
              <w:r>
                <w:rPr>
                  <w:rStyle w:val="InternetLink"/>
                  <w:rFonts w:ascii="Arial;sans-serif" w:hAnsi="Arial;sans-serif"/>
                  <w:b w:val="false"/>
                  <w:color w:val="0000FF"/>
                  <w:sz w:val="16"/>
                  <w:u w:val="single"/>
                </w:rPr>
                <w:t>Condensed Consolidated Statements of Cash Flows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d5da4ebd64341988ed2484a067b9002_31">
              <w:r>
                <w:rPr>
                  <w:rStyle w:val="InternetLink"/>
                  <w:rFonts w:ascii="Arial;sans-serif" w:hAnsi="Arial;sans-serif"/>
                  <w:b w:val="false"/>
                  <w:color w:val="0000FF"/>
                  <w:sz w:val="16"/>
                  <w:u w:val="single"/>
                </w:rPr>
                <w:t>9</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5da4ebd64341988ed2484a067b9002_34">
              <w:r>
                <w:rPr>
                  <w:rStyle w:val="InternetLink"/>
                  <w:rFonts w:ascii="Arial;sans-serif" w:hAnsi="Arial;sans-serif"/>
                  <w:b w:val="false"/>
                  <w:color w:val="0000FF"/>
                  <w:sz w:val="16"/>
                  <w:u w:val="single"/>
                </w:rPr>
                <w:t>Notes to Unaudited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d5da4ebd64341988ed2484a067b9002_34">
              <w:r>
                <w:rPr>
                  <w:rStyle w:val="InternetLink"/>
                  <w:rFonts w:ascii="Arial;sans-serif" w:hAnsi="Arial;sans-serif"/>
                  <w:b w:val="false"/>
                  <w:color w:val="0000FF"/>
                  <w:sz w:val="16"/>
                  <w:u w:val="single"/>
                </w:rPr>
                <w:t>11</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5da4ebd64341988ed2484a067b9002_91">
              <w:r>
                <w:rPr>
                  <w:rStyle w:val="InternetLink"/>
                  <w:rFonts w:ascii="Arial;sans-serif" w:hAnsi="Arial;sans-serif"/>
                  <w:b w:val="false"/>
                  <w:color w:val="0000FF"/>
                  <w:sz w:val="16"/>
                  <w:u w:val="single"/>
                </w:rPr>
                <w:t>Item 2.</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5da4ebd64341988ed2484a067b9002_91">
              <w:r>
                <w:rPr>
                  <w:rStyle w:val="InternetLink"/>
                  <w:rFonts w:ascii="Arial;sans-serif" w:hAnsi="Arial;sans-serif"/>
                  <w:b w:val="false"/>
                  <w:color w:val="0000FF"/>
                  <w:sz w:val="16"/>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d5da4ebd64341988ed2484a067b9002_91">
              <w:r>
                <w:rPr>
                  <w:rStyle w:val="InternetLink"/>
                  <w:rFonts w:ascii="Arial;sans-serif" w:hAnsi="Arial;sans-serif"/>
                  <w:b w:val="false"/>
                  <w:color w:val="0000FF"/>
                  <w:sz w:val="16"/>
                  <w:u w:val="single"/>
                </w:rPr>
                <w:t>25</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5da4ebd64341988ed2484a067b9002_109">
              <w:r>
                <w:rPr>
                  <w:rStyle w:val="InternetLink"/>
                  <w:rFonts w:ascii="Arial;sans-serif" w:hAnsi="Arial;sans-serif"/>
                  <w:b w:val="false"/>
                  <w:color w:val="0000FF"/>
                  <w:sz w:val="16"/>
                  <w:u w:val="single"/>
                </w:rPr>
                <w:t>Item 3.</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5da4ebd64341988ed2484a067b9002_109">
              <w:r>
                <w:rPr>
                  <w:rStyle w:val="InternetLink"/>
                  <w:rFonts w:ascii="Arial;sans-serif" w:hAnsi="Arial;sans-serif"/>
                  <w:b w:val="false"/>
                  <w:color w:val="0000FF"/>
                  <w:sz w:val="16"/>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d5da4ebd64341988ed2484a067b9002_109">
              <w:r>
                <w:rPr>
                  <w:rStyle w:val="InternetLink"/>
                  <w:rFonts w:ascii="Arial;sans-serif" w:hAnsi="Arial;sans-serif"/>
                  <w:b w:val="false"/>
                  <w:color w:val="0000FF"/>
                  <w:sz w:val="16"/>
                  <w:u w:val="single"/>
                </w:rPr>
                <w:t>36</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5da4ebd64341988ed2484a067b9002_112">
              <w:r>
                <w:rPr>
                  <w:rStyle w:val="InternetLink"/>
                  <w:rFonts w:ascii="Arial;sans-serif" w:hAnsi="Arial;sans-serif"/>
                  <w:b w:val="false"/>
                  <w:color w:val="0000FF"/>
                  <w:sz w:val="16"/>
                  <w:u w:val="single"/>
                </w:rPr>
                <w:t>Item 4.</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5da4ebd64341988ed2484a067b9002_112">
              <w:r>
                <w:rPr>
                  <w:rStyle w:val="InternetLink"/>
                  <w:rFonts w:ascii="Arial;sans-serif" w:hAnsi="Arial;sans-serif"/>
                  <w:b w:val="false"/>
                  <w:color w:val="0000FF"/>
                  <w:sz w:val="16"/>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d5da4ebd64341988ed2484a067b9002_112">
              <w:r>
                <w:rPr>
                  <w:rStyle w:val="InternetLink"/>
                  <w:rFonts w:ascii="Arial;sans-serif" w:hAnsi="Arial;sans-serif"/>
                  <w:b w:val="false"/>
                  <w:color w:val="0000FF"/>
                  <w:sz w:val="16"/>
                  <w:u w:val="single"/>
                </w:rPr>
                <w:t>36</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6"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PART II- OTHER INFORMATION</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d5da4ebd64341988ed2484a067b9002_115">
              <w:r>
                <w:rPr>
                  <w:rStyle w:val="InternetLink"/>
                  <w:rFonts w:ascii="Arial;sans-serif" w:hAnsi="Arial;sans-serif"/>
                  <w:b w:val="false"/>
                  <w:color w:val="0000FF"/>
                  <w:sz w:val="16"/>
                  <w:u w:val="single"/>
                </w:rPr>
                <w:t>36</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Item 1.</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Legal Proceedings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652623a1b224908b6fcc5f622f6c8b7_2571">
              <w:r>
                <w:rPr>
                  <w:rStyle w:val="InternetLink"/>
                  <w:rFonts w:ascii="Arial;sans-serif" w:hAnsi="Arial;sans-serif"/>
                  <w:b w:val="false"/>
                  <w:color w:val="0000FF"/>
                  <w:sz w:val="16"/>
                  <w:u w:val="single"/>
                </w:rPr>
                <w:t>36</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Item 1A.</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Risk Factors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652623a1b224908b6fcc5f622f6c8b7_2572">
              <w:r>
                <w:rPr>
                  <w:rStyle w:val="InternetLink"/>
                  <w:rFonts w:ascii="Arial;sans-serif" w:hAnsi="Arial;sans-serif"/>
                  <w:b w:val="false"/>
                  <w:color w:val="0000FF"/>
                  <w:sz w:val="16"/>
                  <w:u w:val="single"/>
                </w:rPr>
                <w:t>36</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Item 2.</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Unregistered Sales of Equity Securities and Use of Proceeds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652623a1b224908b6fcc5f622f6c8b7_2573">
              <w:r>
                <w:rPr>
                  <w:rStyle w:val="InternetLink"/>
                  <w:rFonts w:ascii="Arial;sans-serif" w:hAnsi="Arial;sans-serif"/>
                  <w:b w:val="false"/>
                  <w:color w:val="0000FF"/>
                  <w:sz w:val="16"/>
                  <w:u w:val="single"/>
                </w:rPr>
                <w:t>37</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Item 3.</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Defaults Upon Senior Securities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652623a1b224908b6fcc5f622f6c8b7_2567">
              <w:r>
                <w:rPr>
                  <w:rStyle w:val="InternetLink"/>
                  <w:rFonts w:ascii="Arial;sans-serif" w:hAnsi="Arial;sans-serif"/>
                  <w:b w:val="false"/>
                  <w:color w:val="0000FF"/>
                  <w:sz w:val="16"/>
                  <w:u w:val="single"/>
                </w:rPr>
                <w:t>38</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652623a1b224908b6fcc5f622f6c8b7_2568">
              <w:r>
                <w:rPr>
                  <w:rStyle w:val="InternetLink"/>
                  <w:rFonts w:ascii="Arial;sans-serif" w:hAnsi="Arial;sans-serif"/>
                  <w:b w:val="false"/>
                  <w:color w:val="0000FF"/>
                  <w:sz w:val="16"/>
                  <w:u w:val="single"/>
                </w:rPr>
                <w:t>Item 4.</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652623a1b224908b6fcc5f622f6c8b7_2568">
              <w:r>
                <w:rPr>
                  <w:rStyle w:val="InternetLink"/>
                  <w:rFonts w:ascii="Arial;sans-serif" w:hAnsi="Arial;sans-serif"/>
                  <w:b w:val="false"/>
                  <w:color w:val="0000FF"/>
                  <w:sz w:val="16"/>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652623a1b224908b6fcc5f622f6c8b7_2568">
              <w:r>
                <w:rPr>
                  <w:rStyle w:val="InternetLink"/>
                  <w:rFonts w:ascii="Arial;sans-serif" w:hAnsi="Arial;sans-serif"/>
                  <w:b w:val="false"/>
                  <w:color w:val="0000FF"/>
                  <w:sz w:val="16"/>
                  <w:u w:val="single"/>
                </w:rPr>
                <w:t>38</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652623a1b224908b6fcc5f622f6c8b7_2569">
              <w:r>
                <w:rPr>
                  <w:rStyle w:val="InternetLink"/>
                  <w:rFonts w:ascii="Arial;sans-serif" w:hAnsi="Arial;sans-serif"/>
                  <w:b w:val="false"/>
                  <w:color w:val="0000FF"/>
                  <w:sz w:val="16"/>
                  <w:u w:val="single"/>
                </w:rPr>
                <w:t>Item 5.</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652623a1b224908b6fcc5f622f6c8b7_2569">
              <w:r>
                <w:rPr>
                  <w:rStyle w:val="InternetLink"/>
                  <w:rFonts w:ascii="Arial;sans-serif" w:hAnsi="Arial;sans-serif"/>
                  <w:b w:val="false"/>
                  <w:color w:val="0000FF"/>
                  <w:sz w:val="16"/>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652623a1b224908b6fcc5f622f6c8b7_2569">
              <w:r>
                <w:rPr>
                  <w:rStyle w:val="InternetLink"/>
                  <w:rFonts w:ascii="Arial;sans-serif" w:hAnsi="Arial;sans-serif"/>
                  <w:b w:val="false"/>
                  <w:color w:val="0000FF"/>
                  <w:sz w:val="16"/>
                  <w:u w:val="single"/>
                </w:rPr>
                <w:t>38</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652623a1b224908b6fcc5f622f6c8b7_2566">
              <w:r>
                <w:rPr>
                  <w:rStyle w:val="InternetLink"/>
                  <w:rFonts w:ascii="Arial;sans-serif" w:hAnsi="Arial;sans-serif"/>
                  <w:b w:val="false"/>
                  <w:color w:val="0000FF"/>
                  <w:sz w:val="16"/>
                  <w:u w:val="single"/>
                </w:rPr>
                <w:t>Item 6.</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652623a1b224908b6fcc5f622f6c8b7_2566">
              <w:r>
                <w:rPr>
                  <w:rStyle w:val="InternetLink"/>
                  <w:rFonts w:ascii="Arial;sans-serif" w:hAnsi="Arial;sans-serif"/>
                  <w:b w:val="false"/>
                  <w:color w:val="0000FF"/>
                  <w:sz w:val="16"/>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652623a1b224908b6fcc5f622f6c8b7_2566">
              <w:r>
                <w:rPr>
                  <w:rStyle w:val="InternetLink"/>
                  <w:rFonts w:ascii="Arial;sans-serif" w:hAnsi="Arial;sans-serif"/>
                  <w:b w:val="false"/>
                  <w:color w:val="0000FF"/>
                  <w:sz w:val="16"/>
                  <w:u w:val="single"/>
                </w:rPr>
                <w:t>39</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5da4ebd64341988ed2484a067b9002_121">
              <w:r>
                <w:rPr>
                  <w:rStyle w:val="InternetLink"/>
                  <w:rFonts w:ascii="Arial;sans-serif" w:hAnsi="Arial;sans-serif"/>
                  <w:b w:val="false"/>
                  <w:color w:val="0000FF"/>
                  <w:sz w:val="16"/>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d5da4ebd64341988ed2484a067b9002_121">
              <w:r>
                <w:rPr>
                  <w:rStyle w:val="InternetLink"/>
                  <w:rFonts w:ascii="Arial;sans-serif" w:hAnsi="Arial;sans-serif"/>
                  <w:b w:val="false"/>
                  <w:color w:val="0000FF"/>
                  <w:sz w:val="16"/>
                  <w:u w:val="singl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13360"/>
                <wp:effectExtent l="0" t="0" r="0" b="0"/>
                <wp:wrapNone/>
                <wp:docPr id="2"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120" w:after="240"/>
        <w:jc w:val="center"/>
        <w:rPr/>
      </w:pPr>
      <w:r>
        <w:rPr/>
      </w:r>
    </w:p>
    <w:p>
      <w:pPr>
        <w:pStyle w:val="TextBody"/>
        <w:bidi w:val="0"/>
        <w:spacing w:lineRule="auto" w:line="288" w:before="300" w:after="240"/>
        <w:jc w:val="center"/>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This Quarterly Report on Form 10-Q contains forward-looking statements within the meaning of the federal securities laws, including the Private Securities Litigation Reform Act of 1995,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6"/>
        </w:rPr>
        <w:t>Risks related to our business, including: reliance on primarily one main product; limitations regarding the supply of fruit, either through purchasing or growing; fluctuations in the market price of fruit; increasing competition; risks associated with doing business internationally, including Mexican and Peruvian economic, political and/or societal conditions; inflationary pressures; establishment of sales channels and geographic markets; loss of one or more of our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including climate change; seasonality in operating results; failures associated with information technology infrastructure, system security and cyber risks; new and changing privacy laws and our compliance with such laws; food safety events and recalls; failure to comply with laws and regulations; changes to trade policy and/or export/import laws and regulations; risks from business acquisitions, if any; lack of or failure of infrastructure; material litigation or governmental inquiries/actions; failure to maintain or protect our brand; changes in tax rates or international tax legislation; risks associated with global conflicts; and inability to accurately forecast future performance.</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6"/>
        </w:rPr>
        <w:t>Risks related to our common stock, including: the viability of an active, liquid, and orderly market for our common stock; volatility in the trading price of our common stock; the issuance of shares in our recent acquisition of Calavo; significant ownership and influence by our executive officers and directors over matters submitted to stockholders for approval; restrictions on takeover attempts in our charter documents and under Delaware law; and the selection of Delaware as the exclusive forum for substantially all disputes between us and our stockholders.</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6"/>
        </w:rPr>
        <w:t>Risks related to restrictive covenants under our credit facility, which could affect our flexibility to fund ongoing operations, uses of capital and strategic initiatives, and, if we are unable to maintain compliance with such covenants, lead to significant challenges in meeting our liquidity requirements and acceleration of our debt.</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6"/>
        </w:rPr>
        <w:t>Risks related to the completed acquisition of Calavo Growers, Inc. (“Calavo”), including: any statements of the plans, strategies and objectives of management for future operations, including execution of integration (including information technology systems integration) plans; the risk that the businesses will not be integrated successfully or that the integration will be more costly or difficult than expected; the risk of managing the expanded operations of a significantly larger and more complex company; the risk that the cost savings and any other synergies from the acquisition may not be fully realized or may take longer to realize than expected; the risk of litigation related to the acquisition; the risk of unanticipated liabilities arising from the acquired business; the risk that the credit ratings of the combined company or its subsidiaries may be different from what the companies expect; the diversion of management time and resources from ongoing business operations and opportunities as a result of the acquisition; and the risk of adverse reactions or changes to business or employee relationships, including those resulting from the completion of the acquisition.</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6"/>
        </w:rPr>
        <w:t>Other risks and factors listed under “Item 1A. Risk Factors” in our most recent Annual Report on Form 10-K for the year ended October 31, 2025, filed with the SEC on December 18, 2025 (the “2025 10-K”) and “Part II, Item 1A. Risk Factors” in the Quarterly Report on Form 10-Q for the quarter ended January 31, 2026, filed with the SEC on March 12, 2026 (the “Q1 10-Q”), “Risk Factors” in our Proxy Statement/Prospectus dated March 20, 2026 (the “Proxy Statement/Prospectus”) and elsewhere in this report.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“Item 1A. Risk Factors” in our 2025 10-K, as supplemented by the Q1 10-Q, the Proxy Statement/Prospectus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13360"/>
                <wp:effectExtent l="0" t="0" r="0" b="0"/>
                <wp:wrapNone/>
                <wp:docPr id="3" name="Frame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120" w:after="240"/>
        <w:jc w:val="center"/>
        <w:rPr/>
      </w:pPr>
      <w:r>
        <w:rPr/>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You should read this report, including documents that we reference in this report and exhibits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This quarterly report may also include trademarks, tradenames and service marks that are the property of the Company and also certain trademarks, tradenames and service marks that are the property of other organizations. Solely for convenience, trademarks and tradenames referred to in this quarterly report appear without the ® and ™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maintain a website at www.missionproduce.com,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13360"/>
                <wp:effectExtent l="0" t="0" r="0" b="0"/>
                <wp:wrapNone/>
                <wp:docPr id="4" name="Frame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40"/>
        <w:jc w:val="center"/>
        <w:rPr>
          <w:rFonts w:ascii="Arial;sans-serif" w:hAnsi="Arial;sans-serif"/>
          <w:b/>
          <w:color w:val="000000"/>
          <w:sz w:val="22"/>
        </w:rPr>
      </w:pPr>
      <w:r>
        <w:rPr>
          <w:rFonts w:ascii="Arial;sans-serif" w:hAnsi="Arial;sans-serif"/>
          <w:b/>
          <w:color w:val="000000"/>
          <w:sz w:val="22"/>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2"/>
        </w:rPr>
      </w:pPr>
      <w:r>
        <w:rPr>
          <w:rFonts w:ascii="Arial;sans-serif" w:hAnsi="Arial;sans-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40"/>
        <w:jc w:val="center"/>
        <w:rPr>
          <w:rFonts w:ascii="Arial;sans-serif" w:hAnsi="Arial;sans-serif"/>
          <w:b/>
          <w:color w:val="000000"/>
          <w:sz w:val="20"/>
        </w:rPr>
      </w:pPr>
      <w:r>
        <w:rPr>
          <w:rFonts w:ascii="Arial;sans-serif" w:hAnsi="Arial;sans-serif"/>
          <w:b/>
          <w:color w:val="000000"/>
          <w:sz w:val="20"/>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2938"/>
        <w:gridCol w:w="2444"/>
        <w:gridCol w:w="2457"/>
        <w:gridCol w:w="187"/>
        <w:gridCol w:w="639"/>
        <w:gridCol w:w="112"/>
        <w:gridCol w:w="109"/>
        <w:gridCol w:w="109"/>
        <w:gridCol w:w="109"/>
        <w:gridCol w:w="239"/>
        <w:gridCol w:w="655"/>
        <w:gridCol w:w="207"/>
      </w:tblGrid>
      <w:tr>
        <w:trPr/>
        <w:tc>
          <w:tcPr>
            <w:tcW w:w="2938"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7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 millions, except for shares)</w:t>
            </w:r>
          </w:p>
        </w:tc>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October 31, 2025</w:t>
            </w:r>
          </w:p>
        </w:tc>
      </w:tr>
      <w:tr>
        <w:trPr/>
        <w:tc>
          <w:tcPr>
            <w:tcW w:w="7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Assets</w:t>
            </w:r>
          </w:p>
        </w:tc>
        <w:tc>
          <w:tcPr>
            <w:tcW w:w="9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Current assets:</w:t>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1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Restricted cash</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Accounts receivable</w:t>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Trade, net of allowances of $2.5 and $0.7, respectively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80.5 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Grower and fruit advances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Inventory</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80.6 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Prepaid expenses and other current assets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Income taxes receivable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Total current assets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401.9 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262.2 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Property, plant and equipment,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542.2 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Operating lease right-of-use assets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67.7 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Equity method investees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Deferred income tax assets, net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Goodwill</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Intangible asset, net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Total assets</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1,606.8 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983.0 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Liabilities and Equity</w:t>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Current liabilities:</w:t>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1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Accrued expenses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Income taxes payable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Grower payables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Short-term borrowings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Loans from noncontrolling interest holders—current portion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Long-term debt—current portion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Operating leases—current portion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Finance leases—current portion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Total current liabilities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209.7 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134.5 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Long-term debt, net of current portion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92.8 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Loans from noncontrolling interest holders, net of current portion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Operating leases, net of current portion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67.5 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Finance leases, net of current portion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Income taxes payable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Deferred income tax liabilities,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long-term liabilities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Total liabilities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807.0 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363.1 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Commitments and contingencies (Note 8)</w:t>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Shareholders’ Equity</w:t>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4"/>
              </w:rPr>
            </w:pPr>
            <w:r>
              <w:rPr>
                <w:rFonts w:ascii="Arial;sans-serif" w:hAnsi="Arial;sans-serif"/>
                <w:b w:val="false"/>
                <w:color w:val="000000"/>
                <w:sz w:val="14"/>
              </w:rPr>
              <w:t>Common stock ($0.001 par value, 1,000,000,000 shares authorized; 87,678,404 and 70,569,517 shares issued and outstanding as of July 31, 2026 and October 31, 2025, respectively)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Additional paid-in capital</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247.3 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Accumulated other comprehensive income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Retained earnings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339.3 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Mission Produce shareholders' equity</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764.0 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587.3 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Noncontrolling interest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Total equity</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799.8 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619.9 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Total liabilities and equity</w:t>
            </w:r>
          </w:p>
        </w:tc>
        <w:tc>
          <w:tcPr>
            <w:tcW w:w="1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1,606.8 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983.0 </w:t>
            </w:r>
          </w:p>
        </w:tc>
        <w:tc>
          <w:tcPr>
            <w:tcW w:w="2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2"/>
        </w:rPr>
      </w:pPr>
      <w:r>
        <w:rPr>
          <w:rFonts w:ascii="Arial;sans-serif" w:hAnsi="Arial;sans-serif"/>
          <w:b w:val="false"/>
          <w:i/>
          <w:color w:val="000000"/>
          <w:sz w:val="12"/>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13360"/>
                <wp:effectExtent l="0" t="0" r="0" b="0"/>
                <wp:wrapNone/>
                <wp:docPr id="5" name="Frame5"/>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160" w:after="10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CONDENSED CONSOLIDATED STATEMENTS OF OPERATIONS (UNAUDITED)</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tbl>
      <w:tblPr>
        <w:tblW w:w="9225" w:type="dxa"/>
        <w:jc w:val="left"/>
        <w:tblInd w:w="0" w:type="dxa"/>
        <w:tblLayout w:type="fixed"/>
        <w:tblCellMar>
          <w:top w:w="28" w:type="dxa"/>
          <w:left w:w="28" w:type="dxa"/>
          <w:bottom w:w="28" w:type="dxa"/>
          <w:right w:w="28" w:type="dxa"/>
        </w:tblCellMar>
      </w:tblPr>
      <w:tblGrid>
        <w:gridCol w:w="1624"/>
        <w:gridCol w:w="1428"/>
        <w:gridCol w:w="1433"/>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691"/>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millions, except for per share amounts)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2025</w:t>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967.2 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Transaction advisory and integration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income (loss)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income before income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Less:</w:t>
            </w:r>
          </w:p>
          <w:p>
            <w:pPr>
              <w:pStyle w:val="TableContents"/>
              <w:bidi w:val="0"/>
              <w:spacing w:lineRule="auto" w:line="288" w:before="0" w:after="0"/>
              <w:ind w:left="0" w:right="0" w:hanging="180"/>
              <w:jc w:val="left"/>
              <w:rPr>
                <w:color w:val="000000"/>
              </w:rPr>
            </w:pPr>
            <w:r>
              <w:rPr>
                <w:color w:val="000000"/>
              </w:rPr>
              <w:t>   </w:t>
            </w:r>
            <w:r>
              <w:rPr>
                <w:rFonts w:ascii="Arial;sans-serif" w:hAnsi="Arial;sans-serif"/>
                <w:b w:val="false"/>
                <w:color w:val="000000"/>
                <w:sz w:val="16"/>
              </w:rPr>
              <w:t>Net income (loss) attributable to noncontrolling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 attributable to Mission Produce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 per share attributable to Mission Produce: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(0.08)</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(0.19)</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0.30 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13360"/>
                <wp:effectExtent l="0" t="0" r="0" b="0"/>
                <wp:wrapNone/>
                <wp:docPr id="6" name="Frame6"/>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160" w:after="10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CONDENSED CONSOLIDATED STATEMENTS OF COMPREHENSIVE (LOSS) INCOME (UNAUDITED)</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tbl>
      <w:tblPr>
        <w:tblW w:w="9135" w:type="dxa"/>
        <w:jc w:val="left"/>
        <w:tblInd w:w="0" w:type="dxa"/>
        <w:tblLayout w:type="fixed"/>
        <w:tblCellMar>
          <w:top w:w="28" w:type="dxa"/>
          <w:left w:w="28" w:type="dxa"/>
          <w:bottom w:w="28" w:type="dxa"/>
          <w:right w:w="28" w:type="dxa"/>
        </w:tblCellMar>
      </w:tblPr>
      <w:tblGrid>
        <w:gridCol w:w="1797"/>
        <w:gridCol w:w="1575"/>
        <w:gridCol w:w="1593"/>
        <w:gridCol w:w="196"/>
        <w:gridCol w:w="451"/>
        <w:gridCol w:w="109"/>
        <w:gridCol w:w="109"/>
        <w:gridCol w:w="109"/>
        <w:gridCol w:w="109"/>
        <w:gridCol w:w="196"/>
        <w:gridCol w:w="466"/>
        <w:gridCol w:w="109"/>
        <w:gridCol w:w="109"/>
        <w:gridCol w:w="109"/>
        <w:gridCol w:w="109"/>
        <w:gridCol w:w="196"/>
        <w:gridCol w:w="541"/>
        <w:gridCol w:w="109"/>
        <w:gridCol w:w="109"/>
        <w:gridCol w:w="109"/>
        <w:gridCol w:w="109"/>
        <w:gridCol w:w="196"/>
        <w:gridCol w:w="466"/>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4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income, net of tax</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Changes in foreign currency translation adjustments:</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Amounts reclassified to earnings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comprehensive income, net of tax</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Less:</w:t>
            </w:r>
          </w:p>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Comprehensive income (loss) attributable to noncontrolling interest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(loss) income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13360"/>
                <wp:effectExtent l="0" t="0" r="0" b="0"/>
                <wp:wrapNone/>
                <wp:docPr id="7" name="Frame7"/>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120" w:after="24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CONDENSED CONSOLIDATED STATEMENTS OF CHANGES IN EQUITY (UNAUDITED)</w:t>
      </w:r>
    </w:p>
    <w:p>
      <w:pPr>
        <w:pStyle w:val="TextBody"/>
        <w:bidi w:val="0"/>
        <w:spacing w:before="60" w:after="60"/>
        <w:jc w:val="center"/>
        <w:rPr/>
      </w:pPr>
      <w:r>
        <w:rPr/>
      </w:r>
    </w:p>
    <w:tbl>
      <w:tblPr>
        <w:tblW w:w="10205" w:type="dxa"/>
        <w:jc w:val="left"/>
        <w:tblInd w:w="0" w:type="dxa"/>
        <w:tblLayout w:type="fixed"/>
        <w:tblCellMar>
          <w:top w:w="28" w:type="dxa"/>
          <w:left w:w="28" w:type="dxa"/>
          <w:bottom w:w="28" w:type="dxa"/>
          <w:right w:w="28" w:type="dxa"/>
        </w:tblCellMar>
      </w:tblPr>
      <w:tblGrid>
        <w:gridCol w:w="1150"/>
        <w:gridCol w:w="750"/>
        <w:gridCol w:w="754"/>
        <w:gridCol w:w="420"/>
        <w:gridCol w:w="421"/>
        <w:gridCol w:w="186"/>
        <w:gridCol w:w="186"/>
        <w:gridCol w:w="355"/>
        <w:gridCol w:w="111"/>
        <w:gridCol w:w="109"/>
        <w:gridCol w:w="109"/>
        <w:gridCol w:w="109"/>
        <w:gridCol w:w="249"/>
        <w:gridCol w:w="682"/>
        <w:gridCol w:w="149"/>
        <w:gridCol w:w="439"/>
        <w:gridCol w:w="840"/>
        <w:gridCol w:w="266"/>
        <w:gridCol w:w="215"/>
        <w:gridCol w:w="591"/>
        <w:gridCol w:w="129"/>
        <w:gridCol w:w="285"/>
        <w:gridCol w:w="665"/>
        <w:gridCol w:w="172"/>
        <w:gridCol w:w="185"/>
        <w:gridCol w:w="509"/>
        <w:gridCol w:w="169"/>
      </w:tblGrid>
      <w:tr>
        <w:trPr/>
        <w:tc>
          <w:tcPr>
            <w:tcW w:w="11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 except for shares)</w:t>
            </w:r>
          </w:p>
        </w:tc>
        <w:tc>
          <w:tcPr>
            <w:tcW w:w="167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Additional paid-in capital</w:t>
            </w:r>
          </w:p>
        </w:tc>
        <w:tc>
          <w:tcPr>
            <w:tcW w:w="154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Accumulated other comprehensive (loss) income</w:t>
            </w:r>
          </w:p>
        </w:tc>
        <w:tc>
          <w:tcPr>
            <w:tcW w:w="93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Retained earnings</w:t>
            </w:r>
          </w:p>
        </w:tc>
        <w:tc>
          <w:tcPr>
            <w:tcW w:w="112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Noncontrolling interests</w:t>
            </w:r>
          </w:p>
        </w:tc>
        <w:tc>
          <w:tcPr>
            <w:tcW w:w="86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Total equity</w:t>
            </w:r>
          </w:p>
        </w:tc>
      </w:tr>
      <w:tr>
        <w:trPr/>
        <w:tc>
          <w:tcPr>
            <w:tcW w:w="265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Shares</w:t>
            </w:r>
          </w:p>
        </w:tc>
        <w:tc>
          <w:tcPr>
            <w:tcW w:w="6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8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54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93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12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86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October 31, 2024</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70,914,767 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239.7 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307.7 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577.1 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for equity awards, net of shares withheld for the settlement of taxes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153,856 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21,929 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Purchase and retirement of common stock</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(25,000)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comprehensive loss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January 31, 2025</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71,065,552 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240.7 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311.3 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582.9 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for equity awards, net of shares withheld for the settlement of taxes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70,200 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Purchase and retirement of common stock</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(517,801)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comprehensive income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April 30, 2025</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70,617,951 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242.4 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309.2 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584.3 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1.7</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for equity awards, net of shares withheld for the settlement of taxes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July 31, 2025</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70,618,213 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244.1 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323.9 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31.8 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600.5 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October 31, 2025</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70,569,517 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247.3 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619.9 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for equity awards, net of shares withheld for the settlement of taxes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269,758 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(loss) income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comprehensive loss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January 31, 2026</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70,839,275 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246.5 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338.6 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620.1 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for equity awards, net of shares withheld for the settlement of taxes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123,609 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Purchase and retirement of common stock</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(173,900)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April 30, 2026</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70,788,984 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247.6 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329.2 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611.6 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for the acquisition of Calavo Growers</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17,530,762 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197.2</w:t>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197.2 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Purchase and retirement of common stock</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(641,342)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(7.2)</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(loss)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Acquired noncontrolling interest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comprehensive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July 31, 2026</w:t>
            </w:r>
          </w:p>
        </w:tc>
        <w:tc>
          <w:tcPr>
            <w:tcW w:w="84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87,678,404 </w:t>
            </w:r>
          </w:p>
        </w:tc>
        <w:tc>
          <w:tcPr>
            <w:tcW w:w="1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446.5 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2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315.5 </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35.8 </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799.8 </w:t>
            </w:r>
          </w:p>
        </w:tc>
        <w:tc>
          <w:tcPr>
            <w:tcW w:w="1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13360"/>
                <wp:effectExtent l="0" t="0" r="0" b="0"/>
                <wp:wrapNone/>
                <wp:docPr id="8" name="Frame8"/>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120" w:after="24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CONDENSED CONSOLIDATED STATEMENTS OF CASH FLOWS (UNAUDITED)</w:t>
      </w:r>
    </w:p>
    <w:p>
      <w:pPr>
        <w:pStyle w:val="TextBody"/>
        <w:bidi w:val="0"/>
        <w:spacing w:before="0" w:after="0"/>
        <w:ind w:left="0" w:right="0" w:firstLine="720"/>
        <w:jc w:val="left"/>
        <w:rPr/>
      </w:pPr>
      <w:r>
        <w:rPr/>
      </w:r>
    </w:p>
    <w:tbl>
      <w:tblPr>
        <w:tblW w:w="9248" w:type="dxa"/>
        <w:jc w:val="left"/>
        <w:tblInd w:w="0" w:type="dxa"/>
        <w:tblLayout w:type="fixed"/>
        <w:tblCellMar>
          <w:top w:w="28" w:type="dxa"/>
          <w:left w:w="28" w:type="dxa"/>
          <w:bottom w:w="28" w:type="dxa"/>
          <w:right w:w="28" w:type="dxa"/>
        </w:tblCellMar>
      </w:tblPr>
      <w:tblGrid>
        <w:gridCol w:w="2567"/>
        <w:gridCol w:w="2253"/>
        <w:gridCol w:w="2274"/>
        <w:gridCol w:w="196"/>
        <w:gridCol w:w="631"/>
        <w:gridCol w:w="109"/>
        <w:gridCol w:w="109"/>
        <w:gridCol w:w="109"/>
        <w:gridCol w:w="109"/>
        <w:gridCol w:w="196"/>
        <w:gridCol w:w="541"/>
        <w:gridCol w:w="154"/>
      </w:tblGrid>
      <w:tr>
        <w:trPr/>
        <w:tc>
          <w:tcPr>
            <w:tcW w:w="2567"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70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7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left"/>
              <w:rPr>
                <w:rFonts w:ascii="Arial;sans-serif" w:hAnsi="Arial;sans-serif"/>
                <w:b/>
                <w:color w:val="000000"/>
                <w:sz w:val="16"/>
              </w:rPr>
            </w:pPr>
            <w:r>
              <w:rPr>
                <w:rFonts w:ascii="Arial;sans-serif" w:hAnsi="Arial;sans-serif"/>
                <w:b/>
                <w:color w:val="000000"/>
                <w:sz w:val="16"/>
              </w:rPr>
              <w:t>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income to net cash (used in)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Noncash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Dividends received from equity method investees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Losses on asset impairment, disposals and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Gains on settlement of asset retirement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Unrealized losses on foreign currency transactions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Unrealized loss on derivative financial instruments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on cash of changes in operating assets and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Trade 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Grower fruit advances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receivables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taxes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 and accrued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Grower payables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Arial;sans-serif" w:hAnsi="Arial;sans-serif"/>
                <w:b/>
                <w:color w:val="000000"/>
                <w:sz w:val="16"/>
              </w:rPr>
            </w:pPr>
            <w:r>
              <w:rPr>
                <w:rFonts w:ascii="Arial;sans-serif" w:hAnsi="Arial;sans-serif"/>
                <w:b/>
                <w:color w:val="000000"/>
                <w:sz w:val="16"/>
              </w:rPr>
              <w:t>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sale of 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paid for acquisition of Calavo, net of cash acquired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Arial;sans-serif" w:hAnsi="Arial;sans-serif"/>
                <w:b/>
                <w:color w:val="000000"/>
                <w:sz w:val="16"/>
              </w:rPr>
            </w:pPr>
            <w:r>
              <w:rPr>
                <w:rFonts w:ascii="Arial;sans-serif" w:hAnsi="Arial;sans-serif"/>
                <w:b/>
                <w:color w:val="000000"/>
                <w:sz w:val="16"/>
              </w:rPr>
              <w:t>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Borrowings on revolving credit facility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on revolving credit facility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short-term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Repayment of short-term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Borrowings under long-term debt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 of debt restructuring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long-term debt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finance lease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for long-term supplier financing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to noncontrolling interest holder for long-term supply financing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loan from noncontrolling interest holder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loans due to noncontrolling interest holder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of minimum withholding taxes on net share settlement of equity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Exercise of 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13360"/>
                <wp:effectExtent l="0" t="0" r="0" b="0"/>
                <wp:wrapNone/>
                <wp:docPr id="9" name="Frame9"/>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120" w:after="240"/>
        <w:jc w:val="left"/>
        <w:rPr/>
      </w:pPr>
      <w:r>
        <w:rPr/>
      </w:r>
    </w:p>
    <w:tbl>
      <w:tblPr>
        <w:tblW w:w="10205" w:type="dxa"/>
        <w:jc w:val="left"/>
        <w:tblInd w:w="0" w:type="dxa"/>
        <w:tblLayout w:type="fixed"/>
        <w:tblCellMar>
          <w:top w:w="28" w:type="dxa"/>
          <w:left w:w="28" w:type="dxa"/>
          <w:bottom w:w="28" w:type="dxa"/>
          <w:right w:w="28" w:type="dxa"/>
        </w:tblCellMar>
      </w:tblPr>
      <w:tblGrid>
        <w:gridCol w:w="2998"/>
        <w:gridCol w:w="2594"/>
        <w:gridCol w:w="2608"/>
        <w:gridCol w:w="196"/>
        <w:gridCol w:w="556"/>
        <w:gridCol w:w="109"/>
        <w:gridCol w:w="109"/>
        <w:gridCol w:w="109"/>
        <w:gridCol w:w="109"/>
        <w:gridCol w:w="196"/>
        <w:gridCol w:w="466"/>
        <w:gridCol w:w="155"/>
      </w:tblGrid>
      <w:tr>
        <w:trPr/>
        <w:tc>
          <w:tcPr>
            <w:tcW w:w="2998"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82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8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and retirement of common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8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decrease in cash, cash equivalents and restricted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Summary of cash, cash equivalents and restricted cash reported within the condensed consolidated balance sheets: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820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cash, cash equivalents, and restricted cash shown in the condensed consolidated statements of cash flows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46.6 </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13360"/>
                <wp:effectExtent l="0" t="0" r="0" b="0"/>
                <wp:wrapNone/>
                <wp:docPr id="10" name="Frame10"/>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     General</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Business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Mission Produce, Inc. together with its consolidated subsidiaries (“Mission,” “the Company,” “we,” “us” or “our”), is a global leader in the avocado industry. The Company’s expertise lies in the farming, packaging, marketing and distribution of avocados to food retailers, distributors and produce wholesalers worldwide. The Company procures avocados principally from California, Mexico and Peru. Through our various operating facilities, we grow, sort, pack, bag and ripen avocados and a small amount of other fruits for distribution to domestic and international markets. We also process and package guacamole and related products sold at retail locations and to food service operators. We report our results of operations in four operating segments: Marketing &amp; Distribution, Prepared Foods, International Farming and Blueberries (see Note 13).</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Basis of presentation and consolidation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unaudited interim condensed consolidated financial statements are presented in accordance with accounting principles generally accepted in the United States of America (“U.S. GAAP”) for interim financial information and include the Company’s consolidated domestic and international subsidiaries and variable interest entity (“VIE”) for which we are the primary beneficiary and have a controlling interest. Certain information and disclosures normally included in annual consolidated financial statements prepared in accordance with U.S. GAAP have been condensed or omitted. Accordingly, these unaudited interim condensed consolidated financial statements and accompanying footnotes should be read in conjunction with the Company’s Annual Report for the year ended October 31, 2025. In the opinion of management, all adjustments, of a normal recurring nature, considered necessary for a fair statement have been included in the unaudited condensed consolidated financial statements. Interim results of operations are not necessarily indicative of future results, including results that may be expected for the twelve months ended October 31, 2026.</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Certain reclassifications have been made to previously reported balances in the unaudited condensed consolidated statements of operations in order to conform to current period presentation.</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Recently issued accounting standards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December 2025, the Financial Accounting Standards Board (“FASB”) issued Accounting Standards Update (“ASU”) 2025-11, Interim Reporting (Topic 270) Narrow-Scope Improvements. The amendments in this Update clarify interim disclosure requirements and the applicability of Topic 270. The objective of the update is to provide clarity about current interim requirements. The amendments in this Update also include a disclosure principle that requires entities to disclose events since the end of the last annual reporting period that have a material impact on the entity. The amendments in this ASU are required to be adopted for interim periods within annual reporting periods beginning after December 15, 2027. Early adoption is permitted. We are currently evaluating the impact of adoption on our financial disclosures.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November 2024, and as updated in January 2025, the FASB issued ASU 2024-03, Income Statement—Reporting Comprehensive Income—Expense Disaggregation Disclosures. The ASU requires that an entity disclose additional information about specific expense categories in the notes to financial statements at interim and annual reporting periods. This information is generally not presented in the financial statements today. The amendments in this ASU are required to be adopted for fiscal years beginning after December 15, 2026, and interim periods within annual reporting periods beginning after December 15, 2027. Early adoption is permitted. The amendments should be applied either (1) prospectively to financial statements issued for reporting periods after the effective date of this update or (2) retrospectively to any or all prior periods presented in the financial statements. We are currently evaluating the impact of adoption on our financial disclosures.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December 2023, the FASB issued ASU 2023-09, Income Taxes (Topic 740)—Improvements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Early adoption is permitted for annual financial statements that have not yet been issued. The amendments should be applied on a prospective basis although retrospective application is permitted. We are currently evaluating the impact of adoption on our financial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2.    Business Combination with Calavo Growers Inc.</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May 28, 2026, we consummated our acquisition of 100% of the outstanding common stock of Calavo Growers Inc. (“Calavo”). Calavo is a leading provider of fresh avocados, tomatoes, papayas, and value-added prepared foods, including a variety of ready-to-eat products such as guacamole and salsas. Its products are sold under the Calavo brand name, proprietary sub-brands, as well as private labels and store brands. The transaction enhances our position in the North American avocado category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13360"/>
                <wp:effectExtent l="0" t="0" r="0" b="0"/>
                <wp:wrapNone/>
                <wp:docPr id="11" name="Frame1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 xml:space="preserve">expanded supply reliability across Mexico and California. The transaction also represents our entry into the prepared food sector, complementing our existing value-added avocado business. The transaction also provides a significant value opportunity for us to realize cost synergies and SG&amp;A savings.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preliminary value of consideration transferred totaled approximately $466 million, which was comprised of 17,530,762 shares of our common stock and approximately $269 million in cash. </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 xml:space="preserve">Preliminary purchase price allocation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unaudited condensed consolidated balance sheets reflect the preliminary allocation of the purchase consideration to Calavo’s identifiable net assets acquired. The preliminary allocation is based on management’s estimates which are subject to change within the allowable measurement period from the acquisition date.</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Goodwill represents the excess of the purchase price over the net of the acquisition-date values of the identifiable assets and liabilities assumed. The goodwill is attributable to cost synergies expected from combining the operations of Mission Produce and Calavo. The goodwill recognized is not expected to be deductible for income tax purposes.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preliminary amounts of identifiable assets acquired and liabilities assumed and fair value of noncontrolling interest as of the acquisition date were as follows.</w:t>
      </w:r>
    </w:p>
    <w:p>
      <w:pPr>
        <w:pStyle w:val="TextBody"/>
        <w:bidi w:val="0"/>
        <w:spacing w:before="0" w:after="0"/>
        <w:ind w:left="0" w:right="0" w:firstLine="720"/>
        <w:jc w:val="left"/>
        <w:rPr/>
      </w:pPr>
      <w:r>
        <w:rPr/>
      </w:r>
    </w:p>
    <w:tbl>
      <w:tblPr>
        <w:tblW w:w="6659" w:type="dxa"/>
        <w:jc w:val="left"/>
        <w:tblInd w:w="0" w:type="dxa"/>
        <w:tblLayout w:type="fixed"/>
        <w:tblCellMar>
          <w:top w:w="28" w:type="dxa"/>
          <w:left w:w="28" w:type="dxa"/>
          <w:bottom w:w="28" w:type="dxa"/>
          <w:right w:w="28" w:type="dxa"/>
        </w:tblCellMar>
      </w:tblPr>
      <w:tblGrid>
        <w:gridCol w:w="2016"/>
        <w:gridCol w:w="1772"/>
        <w:gridCol w:w="1776"/>
        <w:gridCol w:w="237"/>
        <w:gridCol w:w="672"/>
        <w:gridCol w:w="186"/>
      </w:tblGrid>
      <w:tr>
        <w:trPr/>
        <w:tc>
          <w:tcPr>
            <w:tcW w:w="2016"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(in millions)</w:t>
            </w:r>
          </w:p>
        </w:tc>
      </w:tr>
      <w:tr>
        <w:trPr/>
        <w:tc>
          <w:tcPr>
            <w:tcW w:w="5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Fair value of consideration transferred</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466.0 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Recognized amounts of identifiable assets acquired and liabilities assumed:</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Inventory</w:t>
            </w:r>
            <w:r>
              <w:rPr>
                <w:rFonts w:ascii="Arial;sans-serif" w:hAnsi="Arial;sans-serif"/>
                <w:b w:val="false"/>
                <w:color w:val="000000"/>
                <w:sz w:val="10"/>
              </w:rPr>
              <w:t>(1)</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Property, plant and equipment</w:t>
            </w:r>
            <w:r>
              <w:rPr>
                <w:rFonts w:ascii="Arial;sans-serif" w:hAnsi="Arial;sans-serif"/>
                <w:b w:val="false"/>
                <w:color w:val="000000"/>
                <w:sz w:val="10"/>
              </w:rPr>
              <w:t>(2)</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Intangible assets</w:t>
            </w:r>
            <w:r>
              <w:rPr>
                <w:rFonts w:ascii="Arial;sans-serif" w:hAnsi="Arial;sans-serif"/>
                <w:b w:val="false"/>
                <w:color w:val="000000"/>
                <w:sz w:val="10"/>
              </w:rPr>
              <w:t>(3)</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Trademarks and trade name (7-year useful life)</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Customer-related intangible (12-years useful life)</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Other assets</w:t>
            </w:r>
            <w:r>
              <w:rPr>
                <w:rFonts w:ascii="Arial;sans-serif" w:hAnsi="Arial;sans-serif"/>
                <w:b w:val="false"/>
                <w:color w:val="000000"/>
                <w:sz w:val="10"/>
              </w:rPr>
              <w:t>(4)</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tax liability</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Other liabilities</w:t>
            </w:r>
            <w:r>
              <w:rPr>
                <w:rFonts w:ascii="Arial;sans-serif" w:hAnsi="Arial;sans-serif"/>
                <w:b w:val="false"/>
                <w:color w:val="000000"/>
                <w:sz w:val="10"/>
              </w:rPr>
              <w:t>(5)</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identifiable net assets</w:t>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239.2 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Noncontrolling interest</w:t>
            </w:r>
            <w:r>
              <w:rPr>
                <w:rFonts w:ascii="Arial;sans-serif" w:hAnsi="Arial;sans-serif"/>
                <w:b w:val="false"/>
                <w:color w:val="000000"/>
                <w:sz w:val="10"/>
              </w:rPr>
              <w:t>(6)</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228.9 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466.0 </w:t>
            </w:r>
          </w:p>
        </w:tc>
        <w:tc>
          <w:tcPr>
            <w:tcW w:w="1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(1)Inventory was valued using an approach based upon expected sales value, less direct costs associated with the sale of the inventory and an allocation of profit margins between the buyer and seller.</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(2)Property, plant and equipment was valued using a variety of approaches, based on the nature of the assets. Real property was valued using the market approach. Personal property was valued using either the market approach or cost approach, depending on the availability of market pricing data.</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(3)Trademarks and tradenames were valued using the relief-from-royalty approach and the customer-related intangible was valued using the multi-period excess-earnings method. Significant inputs to these models included: long-term forecast of revenues, operating expenses, net income, and capital expenditures, and a discount rate of 9%.</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(4)Other assets include the fair value of receivables for Mexican value-added tax (“VAT”) of $25.9 million. The fair value of Mexican VAT receivables is a level 3 measurement in the fair value hierarchy, which was valued using a probability-weighted expected return.</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 xml:space="preserve">(5)Other liabilities include $27.5 million of uncertain tax positions, accounted for under ASC 740. Refer to Note 8 for more information. </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(6)The fair value of the noncontrolling interest, also a level 3 measurement in the fair value hierarchy, was determined by applying the market approach under the guideline publicly-traded companies method.</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Supplemental Pro Forma Information (Unaudited)</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following unaudited pro forma summary presents consolidated information of Mission Produce as if the business combination had occurred on November 1, 2024. These results have been calculated to reflect additional depreciation and amortization that would have been charged assuming the fair value adjustments to Calavo had been applied from November 1, 2024. In the nine months ended July 31, 2026, we incurred $47.3 million of acquisition-related costs. These expenses are included in selling, general and administrative expenses in the consolidated statement of operations for the nine months ended July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13360"/>
                <wp:effectExtent l="0" t="0" r="0" b="0"/>
                <wp:wrapNone/>
                <wp:docPr id="12" name="Frame1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The fiscal 2026 supplemental pro forma earnings were adjusted to exclude the $47.3 million of acquisition costs, and are instead reflected in pro forma earnings for the nine months ended July 31, 2025.</w:t>
      </w:r>
    </w:p>
    <w:p>
      <w:pPr>
        <w:pStyle w:val="TextBody"/>
        <w:bidi w:val="0"/>
        <w:spacing w:before="0" w:after="0"/>
        <w:jc w:val="left"/>
        <w:rPr/>
      </w:pPr>
      <w:r>
        <w:rPr/>
      </w:r>
    </w:p>
    <w:p>
      <w:pPr>
        <w:pStyle w:val="TextBody"/>
        <w:bidi w:val="0"/>
        <w:spacing w:before="0" w:after="0"/>
        <w:jc w:val="left"/>
        <w:rPr/>
      </w:pPr>
      <w:r>
        <w:rPr/>
      </w:r>
    </w:p>
    <w:tbl>
      <w:tblPr>
        <w:tblW w:w="5685" w:type="dxa"/>
        <w:jc w:val="left"/>
        <w:tblInd w:w="0" w:type="dxa"/>
        <w:tblLayout w:type="fixed"/>
        <w:tblCellMar>
          <w:top w:w="28" w:type="dxa"/>
          <w:left w:w="28" w:type="dxa"/>
          <w:bottom w:w="28" w:type="dxa"/>
          <w:right w:w="28" w:type="dxa"/>
        </w:tblCellMar>
      </w:tblPr>
      <w:tblGrid>
        <w:gridCol w:w="342"/>
        <w:gridCol w:w="300"/>
        <w:gridCol w:w="303"/>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69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2025</w:t>
            </w:r>
          </w:p>
        </w:tc>
      </w:tr>
      <w:tr>
        <w:trPr/>
        <w:tc>
          <w:tcPr>
            <w:tcW w:w="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Earnings</w:t>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(19.9)</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results of Calavo for the three and nine months ended July 31, 2026 are not available on a pro forma basis due to its integration into Mission Produce’s consolidated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3.     Inventory</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Major classes of inventory were as follows:</w:t>
      </w:r>
    </w:p>
    <w:p>
      <w:pPr>
        <w:pStyle w:val="TextBody"/>
        <w:bidi w:val="0"/>
        <w:spacing w:before="0" w:after="0"/>
        <w:ind w:left="0" w:right="0" w:firstLine="720"/>
        <w:jc w:val="left"/>
        <w:rPr/>
      </w:pPr>
      <w:r>
        <w:rPr/>
      </w:r>
    </w:p>
    <w:tbl>
      <w:tblPr>
        <w:tblW w:w="5635" w:type="dxa"/>
        <w:jc w:val="left"/>
        <w:tblInd w:w="0" w:type="dxa"/>
        <w:tblLayout w:type="fixed"/>
        <w:tblCellMar>
          <w:top w:w="28" w:type="dxa"/>
          <w:left w:w="28" w:type="dxa"/>
          <w:bottom w:w="28" w:type="dxa"/>
          <w:right w:w="28" w:type="dxa"/>
        </w:tblCellMar>
      </w:tblPr>
      <w:tblGrid>
        <w:gridCol w:w="988"/>
        <w:gridCol w:w="866"/>
        <w:gridCol w:w="875"/>
        <w:gridCol w:w="252"/>
        <w:gridCol w:w="717"/>
        <w:gridCol w:w="140"/>
        <w:gridCol w:w="109"/>
        <w:gridCol w:w="109"/>
        <w:gridCol w:w="109"/>
        <w:gridCol w:w="353"/>
        <w:gridCol w:w="840"/>
        <w:gridCol w:w="277"/>
      </w:tblGrid>
      <w:tr>
        <w:trPr/>
        <w:tc>
          <w:tcPr>
            <w:tcW w:w="98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2025</w:t>
            </w:r>
          </w:p>
        </w:tc>
      </w:tr>
      <w:tr>
        <w:trPr/>
        <w:tc>
          <w:tcPr>
            <w:tcW w:w="27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Finished goods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Crop growing costs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Packaging, supplies and ingredients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Inventory</w:t>
            </w:r>
          </w:p>
        </w:tc>
        <w:tc>
          <w:tcPr>
            <w:tcW w:w="2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141.3 </w:t>
            </w:r>
          </w:p>
        </w:tc>
        <w:tc>
          <w:tcPr>
            <w:tcW w:w="1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80.6 </w:t>
            </w:r>
          </w:p>
        </w:tc>
        <w:tc>
          <w:tcPr>
            <w:tcW w:w="2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4.    Goodwill and Intangible Assets, net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Goodwill</w:t>
      </w:r>
    </w:p>
    <w:p>
      <w:pPr>
        <w:pStyle w:val="TextBody"/>
        <w:bidi w:val="0"/>
        <w:spacing w:before="0" w:after="0"/>
        <w:ind w:left="0" w:right="0" w:firstLine="720"/>
        <w:jc w:val="left"/>
        <w:rPr/>
      </w:pPr>
      <w:r>
        <w:rPr/>
      </w:r>
    </w:p>
    <w:tbl>
      <w:tblPr>
        <w:tblW w:w="9126" w:type="dxa"/>
        <w:jc w:val="left"/>
        <w:tblInd w:w="0" w:type="dxa"/>
        <w:tblLayout w:type="fixed"/>
        <w:tblCellMar>
          <w:top w:w="28" w:type="dxa"/>
          <w:left w:w="28" w:type="dxa"/>
          <w:bottom w:w="28" w:type="dxa"/>
          <w:right w:w="28" w:type="dxa"/>
        </w:tblCellMar>
      </w:tblPr>
      <w:tblGrid>
        <w:gridCol w:w="938"/>
        <w:gridCol w:w="822"/>
        <w:gridCol w:w="835"/>
        <w:gridCol w:w="109"/>
        <w:gridCol w:w="109"/>
        <w:gridCol w:w="109"/>
        <w:gridCol w:w="109"/>
        <w:gridCol w:w="109"/>
        <w:gridCol w:w="109"/>
        <w:gridCol w:w="460"/>
        <w:gridCol w:w="1096"/>
        <w:gridCol w:w="258"/>
        <w:gridCol w:w="109"/>
        <w:gridCol w:w="109"/>
        <w:gridCol w:w="109"/>
        <w:gridCol w:w="255"/>
        <w:gridCol w:w="608"/>
        <w:gridCol w:w="143"/>
        <w:gridCol w:w="109"/>
        <w:gridCol w:w="109"/>
        <w:gridCol w:w="109"/>
        <w:gridCol w:w="266"/>
        <w:gridCol w:w="756"/>
        <w:gridCol w:w="148"/>
        <w:gridCol w:w="109"/>
        <w:gridCol w:w="109"/>
        <w:gridCol w:w="109"/>
        <w:gridCol w:w="196"/>
        <w:gridCol w:w="556"/>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International Farming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Blueberries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6"/>
              </w:rPr>
              <w:t>Unallocated</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Total</w:t>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Goodwill as of October 31,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Business combination with Calavo</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228.9 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Goodwill as of July 31,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2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228.9 </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268.3 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(1)Unallocated goodwill relates to the business combination with Calavo. Refer to Note 2 for information.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carrying amounts of goodwill as of both July 31, 2026 and October 31, 2025 were net of accumulated impairment losses of $49.5 million, attributable to the International Farming segment. Goodwill is tested for impairment on an annual basis in the fourth quarter, or when an event or changes in circumstances indicate that its carrying value may not be recoverable. Reporting unit determinations subsequent to the acquisition of Calavo have not yet been finalized as of July 31, 2026.</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Intangible assets, net</w:t>
      </w:r>
    </w:p>
    <w:tbl>
      <w:tblPr>
        <w:tblW w:w="4901" w:type="dxa"/>
        <w:jc w:val="left"/>
        <w:tblInd w:w="0" w:type="dxa"/>
        <w:tblLayout w:type="fixed"/>
        <w:tblCellMar>
          <w:top w:w="28" w:type="dxa"/>
          <w:left w:w="28" w:type="dxa"/>
          <w:bottom w:w="28" w:type="dxa"/>
          <w:right w:w="28" w:type="dxa"/>
        </w:tblCellMar>
      </w:tblPr>
      <w:tblGrid>
        <w:gridCol w:w="722"/>
        <w:gridCol w:w="634"/>
        <w:gridCol w:w="639"/>
        <w:gridCol w:w="252"/>
        <w:gridCol w:w="717"/>
        <w:gridCol w:w="140"/>
        <w:gridCol w:w="109"/>
        <w:gridCol w:w="109"/>
        <w:gridCol w:w="109"/>
        <w:gridCol w:w="380"/>
        <w:gridCol w:w="789"/>
        <w:gridCol w:w="301"/>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2025</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Intangible asset, gross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Accumulated amortization</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Intangible asset, net</w:t>
            </w:r>
          </w:p>
        </w:tc>
        <w:tc>
          <w:tcPr>
            <w:tcW w:w="2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100.7 </w:t>
            </w:r>
          </w:p>
        </w:tc>
        <w:tc>
          <w:tcPr>
            <w:tcW w:w="1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Intangible assets, net were acquired from Calavo and consist of trademarks and tradenames and customer relationships. The useful lives of these assets are 7 years and 12 years, respectively. Amortization expense was $1.5 million for both the three and nine months ended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13360"/>
                <wp:effectExtent l="0" t="0" r="0" b="0"/>
                <wp:wrapNone/>
                <wp:docPr id="13" name="Frame1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5.    Details of Certain Account Balances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assets</w:t>
      </w:r>
    </w:p>
    <w:p>
      <w:pPr>
        <w:pStyle w:val="TextBody"/>
        <w:bidi w:val="0"/>
        <w:spacing w:before="0" w:after="0"/>
        <w:ind w:left="0" w:right="0" w:firstLine="720"/>
        <w:jc w:val="left"/>
        <w:rPr/>
      </w:pPr>
      <w:r>
        <w:rPr/>
      </w:r>
    </w:p>
    <w:tbl>
      <w:tblPr>
        <w:tblW w:w="6162" w:type="dxa"/>
        <w:jc w:val="left"/>
        <w:tblInd w:w="0" w:type="dxa"/>
        <w:tblLayout w:type="fixed"/>
        <w:tblCellMar>
          <w:top w:w="28" w:type="dxa"/>
          <w:left w:w="28" w:type="dxa"/>
          <w:bottom w:w="28" w:type="dxa"/>
          <w:right w:w="28" w:type="dxa"/>
        </w:tblCellMar>
      </w:tblPr>
      <w:tblGrid>
        <w:gridCol w:w="1177"/>
        <w:gridCol w:w="1033"/>
        <w:gridCol w:w="1045"/>
        <w:gridCol w:w="282"/>
        <w:gridCol w:w="671"/>
        <w:gridCol w:w="157"/>
        <w:gridCol w:w="109"/>
        <w:gridCol w:w="109"/>
        <w:gridCol w:w="109"/>
        <w:gridCol w:w="353"/>
        <w:gridCol w:w="840"/>
        <w:gridCol w:w="277"/>
      </w:tblGrid>
      <w:tr>
        <w:trPr/>
        <w:tc>
          <w:tcPr>
            <w:tcW w:w="117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(In millions)</w:t>
            </w:r>
          </w:p>
        </w:tc>
        <w:tc>
          <w:tcPr>
            <w:tcW w:w="1110" w:type="dxa"/>
            <w:gridSpan w:val="3"/>
            <w:tcBorders/>
            <w:tcMar>
              <w:top w:w="0" w:type="dxa"/>
              <w:left w:w="0" w:type="dxa"/>
              <w:bottom w:w="0" w:type="dxa"/>
              <w:right w:w="0" w:type="dxa"/>
            </w:tcMar>
            <w:vAlign w:val="center"/>
          </w:tcPr>
          <w:p>
            <w:pPr>
              <w:pStyle w:val="TableContents"/>
              <w:bidi w:val="0"/>
              <w:spacing w:lineRule="auto" w:line="288" w:before="60" w:after="60"/>
              <w:jc w:val="right"/>
              <w:rPr>
                <w:rFonts w:ascii="Arial;sans-serif" w:hAnsi="Arial;sans-serif"/>
                <w:b/>
                <w:color w:val="000000"/>
                <w:sz w:val="16"/>
              </w:rPr>
            </w:pPr>
            <w:r>
              <w:rPr>
                <w:rFonts w:ascii="Arial;sans-serif" w:hAnsi="Arial;sans-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60" w:after="60"/>
              <w:jc w:val="right"/>
              <w:rPr>
                <w:rFonts w:ascii="Arial;sans-serif" w:hAnsi="Arial;sans-serif"/>
                <w:b/>
                <w:color w:val="000000"/>
                <w:sz w:val="16"/>
              </w:rPr>
            </w:pPr>
            <w:r>
              <w:rPr>
                <w:rFonts w:ascii="Arial;sans-serif" w:hAnsi="Arial;sans-serif"/>
                <w:b/>
                <w:color w:val="000000"/>
                <w:sz w:val="16"/>
              </w:rPr>
              <w:t>October 31, 2025</w:t>
            </w:r>
          </w:p>
        </w:tc>
      </w:tr>
      <w:tr>
        <w:trPr/>
        <w:tc>
          <w:tcPr>
            <w:tcW w:w="3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Long-term VAT</w:t>
            </w:r>
            <w:r>
              <w:rPr>
                <w:rFonts w:ascii="Arial;sans-serif" w:hAnsi="Arial;sans-serif"/>
                <w:b w:val="false"/>
                <w:color w:val="000000"/>
                <w:sz w:val="10"/>
              </w:rPr>
              <w:t>(1)</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60" w:after="60"/>
              <w:jc w:val="righ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60" w:after="60"/>
              <w:jc w:val="right"/>
              <w:rPr>
                <w:rFonts w:ascii="Arial;sans-serif" w:hAnsi="Arial;sans-serif"/>
                <w:b w:val="false"/>
                <w:color w:val="000000"/>
                <w:sz w:val="16"/>
              </w:rPr>
            </w:pPr>
            <w:r>
              <w:rPr>
                <w:rFonts w:ascii="Arial;sans-serif" w:hAnsi="Arial;sans-serif"/>
                <w:b w:val="false"/>
                <w:color w:val="000000"/>
                <w:sz w:val="16"/>
              </w:rPr>
              <w:t>40.0 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60" w:after="60"/>
              <w:jc w:val="righ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60" w:after="60"/>
              <w:jc w:val="right"/>
              <w:rPr>
                <w:rFonts w:ascii="Arial;sans-serif" w:hAnsi="Arial;sans-serif"/>
                <w:b w:val="false"/>
                <w:color w:val="000000"/>
                <w:sz w:val="16"/>
              </w:rPr>
            </w:pPr>
            <w:r>
              <w:rPr>
                <w:rFonts w:ascii="Arial;sans-serif" w:hAnsi="Arial;sans-serif"/>
                <w:b w:val="false"/>
                <w:color w:val="000000"/>
                <w:sz w:val="16"/>
              </w:rPr>
              <w:t>11.2 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60" w:after="60"/>
              <w:jc w:val="right"/>
              <w:rPr>
                <w:rFonts w:ascii="Arial;sans-serif" w:hAnsi="Arial;sans-serif"/>
                <w:b w:val="false"/>
                <w:color w:val="000000"/>
                <w:sz w:val="16"/>
              </w:rPr>
            </w:pPr>
            <w:r>
              <w:rPr>
                <w:rFonts w:ascii="Arial;sans-serif" w:hAnsi="Arial;sans-serif"/>
                <w:b w:val="false"/>
                <w:color w:val="000000"/>
                <w:sz w:val="16"/>
              </w:rPr>
              <w:t>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60" w:after="60"/>
              <w:jc w:val="right"/>
              <w:rPr>
                <w:rFonts w:ascii="Arial;sans-serif" w:hAnsi="Arial;sans-serif"/>
                <w:b w:val="false"/>
                <w:color w:val="000000"/>
                <w:sz w:val="16"/>
              </w:rPr>
            </w:pPr>
            <w:r>
              <w:rPr>
                <w:rFonts w:ascii="Arial;sans-serif" w:hAnsi="Arial;sans-serif"/>
                <w:b w:val="false"/>
                <w:color w:val="000000"/>
                <w:sz w:val="16"/>
              </w:rPr>
              <w:t>4.3 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Marketable securities and other investment</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60" w:after="60"/>
              <w:jc w:val="right"/>
              <w:rPr>
                <w:rFonts w:ascii="Arial;sans-serif" w:hAnsi="Arial;sans-serif"/>
                <w:b w:val="false"/>
                <w:color w:val="000000"/>
                <w:sz w:val="16"/>
              </w:rPr>
            </w:pPr>
            <w:r>
              <w:rPr>
                <w:rFonts w:ascii="Arial;sans-serif" w:hAnsi="Arial;sans-serif"/>
                <w:b w:val="false"/>
                <w:color w:val="000000"/>
                <w:sz w:val="16"/>
              </w:rPr>
              <w:t>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60" w:after="60"/>
              <w:jc w:val="right"/>
              <w:rPr>
                <w:rFonts w:ascii="Arial;sans-serif" w:hAnsi="Arial;sans-serif"/>
                <w:b w:val="false"/>
                <w:color w:val="000000"/>
                <w:sz w:val="16"/>
              </w:rPr>
            </w:pPr>
            <w:r>
              <w:rPr>
                <w:rFonts w:ascii="Arial;sans-serif" w:hAnsi="Arial;sans-serif"/>
                <w:b w:val="false"/>
                <w:color w:val="000000"/>
                <w:sz w:val="16"/>
              </w:rPr>
              <w:t>5.2 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Supplier advances and prepaids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60" w:after="60"/>
              <w:jc w:val="right"/>
              <w:rPr>
                <w:rFonts w:ascii="Arial;sans-serif" w:hAnsi="Arial;sans-serif"/>
                <w:b w:val="false"/>
                <w:color w:val="000000"/>
                <w:sz w:val="16"/>
              </w:rPr>
            </w:pPr>
            <w:r>
              <w:rPr>
                <w:rFonts w:ascii="Arial;sans-serif" w:hAnsi="Arial;sans-serif"/>
                <w:b w:val="false"/>
                <w:color w:val="000000"/>
                <w:sz w:val="16"/>
              </w:rPr>
              <w:t>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60" w:after="60"/>
              <w:jc w:val="right"/>
              <w:rPr>
                <w:rFonts w:ascii="Arial;sans-serif" w:hAnsi="Arial;sans-serif"/>
                <w:b w:val="false"/>
                <w:color w:val="000000"/>
                <w:sz w:val="16"/>
              </w:rPr>
            </w:pPr>
            <w:r>
              <w:rPr>
                <w:rFonts w:ascii="Arial;sans-serif" w:hAnsi="Arial;sans-serif"/>
                <w:b w:val="false"/>
                <w:color w:val="000000"/>
                <w:sz w:val="16"/>
              </w:rPr>
              <w:t>5.3 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Other</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60" w:after="60"/>
              <w:jc w:val="right"/>
              <w:rPr>
                <w:rFonts w:ascii="Arial;sans-serif" w:hAnsi="Arial;sans-serif"/>
                <w:b w:val="false"/>
                <w:color w:val="000000"/>
                <w:sz w:val="16"/>
              </w:rPr>
            </w:pPr>
            <w:r>
              <w:rPr>
                <w:rFonts w:ascii="Arial;sans-serif" w:hAnsi="Arial;sans-serif"/>
                <w:b w:val="false"/>
                <w:color w:val="000000"/>
                <w:sz w:val="16"/>
              </w:rPr>
              <w:t>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60" w:after="60"/>
              <w:jc w:val="right"/>
              <w:rPr>
                <w:rFonts w:ascii="Arial;sans-serif" w:hAnsi="Arial;sans-serif"/>
                <w:b w:val="false"/>
                <w:color w:val="000000"/>
                <w:sz w:val="16"/>
              </w:rPr>
            </w:pPr>
            <w:r>
              <w:rPr>
                <w:rFonts w:ascii="Arial;sans-serif" w:hAnsi="Arial;sans-serif"/>
                <w:b w:val="false"/>
                <w:color w:val="000000"/>
                <w:sz w:val="16"/>
              </w:rPr>
              <w:t>0.5 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Other assets</w:t>
            </w:r>
          </w:p>
        </w:tc>
        <w:tc>
          <w:tcPr>
            <w:tcW w:w="2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60" w:after="60"/>
              <w:jc w:val="righ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60" w:after="60"/>
              <w:jc w:val="right"/>
              <w:rPr>
                <w:rFonts w:ascii="Arial;sans-serif" w:hAnsi="Arial;sans-serif"/>
                <w:b w:val="false"/>
                <w:color w:val="000000"/>
                <w:sz w:val="16"/>
              </w:rPr>
            </w:pPr>
            <w:r>
              <w:rPr>
                <w:rFonts w:ascii="Arial;sans-serif" w:hAnsi="Arial;sans-serif"/>
                <w:b w:val="false"/>
                <w:color w:val="000000"/>
                <w:sz w:val="16"/>
              </w:rPr>
              <w:t>56.4 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60" w:after="60"/>
              <w:jc w:val="righ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60" w:after="60"/>
              <w:jc w:val="right"/>
              <w:rPr>
                <w:rFonts w:ascii="Arial;sans-serif" w:hAnsi="Arial;sans-serif"/>
                <w:b w:val="false"/>
                <w:color w:val="000000"/>
                <w:sz w:val="16"/>
              </w:rPr>
            </w:pPr>
            <w:r>
              <w:rPr>
                <w:rFonts w:ascii="Arial;sans-serif" w:hAnsi="Arial;sans-serif"/>
                <w:b w:val="false"/>
                <w:color w:val="000000"/>
                <w:sz w:val="16"/>
              </w:rPr>
              <w:t>26.5 </w:t>
            </w:r>
          </w:p>
        </w:tc>
        <w:tc>
          <w:tcPr>
            <w:tcW w:w="2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 xml:space="preserve">(1)Value-added tax paid on certain expenditures that are reclaimable from governments as they relate to the exportation of goods. Primarily relates to Mexico (refer to Note 8 for more information).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Accrued expenses</w:t>
      </w:r>
    </w:p>
    <w:p>
      <w:pPr>
        <w:pStyle w:val="TextBody"/>
        <w:bidi w:val="0"/>
        <w:spacing w:before="0" w:after="0"/>
        <w:ind w:left="0" w:right="0" w:firstLine="720"/>
        <w:jc w:val="left"/>
        <w:rPr/>
      </w:pPr>
      <w:r>
        <w:rPr/>
      </w:r>
    </w:p>
    <w:tbl>
      <w:tblPr>
        <w:tblW w:w="6132" w:type="dxa"/>
        <w:jc w:val="left"/>
        <w:tblInd w:w="0" w:type="dxa"/>
        <w:tblLayout w:type="fixed"/>
        <w:tblCellMar>
          <w:top w:w="28" w:type="dxa"/>
          <w:left w:w="28" w:type="dxa"/>
          <w:bottom w:w="28" w:type="dxa"/>
          <w:right w:w="28" w:type="dxa"/>
        </w:tblCellMar>
      </w:tblPr>
      <w:tblGrid>
        <w:gridCol w:w="1167"/>
        <w:gridCol w:w="1024"/>
        <w:gridCol w:w="1034"/>
        <w:gridCol w:w="282"/>
        <w:gridCol w:w="671"/>
        <w:gridCol w:w="157"/>
        <w:gridCol w:w="109"/>
        <w:gridCol w:w="109"/>
        <w:gridCol w:w="109"/>
        <w:gridCol w:w="353"/>
        <w:gridCol w:w="840"/>
        <w:gridCol w:w="277"/>
      </w:tblGrid>
      <w:tr>
        <w:trPr/>
        <w:tc>
          <w:tcPr>
            <w:tcW w:w="116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2025</w:t>
            </w:r>
          </w:p>
        </w:tc>
      </w:tr>
      <w:tr>
        <w:trPr/>
        <w:tc>
          <w:tcPr>
            <w:tcW w:w="3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Employee-related</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Compliance and regulatory</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Freight</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Outside fruit purchase</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VAT and local taxes payable</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Transaction advisory and integration costs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Asset retirement obligations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w:t>
            </w:r>
          </w:p>
        </w:tc>
        <w:tc>
          <w:tcPr>
            <w:tcW w:w="2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69.5 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2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long-term liabilities</w:t>
      </w:r>
    </w:p>
    <w:p>
      <w:pPr>
        <w:pStyle w:val="TextBody"/>
        <w:bidi w:val="0"/>
        <w:spacing w:before="0" w:after="0"/>
        <w:ind w:left="0" w:right="0" w:firstLine="720"/>
        <w:jc w:val="left"/>
        <w:rPr/>
      </w:pPr>
      <w:r>
        <w:rPr/>
      </w:r>
    </w:p>
    <w:tbl>
      <w:tblPr>
        <w:tblW w:w="6567" w:type="dxa"/>
        <w:jc w:val="left"/>
        <w:tblInd w:w="0" w:type="dxa"/>
        <w:tblLayout w:type="fixed"/>
        <w:tblCellMar>
          <w:top w:w="28" w:type="dxa"/>
          <w:left w:w="28" w:type="dxa"/>
          <w:bottom w:w="28" w:type="dxa"/>
          <w:right w:w="28" w:type="dxa"/>
        </w:tblCellMar>
      </w:tblPr>
      <w:tblGrid>
        <w:gridCol w:w="1324"/>
        <w:gridCol w:w="1162"/>
        <w:gridCol w:w="1174"/>
        <w:gridCol w:w="282"/>
        <w:gridCol w:w="671"/>
        <w:gridCol w:w="157"/>
        <w:gridCol w:w="109"/>
        <w:gridCol w:w="109"/>
        <w:gridCol w:w="109"/>
        <w:gridCol w:w="353"/>
        <w:gridCol w:w="840"/>
        <w:gridCol w:w="277"/>
      </w:tblGrid>
      <w:tr>
        <w:trPr/>
        <w:tc>
          <w:tcPr>
            <w:tcW w:w="132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2025</w:t>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Uncertain tax positions</w:t>
            </w:r>
            <w:r>
              <w:rPr>
                <w:rFonts w:ascii="Arial;sans-serif" w:hAnsi="Arial;sans-serif"/>
                <w:b w:val="false"/>
                <w:color w:val="000000"/>
                <w:sz w:val="10"/>
              </w:rPr>
              <w:t>(1)</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Employee-related</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Trade payables to noncontrolling interest holders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2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56.3 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2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(1)Includes uncertain tax positions related to both income taxes and other statutory tax reserves, plus related penalties and interest.</w:t>
      </w:r>
    </w:p>
    <w:p>
      <w:pPr>
        <w:pStyle w:val="TextBody"/>
        <w:bidi w:val="0"/>
        <w:spacing w:before="60" w:after="60"/>
        <w:ind w:left="0" w:right="0" w:firstLine="180"/>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(expense) income, net</w:t>
      </w:r>
    </w:p>
    <w:p>
      <w:pPr>
        <w:pStyle w:val="TextBody"/>
        <w:bidi w:val="0"/>
        <w:spacing w:before="0" w:after="0"/>
        <w:jc w:val="left"/>
        <w:rPr/>
      </w:pPr>
      <w:r>
        <w:rPr/>
      </w:r>
    </w:p>
    <w:tbl>
      <w:tblPr>
        <w:tblW w:w="7065" w:type="dxa"/>
        <w:jc w:val="left"/>
        <w:tblInd w:w="0" w:type="dxa"/>
        <w:tblLayout w:type="fixed"/>
        <w:tblCellMar>
          <w:top w:w="28" w:type="dxa"/>
          <w:left w:w="28" w:type="dxa"/>
          <w:bottom w:w="28" w:type="dxa"/>
          <w:right w:w="28" w:type="dxa"/>
        </w:tblCellMar>
      </w:tblPr>
      <w:tblGrid>
        <w:gridCol w:w="1107"/>
        <w:gridCol w:w="969"/>
        <w:gridCol w:w="984"/>
        <w:gridCol w:w="196"/>
        <w:gridCol w:w="451"/>
        <w:gridCol w:w="109"/>
        <w:gridCol w:w="109"/>
        <w:gridCol w:w="109"/>
        <w:gridCol w:w="109"/>
        <w:gridCol w:w="196"/>
        <w:gridCol w:w="451"/>
        <w:gridCol w:w="109"/>
        <w:gridCol w:w="109"/>
        <w:gridCol w:w="109"/>
        <w:gridCol w:w="109"/>
        <w:gridCol w:w="196"/>
        <w:gridCol w:w="451"/>
        <w:gridCol w:w="109"/>
        <w:gridCol w:w="109"/>
        <w:gridCol w:w="109"/>
        <w:gridCol w:w="109"/>
        <w:gridCol w:w="196"/>
        <w:gridCol w:w="406"/>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2025</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Gains on derivative financial instruments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 currency transaction loss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Dividend and interest income</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Debt restructuring fees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13360"/>
                <wp:effectExtent l="0" t="0" r="0" b="0"/>
                <wp:wrapNone/>
                <wp:docPr id="14" name="Frame1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amounts attributable to noncontrolling interest holders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Amounts included in trade accounts receivable due from noncontrolling interest holders were $4.8 million and $5.1 million as of July 31, 2026 and October 31, 2025, respectively. Amounts included in trade accounts payable due to noncontrolling interest holders were $6.4 million and $5.3 million as of July 31, 2026 and October 31, 2025, respectively.</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majority of sales from our Blueberries segment are to the noncontrolling interest holder under an exclusive marketing agreement. Purchases from our Marketing &amp; Distribution segment from noncontrolling interest holders were $0.7 million and zero for the three months ended July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6.      Variable Interest Entity</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Assets of our variable interest in our blueberry joint-venture may only be used to settle its own liabilities and creditors of the entity only have recourse for the entity’s liabilities. A summary of these balances, which are included in our condensed consolidated balance sheets, is as follows:</w:t>
      </w:r>
    </w:p>
    <w:p>
      <w:pPr>
        <w:pStyle w:val="TextBody"/>
        <w:bidi w:val="0"/>
        <w:spacing w:before="0" w:after="0"/>
        <w:ind w:left="0" w:right="0" w:firstLine="720"/>
        <w:jc w:val="left"/>
        <w:rPr/>
      </w:pPr>
      <w:r>
        <w:rPr/>
      </w:r>
    </w:p>
    <w:tbl>
      <w:tblPr>
        <w:tblW w:w="4407" w:type="dxa"/>
        <w:jc w:val="left"/>
        <w:tblInd w:w="0" w:type="dxa"/>
        <w:tblLayout w:type="fixed"/>
        <w:tblCellMar>
          <w:top w:w="28" w:type="dxa"/>
          <w:left w:w="28" w:type="dxa"/>
          <w:bottom w:w="28" w:type="dxa"/>
          <w:right w:w="28" w:type="dxa"/>
        </w:tblCellMar>
      </w:tblPr>
      <w:tblGrid>
        <w:gridCol w:w="543"/>
        <w:gridCol w:w="477"/>
        <w:gridCol w:w="480"/>
        <w:gridCol w:w="282"/>
        <w:gridCol w:w="671"/>
        <w:gridCol w:w="157"/>
        <w:gridCol w:w="109"/>
        <w:gridCol w:w="109"/>
        <w:gridCol w:w="109"/>
        <w:gridCol w:w="353"/>
        <w:gridCol w:w="840"/>
        <w:gridCol w:w="277"/>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2025</w:t>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assets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liabilities</w:t>
            </w:r>
          </w:p>
        </w:tc>
        <w:tc>
          <w:tcPr>
            <w:tcW w:w="95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27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7.     Debt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Credit facility</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Long-term debt under our Senior Credit Facility with Bank of America (“BoA”) Merrill Lynch consisted of the following: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753"/>
        <w:gridCol w:w="2412"/>
        <w:gridCol w:w="2439"/>
        <w:gridCol w:w="109"/>
        <w:gridCol w:w="109"/>
        <w:gridCol w:w="109"/>
        <w:gridCol w:w="212"/>
        <w:gridCol w:w="603"/>
        <w:gridCol w:w="118"/>
        <w:gridCol w:w="109"/>
        <w:gridCol w:w="109"/>
        <w:gridCol w:w="109"/>
        <w:gridCol w:w="242"/>
        <w:gridCol w:w="577"/>
        <w:gridCol w:w="195"/>
      </w:tblGrid>
      <w:tr>
        <w:trPr/>
        <w:tc>
          <w:tcPr>
            <w:tcW w:w="2753"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2025</w:t>
            </w:r>
          </w:p>
        </w:tc>
      </w:tr>
      <w:tr>
        <w:trPr/>
        <w:tc>
          <w:tcPr>
            <w:tcW w:w="7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Revolving line of credit. The interest rate is variable, based on SOFR plus a spread that varies with the Company’s leverage ratio. As of July 31, 2026 and October 31, 2025, the interest rate was 5.48% and 5.63%, respectively. Interest is payable monthly and principal is due in full on April 1, 2031.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Senior term loan (A-1). The interest rate is variable, based on SOFR plus a spread that varies with the Company’s leverage ratio. As of July 31, 2026 and October 31, 2025, the interest rate was 5.48% and 5.56%, respectively. Interest is payable monthly, principal is payable quarterly and due in full on April 1,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Senior term loan (A-2). The interest rate is variable, based on SOFR plus a spread that varies with the Company’s leverage ratio. As of July 31, 2026 and October 31, 2025, the interest rate was 5.73% and 5.81%, respectively. Interest is payable monthly, principal is payable quarterly and due in full on April 1,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long-term debt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402.1 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96.0 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Less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 net of debt issuance costs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95.8 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Less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 net of current portion</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388.9 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92.8 </w:t>
            </w:r>
          </w:p>
        </w:tc>
        <w:tc>
          <w:tcPr>
            <w:tcW w:w="1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credit facility requires the Company to comply with financial and other covenants, including limitations on investments, capital expenditures, dividend payments, amounts and types of liens and indebtedness, and material asset sales. The Company is also required to maintain certain leverage and fixed charge coverage ratios. As of July 31, 2026, the Company was in compliance with all financial covenants of the credit facility.</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Company may issue standby letters of credit through banking institutions. As of July 31, 2026, total letters of credit outstanding were $4.5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13360"/>
                <wp:effectExtent l="0" t="0" r="0" b="0"/>
                <wp:wrapNone/>
                <wp:docPr id="15" name="Frame15"/>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Certain of our consolidated subsidiaries may also enter into short-term bank borrowings or supplier financing programs from time to time. Short-term bank borrowings outstanding were zero as of July 31, 2026 and $4.5 million as of October 31, 2025, with weighted average interest rates of 8.7% as of October 31, 2025. Our Blueberries business also obtains loans from shareholders from time to time. Loans outstanding due to shareholders as of July 31, 2026 accrue interest at rates ranging from 5.0% to 6.5% and are expected to be repaid by the end of fiscal 2026.</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Interest rate swaps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From time to time, the Company may enter into interest rate swap contracts to hedge changes in variable interest rates on the principal value of the Company’s term loans. We account for interest rate swaps in accordance with ASC 815, Derivatives and Hedging, as amended, which requires the recognition of all derivative instruments as either assets or liabilities in the condensed consolidated balance sheets and measurement of those instruments at fair value. The Company did not designate the interest rate swaps as cash flow hedges, and as a result under the accounting guidance, changes in the fair value of the interest rate swaps were recorded in other (expense) income, net in the condensed consolidated statements of (loss) income and changes in the assets are presented in net cash (used in) provided by operating activities in the condensed consolidated statements of cash flow. As of July 31, 2026 and October 31, 2025, a notional amount of $10 million was outstanding, carrying a fixed SOFR rate of 4.47%. Refer to Note 10 for more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8.      Commitments and Contingencies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Litigation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are from time to time involved in legal proceedings and investigations arising in the ordinary course of business.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On October 21, 2024, a former temporary worker placed at the Company’s California packinghouse by a labor contractor utilized by the Company, filed a class action lawsuit in the Superior Court of the State of California for the County of Ventura, against us, alleging violations of certain wage and hour laws. Plaintiff sought class certification, payment of wages earned and owed, liquidated damages, penalties and fees, other damages as set forth in plaintiff’s lawsuit, and injunctive relief. A related lawsuit under the Private Attorneys General Act (“PAGA”) was also filed on December 16, 2024. On July 30, 2025, the Court granted the parties’ stipulation to dismiss the class action lawsuit and to submit the PAGA matter to mediation. The parties attended mediation on February 25, 2026. No resolution was reached at mediation. On July 17, 2026, the Company filed a motion to compel arbitration of plaintiff’s individual claims, including the individual PAGA claim, which the Court granted. The representative PAGA claim has been stayed pending resolution of the individual claims in arbitration. At this time, it is too soon to determine the outcome of the litigation. As a result, the Company has not accrued for any loss contingencies related to these claims because the amount and range of loss, if any, cannot currently be reasonably estimated.</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On November 6, 2024, the Organic Consumers Association filed a lawsuit in the Superior Court of the District of Columbia alleging the Company engaged in false and deceptive advertising in violation of the D.C. Consumer Protection Procedures Act by making representations about sustainable sourcing practices in connection with its sale of avocados (the “OCA matter”). Plaintiff sought declaratory and injunctive relief. The Court initially denied the Company’s motion to dismiss and permitted limited discovery regarding personal jurisdiction. Following the completion of that discovery, the Company renewed its motion to dismiss. On July 24, 2026, the Court granted the Company’s renewed motion to dismiss. On August 21, 2026, OCA filed a notice of appeal with the United States Court of Appeals for the Ninth Circuit. The Company intends to vigorously defend against the claims asserted in this matter. The Company has not accrued for any loss contingency related to this matter because the amount and range of loss, if any, cannot be reasonably estimated.</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On February 21, 2025, Kachuck Enterprises, Bantle Avocado Farm, Maskell Family Trust, and Northern Capital, Inc., owners and operators of avocado orchards located in California, filed a putative class action lawsuit in the United States District Court for the Central District of California against the Company and certain other avocado distributors, including Calavo, which became a wholly owned subsidiary of the Company on May 28, 2026 (the “Kachuck matter”). Plaintiffs alleged violations of California’s False Advertising Law, California’s Unfair Competition Law, and unjust enrichment related to defendants’ alleged representations that their avocados are sustainably and responsibly sourced. Plaintiffs sought injunctive relief, monetary and statutory damages, disgorgement of profits, and restitution. On February 25, 2026, Defendants filed a renewed motion to dismiss Plaintiffs’ second amended complaint, which the Court granted without leave to amend on June 3, 2026. On July 2, 2026, plaintiffs filed a notice of appeal with the United States Court of Appeals for the Ninth Circuit. The Company intends to vigorously defend against the claims asserted in this matter. The Company has not accrued for any loss contingency related to this matter because the amount and range of loss, if any, cannot be reasonably estimated.</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January 29, 2026, a former temporary worker placed at the Company’s California packinghouse by a labor contractor utilized by the Company, filed a class action lawsuit in the Superior Court of California for the County of Ventura, against the Company, alleging violations of certain wage and hour laws. Plaintiff seeks class certification, payment of wages earned and owed, liquidated damages, penalties and fees, other damages as set forth in plaintiff’s lawsuit, and injunctive relief. On July 22, 2026, plaintiff submitted a first amended complaint seeking to add a claim under PAGA, which the Court rejected. The Company filed a motion to compel arbitration, and a hearing on the motion is scheduled for October 1, 2026. The Company is vigorously defending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13360"/>
                <wp:effectExtent l="0" t="0" r="0" b="0"/>
                <wp:wrapNone/>
                <wp:docPr id="16" name="Frame16"/>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 xml:space="preserve">against the claims asserted. At this time, it is too soon to determine the outcome of this lawsuit. As a result, the Company has not accrued for any loss contingency related to this matter because the amount and range of loss, if any, cannot be reasonably estimated. </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 xml:space="preserve">Calavo Litigation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connection with the Company’s acquisition of Calavo, which closed on May 28, 2026, the Company is reporting the following legal proceedings involving Calavo and certain of its subsidiaries and affiliates arising from events occurring prior to the acquisition. These proceedings include employment-related claims involving Calavo, Renaissance Food Group, LLC (“RFG”), GH Foods CA, LLC (“GH Foods”), Calavo de Mexico S.A. de C.V. (“CDM”) and other named defendants, as described below.</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On August 9, 2022, a former employee filed a putative class action in the Superior Court of California, County of Sacramento, against RFG and GH Foods, alleging violations of California wage-and-hour laws, including claims relating to minimum and overtime wages, meal and rest periods, payment of wages during and upon termination of employment, wage statements and unfair competition. On November 29, 2022, the plaintiff filed a related action in the Superior Court of California, County of Los Angeles, against RFG, seeking civil penalties under PAGA based on similar alleged Labor Code violations. The defendants prevailed on motions to compel arbitration in both actions. As a result, the plaintiff’s putative class claims were dismissed, and the representative PAGA claims were stayed pending arbitration of the plaintiff’s individual claims. The plaintiff subsequently filed separate arbitration demands corresponding to each action. On February 12, 2026, the parties reached an agreement in principle to settle these matters, together with the related matter described below, for an aggregate amount of $610,000, which has been fully accrued. The parties are finalizing the settlement documentation, and the settlement remains subject to court approval.</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On November 4, 2022, a former employee filed a representative action in the Superior Court of California, County of Ventura, against Calavo, alleging violations of California wage-and-hour and employment laws, including claims relating to minimum and overtime wages, wage statements, payment of wages during and upon termination of employment, meal and rest periods, reimbursement of business expenses, sexual harassment, retaliation, unfair competition and civil penalties under PAGA. The plaintiff dismissed with prejudice his individual claims pursuant to a release agreement but did not dismiss the representative PAGA claim. This matter is included in the February 12, 2026 settlement described above.</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March 1, 2023, a former temporary worker filed a putative class action in the Superior Court of California, County of Riverside, against Calavo, Golden State Staffing Services, Inc., Richard A. Mendoza and Crystal Mendoza, alleging violations of California wage-and-hour laws, including claims relating to minimum and overtime wages, paid sick leave, meal and rest periods, payment of wages upon termination of employment, wage statements and unfair competition, and seeking civil penalties under PAGA. On March 12, 2024, Defendants filed a motion to compel arbitration of the plaintiff’s individual claims, including the individual PAGA claim. The Court granted defendants’ motion to compel on July 23, 2024, and stayed the representative PAGA claims pending resolution of the arbitration. The parties are pursuing mediation, which is currently scheduled for March 12, 2027. The Company is vigorously defending against the claims asserted. At this time, it is too soon to determine the outcome of this lawsuit. As a result, the Company has not accrued for any loss contingency related to this matter because the amount or range of loss, if any, cannot be reasonably estimated.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On October 4, 2024, the Organic Consumers Association filed a lawsuit in the Superior Court of the District of Columbia against Calavo alleging false and deceptive advertising in connection with the sale of Mexican avocados in violation of the District of Columbia Consumer Protection Procedures Act. The allegations are similar to those asserted by the same plaintiff against the Company in the OCA matter described above. The plaintiff seeks declaratory and injunctive relief and attorneys’ fees but does not seek monetary damages. Calavo filed a motion to dismiss for lack of personal jurisdiction, lack of standing and choice of law. The Court denied the motion without prejudice. After completing jurisdictional discovery, on June 25, 2026, Calavo filed a supplemental motion regarding its renewed motion to dismiss plaintiff’s complaint, which was fully briefed as of July 16, 2026. The Company is vigorously defending against the claims asserted. At this time, it is too soon to determine the outcome of this lawsuit. As a result, the Company has not accrued for any loss contingency related to this matter because the amount or range of loss, if any, cannot be reasonably estimated.</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CDM is involved in ongoing proceedings with Mexico's Servicio de Administración Tributaria (“SAT”) relating to a fiscal 2013 tax audit. In July 2018, the SAT issued a final tax assessment against CDM, including accrued interest, penalties and inflation adjustments, totaling approximately 3.6 billion Mexican pesos (approximately $207.4 million) as of July 31, 2026. In general terms, the SAT concluded that CDM does not perform maquila operations and that Calavo Growers has a permanent establishment in Mexico. According to the SAT, a maquila operation exists when merchandise provided by a foreign resident is temporarily imported into Mexico for processing or transformation and is subsequently returned abroad. In CDM’s case, however, the SAT determined that the company receives funds from Calavo Growers to purchase fruit in Mexico, which is then exported. In addition, Mexican tax authorities have asserted employee profit-sharing liabilities of approximately 118 million Mexican pesos (approximately $6.8 million) as of July 31, 2026. Against the tax assessment, an administrative appeal was filed with the SAT on September 6, 2018. The appeal was resolved unfavorably against CDM. Consequently, on August 20, 2021, CDM filed a nullity claim before the Federal Administrative Justice Court (Tribunal Federal de Justicia Administrativa), where the matter is currently pending resolution. The matter remains unresolved, and the ultimate outcome cannot be determined at this time. The SAT has also initiated income tax audits of CDM for fiscal years 2019 and 2020. As of July 31, 2026, no formal assessments have been issued in connection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13360"/>
                <wp:effectExtent l="0" t="0" r="0" b="0"/>
                <wp:wrapNone/>
                <wp:docPr id="17" name="Frame17"/>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these audits. As of July 31, 2026, CDM had a provision for these uncertain tax positions of approximately $27.1 million as determined based on our cumulative probability analysis.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addition, since fiscal 2014, Mexican tax authorities have challenged certain refund claims and related supporting documentation relating to VAT paid to suppliers that tax authorities allege failed to satisfy their own tax obligations. As of July 31, 2026, CDM had VAT receivables of approximately $25.7 million. CDM continues to pursue recovery of these amounts through administrative procedures and, when necessary, legal remedies. Although we believe the SAT will ultimately authorize the refund of the VAT receivables, the ultimate amount and timing of recovery of these VAT receivables remain uncertain.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outcomes of our legal proceedings and other contingencies, including those involving Calavo, are inherently unpredictable, subject to significant uncertainties, and if one or more legal matters were resolved against the Company or Calavo in a reporting period for amounts above management’s expectations, the Company’s financial condition and operating results for that period could be materially adversely affected.</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Lease contingency</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conjunction with the sale of a former subsidiary of Calavo in 2024, Calavo assigned leases resulting in them being relieved of their primary obligation under these leases. As a result of these lease assignments, the buyer is the primary obligor under the leases, with Calavo secondarily liable as a guarantor. If the buyer fails to perform under a lease, we could be liable to fulfill any remaining lease obligation. The leases have a remaining term of approximately 7.6 years as of July 31, 2026. The resulting maximum exposure includes $17.8 million of undiscounted future minimum base rent payments under these leases, and we may be obligated for variable lease payments, including common area maintenance, taxes, insurance and other charges, for the remainder of the lease terms. This amount represents the maximum known potential liability of rent payments under the leases, but outstanding rent payments can exist outside of our knowledge as a result of the landlord and tenant relationship being between two third parties. We do not believe it is probable that we will be required to satisfy these obligations. As of July 31, 2026, we have not experienced any changes related to this contingency, and there were no new developments affecting its likelihood or potential financial impact. We continue to assess this obligation, but do not believe it is probable that we will be required to fulfill any obligations under these leases.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Tariffs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February 20, 2026, the U.S. Supreme Court issued a ruling striking down certain tariffs previously imposed under the International Emergency Economic Powers Act (IEEPA), and remanded related matters to the Court of International Trade. Following the Supreme Court’s decision, the U.S. presidential administration announced its intention to invoke other laws to collect tariffs and announced new tariffs on imports from all countries, in addition to any existing non-IEEPA tariffs. There remains substantial uncertainty regarding the duration of existing and newly announced tariffs, potential changes or pauses to such tariffs, tariff levels, and whether further additional tariffs or other retaliatory actions may be imposed, modified, or suspended, and the impacts of such actions on our business.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Subsequently, the U.S. Customs and Border Protection (CBP) has created the Consolidated Administration and Processing of Entries (CAPE) system to administer refunds for tariffs imposed under IEEPA. The system was released in phases corresponding to different classes of claims. During the third fiscal quarter of 2026, we submitted or have developed a plan to submit approximately $12.5 million in claims. As a portion of these refunds have been received during the third quarter, we believe the remainder of the claims are realizable. Refunds and receivables for refund claims have been recognized as allowances against revenue and cost of sales based on the nature of the settlements. We are monitoring the situation closely for any changes to the ability to recover refunds.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9.     Income Taxes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provision for income tax recorded for the three and nine months ended July 31, 2026 and 2025 differs from the income taxes expected at the U.S. federal statutory tax rate of 21.0%, primarily due to income attributable to foreign jurisdictions which is taxed at different rates, changes in foreign exchange rates taxable in foreign jurisdictions, state taxes, nondeductible tax items and changes in uncertain tax positions (“UTP”).</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As of July 31, 2026, the Company had $46.0 million accrued in UTP on income taxes, of which $10.4 million relates to interest and penalties, inclusive of inflationary adjustments. The period for assessing interest and penalties has expired. However, the Company continues to record certain statutory adjustments related to inflation. Changes in the UTP related to changes in foreign exchange rates during the period are included in other (expense) income, net in the condensed consolidated statements of (loss)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13360"/>
                <wp:effectExtent l="0" t="0" r="0" b="0"/>
                <wp:wrapNone/>
                <wp:docPr id="18" name="Frame18"/>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10.     Fair Value Measurements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Financial assets or liabilities measured and recorded at fair value on a recurring basis included in the condensed consolidated balance sheets were as follows: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471"/>
        <w:gridCol w:w="407"/>
        <w:gridCol w:w="360"/>
        <w:gridCol w:w="196"/>
        <w:gridCol w:w="376"/>
        <w:gridCol w:w="109"/>
        <w:gridCol w:w="109"/>
        <w:gridCol w:w="109"/>
        <w:gridCol w:w="109"/>
        <w:gridCol w:w="252"/>
        <w:gridCol w:w="484"/>
        <w:gridCol w:w="140"/>
        <w:gridCol w:w="109"/>
        <w:gridCol w:w="109"/>
        <w:gridCol w:w="109"/>
        <w:gridCol w:w="223"/>
        <w:gridCol w:w="463"/>
        <w:gridCol w:w="125"/>
        <w:gridCol w:w="109"/>
        <w:gridCol w:w="109"/>
        <w:gridCol w:w="109"/>
        <w:gridCol w:w="260"/>
        <w:gridCol w:w="540"/>
        <w:gridCol w:w="146"/>
        <w:gridCol w:w="109"/>
        <w:gridCol w:w="109"/>
        <w:gridCol w:w="109"/>
        <w:gridCol w:w="196"/>
        <w:gridCol w:w="376"/>
        <w:gridCol w:w="109"/>
        <w:gridCol w:w="109"/>
        <w:gridCol w:w="109"/>
        <w:gridCol w:w="109"/>
        <w:gridCol w:w="252"/>
        <w:gridCol w:w="484"/>
        <w:gridCol w:w="140"/>
        <w:gridCol w:w="109"/>
        <w:gridCol w:w="109"/>
        <w:gridCol w:w="109"/>
        <w:gridCol w:w="223"/>
        <w:gridCol w:w="463"/>
        <w:gridCol w:w="125"/>
        <w:gridCol w:w="109"/>
        <w:gridCol w:w="109"/>
        <w:gridCol w:w="109"/>
        <w:gridCol w:w="256"/>
        <w:gridCol w:w="532"/>
        <w:gridCol w:w="208"/>
      </w:tblGrid>
      <w:tr>
        <w:trPr/>
        <w:tc>
          <w:tcPr>
            <w:tcW w:w="47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October 31, 2025</w:t>
            </w:r>
          </w:p>
        </w:tc>
      </w:tr>
      <w:tr>
        <w:trPr/>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Quoted Prices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 Active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Markets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Significant</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Other</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Observable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Inputs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Significant</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Unobservable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Inputs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Quoted Prices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 Active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Markets </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Significant</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Other</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Observable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Inputs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Significant</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Unobservable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Inputs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3)</w:t>
            </w:r>
          </w:p>
        </w:tc>
      </w:tr>
      <w:tr>
        <w:trPr/>
        <w:tc>
          <w:tcPr>
            <w:tcW w:w="12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Assets</w:t>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Mutual funds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Liabilities</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rate swap</w:t>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2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2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mutual fund investments relate to our deferred compensation plan, which are held in a Rabbi trust which is included in other assets in our consolidated balance sheets. The funds are measured at quoted prices in active markets, which is equivalent to their fair value.</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fair value of interest rate swaps is determined using widely accepted valuation techniques, including the discounted cash flow method. The analysis reflects the contractual terms of the swaps, including the period to maturity, and uses observable market-based inputs, including interest rate curves (“significant other observable inputs”). The fair value calculation also includes an amount for risk of non-performance using “significant unobservable inputs” such as estimates of current credit spreads to evaluate the likelihood of default. The Company has concluded, as of July 31, 2026 and October 31, 2025, the fair value associated with the “significant unobservable inputs” relating to the Company’s risk of non-performance was insignificant to the overall fair value of the interest rate swap agreements and, as a result, the Company determined that the relevant inputs for purposes of calculating the fair value of the interest rate swap agreements, in their entirety, were based upon “significant other observable inputs”. The liabilities associated with the interest rate swaps have been included in accrued expenses and other long-term liabilities in the condensed consolidated balance sheets and gains and losses for the interest rate swaps have been included in other (expense) income, net in the condensed consolidated statements of (loss)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11.    Earnings Per Share and Shareholder’s Equity</w:t>
      </w:r>
    </w:p>
    <w:tbl>
      <w:tblPr>
        <w:tblW w:w="10205" w:type="dxa"/>
        <w:jc w:val="center"/>
        <w:tblInd w:w="0" w:type="dxa"/>
        <w:tblLayout w:type="fixed"/>
        <w:tblCellMar>
          <w:top w:w="28" w:type="dxa"/>
          <w:left w:w="28" w:type="dxa"/>
          <w:bottom w:w="28" w:type="dxa"/>
          <w:right w:w="28" w:type="dxa"/>
        </w:tblCellMar>
      </w:tblPr>
      <w:tblGrid>
        <w:gridCol w:w="1823"/>
        <w:gridCol w:w="1535"/>
        <w:gridCol w:w="1539"/>
        <w:gridCol w:w="278"/>
        <w:gridCol w:w="683"/>
        <w:gridCol w:w="109"/>
        <w:gridCol w:w="109"/>
        <w:gridCol w:w="109"/>
        <w:gridCol w:w="109"/>
        <w:gridCol w:w="284"/>
        <w:gridCol w:w="677"/>
        <w:gridCol w:w="109"/>
        <w:gridCol w:w="109"/>
        <w:gridCol w:w="109"/>
        <w:gridCol w:w="109"/>
        <w:gridCol w:w="278"/>
        <w:gridCol w:w="683"/>
        <w:gridCol w:w="109"/>
        <w:gridCol w:w="109"/>
        <w:gridCol w:w="109"/>
        <w:gridCol w:w="109"/>
        <w:gridCol w:w="284"/>
        <w:gridCol w:w="677"/>
        <w:gridCol w:w="156"/>
      </w:tblGrid>
      <w:tr>
        <w:trPr/>
        <w:tc>
          <w:tcPr>
            <w:tcW w:w="1823"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2025</w:t>
            </w:r>
          </w:p>
        </w:tc>
      </w:tr>
      <w:tr>
        <w:trPr/>
        <w:tc>
          <w:tcPr>
            <w:tcW w:w="48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Numerator:</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 attributable to Mission Produce (in millions)</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Denominator:</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Weighted average shares of common stock outstanding, used in computing basic earnings per share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82,847,263 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70,618,199 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74,801,017 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70,819,280 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of dilutive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of dilutive RSUs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199,736 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204,983 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of dilutive PSUs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220,119 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197,237 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Weighted average shares of common stock outstanding, used in computing diluted earnings per share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82,847,263 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71,038,054 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74,801,017 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71,221,500 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Earnings per share</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27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(0.08)</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(0.19)</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0.30 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Equity awards representing shares of common stock outstanding that were excluded in the computation of diluted earnings per share because their effect would have been anti-dilutive as a result of applying the treasury stock method, were as follows: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13360"/>
                <wp:effectExtent l="0" t="0" r="0" b="0"/>
                <wp:wrapNone/>
                <wp:docPr id="19" name="Frame19"/>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tbl>
      <w:tblPr>
        <w:tblW w:w="7730" w:type="dxa"/>
        <w:jc w:val="left"/>
        <w:tblInd w:w="0" w:type="dxa"/>
        <w:tblLayout w:type="fixed"/>
        <w:tblCellMar>
          <w:top w:w="28" w:type="dxa"/>
          <w:left w:w="28" w:type="dxa"/>
          <w:bottom w:w="28" w:type="dxa"/>
          <w:right w:w="28" w:type="dxa"/>
        </w:tblCellMar>
      </w:tblPr>
      <w:tblGrid>
        <w:gridCol w:w="710"/>
        <w:gridCol w:w="625"/>
        <w:gridCol w:w="629"/>
        <w:gridCol w:w="475"/>
        <w:gridCol w:w="396"/>
        <w:gridCol w:w="195"/>
        <w:gridCol w:w="195"/>
        <w:gridCol w:w="195"/>
        <w:gridCol w:w="195"/>
        <w:gridCol w:w="475"/>
        <w:gridCol w:w="396"/>
        <w:gridCol w:w="195"/>
        <w:gridCol w:w="109"/>
        <w:gridCol w:w="109"/>
        <w:gridCol w:w="109"/>
        <w:gridCol w:w="441"/>
        <w:gridCol w:w="430"/>
        <w:gridCol w:w="181"/>
        <w:gridCol w:w="181"/>
        <w:gridCol w:w="181"/>
        <w:gridCol w:w="181"/>
        <w:gridCol w:w="441"/>
        <w:gridCol w:w="430"/>
        <w:gridCol w:w="256"/>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Anti-dilutive stock options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2,025,852 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2,052,182 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2,032,857 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2,056,769 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Anti-dilutive RSUs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544,192 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140,541 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552,604 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194,988 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Anti-dilutive PSUs</w:t>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395,731 </w:t>
            </w:r>
          </w:p>
        </w:tc>
        <w:tc>
          <w:tcPr>
            <w:tcW w:w="19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457,908 </w:t>
            </w:r>
          </w:p>
        </w:tc>
        <w:tc>
          <w:tcPr>
            <w:tcW w:w="1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Rights Plan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On January 21, 2026, our Board of Directors approved the adoption of a limited duration stockholder rights plan (the “Rights Plan”). Under the plan, one preferred stock purchase right will be distributed for each share of common stock held by stockholders of record on February 4, 2026. Under certain circumstances, each right will entitle stockholders to buy one one-hundredth of a share of newly-created Series A Junior Participating Preferred Stock of the Company at an exercise price of $63.00. The Company’s Board of Directors may redeem the rights at $0.01 per right at any time before a person or group has acquired 15% or more of the outstanding common stock. Additionally, at any time after a person or group becomes an acquiring person and before such person or group acquires 50% or more of the outstanding common stock, the Board of Directors may exchange the outstanding rights (other than those held by the acquiring person, which will be void) for shares of common stock at an exchange rate of one share of common stock per right, subject to adjustment. Subject to limited exceptions, if a person or group acquires 15% or more of the Company’s common stock (including shares that are synthetically owned pursuant to derivative transactions or ownership of derivative securities) or announces a tender offer and the consummation of that offer would result in such ownership (we refer to such a person or group as an “acquiring person”), each right will entitle its holder to purchase, at the right’s then-current exercise price, a number of shares of common stock having a market value at that time of two times the right’s exercise price. Rights held by the acquiring person will become void and will not be exercisable. If the Company is acquired in a merger or other business combination transaction that has not been approved by the Board of Directors after the rights become exercisable, each right will entitle its holder to purchase, at the right’s then-current exercise price, a number of shares of the acquiring company’s common stock having a market value at that time of two times the right’s exercise price.</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Rights Plan is effective January 21, 2026 and has a one-year duration, expiring on January 21, 2027, subject to the Company’s right to extend such date, unless earlier redeemed or exchanged by the Company or terminated.</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Stock Repurchase Plan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On June 3, 2026, the Board of Directors approved a stock repurchase program, which permits the Company to repurchase up to $100 million of shares of the Company’s common stock over the next 36 months, effective June 3, 2026 (the “2026 Program”). The 2026 Program replaces the Company’s previous common stock repurchase program adopted in September 2023, which would have expired in September 2026 with approximately $11.2 million remaining. The shares may be repurchased from time to time in open market and/or pursuant to Rule 10b5-1 trading plans in such quantities and at such prices as may be authorized by certain designated officers of the Company. Share repurchases were $7.2 million and $9.4 million for the three and nine months ended July 31, 2026, respectively. No repurchases were made during the three months ended July 31, 2025, and $5.5 million of shares were repurchased for the nine months ended July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12.     Related Party Transactions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Transactions with related parties included in the condensed consolidated financial statements were as follows:</w:t>
      </w:r>
    </w:p>
    <w:tbl>
      <w:tblPr>
        <w:tblW w:w="10205" w:type="dxa"/>
        <w:jc w:val="left"/>
        <w:tblInd w:w="0" w:type="dxa"/>
        <w:tblLayout w:type="fixed"/>
        <w:tblCellMar>
          <w:top w:w="28" w:type="dxa"/>
          <w:left w:w="28" w:type="dxa"/>
          <w:bottom w:w="28" w:type="dxa"/>
          <w:right w:w="28" w:type="dxa"/>
        </w:tblCellMar>
      </w:tblPr>
      <w:tblGrid>
        <w:gridCol w:w="463"/>
        <w:gridCol w:w="202"/>
        <w:gridCol w:w="205"/>
        <w:gridCol w:w="257"/>
        <w:gridCol w:w="493"/>
        <w:gridCol w:w="156"/>
        <w:gridCol w:w="109"/>
        <w:gridCol w:w="109"/>
        <w:gridCol w:w="109"/>
        <w:gridCol w:w="238"/>
        <w:gridCol w:w="534"/>
        <w:gridCol w:w="144"/>
        <w:gridCol w:w="109"/>
        <w:gridCol w:w="109"/>
        <w:gridCol w:w="109"/>
        <w:gridCol w:w="234"/>
        <w:gridCol w:w="525"/>
        <w:gridCol w:w="142"/>
        <w:gridCol w:w="109"/>
        <w:gridCol w:w="109"/>
        <w:gridCol w:w="109"/>
        <w:gridCol w:w="201"/>
        <w:gridCol w:w="450"/>
        <w:gridCol w:w="121"/>
        <w:gridCol w:w="109"/>
        <w:gridCol w:w="109"/>
        <w:gridCol w:w="109"/>
        <w:gridCol w:w="235"/>
        <w:gridCol w:w="529"/>
        <w:gridCol w:w="143"/>
        <w:gridCol w:w="109"/>
        <w:gridCol w:w="109"/>
        <w:gridCol w:w="109"/>
        <w:gridCol w:w="238"/>
        <w:gridCol w:w="534"/>
        <w:gridCol w:w="144"/>
        <w:gridCol w:w="109"/>
        <w:gridCol w:w="109"/>
        <w:gridCol w:w="109"/>
        <w:gridCol w:w="256"/>
        <w:gridCol w:w="490"/>
        <w:gridCol w:w="155"/>
        <w:gridCol w:w="109"/>
        <w:gridCol w:w="109"/>
        <w:gridCol w:w="109"/>
        <w:gridCol w:w="199"/>
        <w:gridCol w:w="448"/>
        <w:gridCol w:w="180"/>
      </w:tblGrid>
      <w:tr>
        <w:trPr/>
        <w:tc>
          <w:tcPr>
            <w:tcW w:w="46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5"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Condensed Consolidated Balance Sheets</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October 31, 2025</w:t>
            </w:r>
          </w:p>
        </w:tc>
      </w:tr>
      <w:tr>
        <w:trPr/>
        <w:tc>
          <w:tcPr>
            <w:tcW w:w="8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Accounts receivable &amp; grower advances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Property, plant and equipment,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Accounts payable &amp; accrued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Accounts receivable &amp; grower advances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Property, plant and equipment,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Accounts payable &amp; accrued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Finance lease liabilities</w:t>
            </w:r>
          </w:p>
        </w:tc>
      </w:tr>
      <w:tr>
        <w:trPr/>
        <w:tc>
          <w:tcPr>
            <w:tcW w:w="1776"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Equity method investees: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Henry Avocado</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Mr. Avocado</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Agricola Don Memo</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Other:</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Directors/Officers</w:t>
            </w:r>
            <w:r>
              <w:rPr>
                <w:rFonts w:ascii="Arial;sans-serif" w:hAnsi="Arial;sans-serif"/>
                <w:b w:val="false"/>
                <w:color w:val="000000"/>
                <w:sz w:val="9"/>
              </w:rPr>
              <w:t>(1)</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Employees</w:t>
            </w:r>
            <w:r>
              <w:rPr>
                <w:rFonts w:ascii="Arial;sans-serif" w:hAnsi="Arial;sans-serif"/>
                <w:b w:val="false"/>
                <w:color w:val="000000"/>
                <w:sz w:val="9"/>
              </w:rPr>
              <w:t>(2)</w:t>
            </w:r>
          </w:p>
        </w:tc>
        <w:tc>
          <w:tcPr>
            <w:tcW w:w="75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0.9 </w:t>
            </w:r>
          </w:p>
        </w:tc>
        <w:tc>
          <w:tcPr>
            <w:tcW w:w="14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13360"/>
                <wp:effectExtent l="0" t="0" r="0" b="0"/>
                <wp:wrapNone/>
                <wp:docPr id="20" name="Frame20"/>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tbl>
      <w:tblPr>
        <w:tblW w:w="9057" w:type="dxa"/>
        <w:jc w:val="left"/>
        <w:tblInd w:w="0" w:type="dxa"/>
        <w:tblLayout w:type="fixed"/>
        <w:tblCellMar>
          <w:top w:w="28" w:type="dxa"/>
          <w:left w:w="28" w:type="dxa"/>
          <w:bottom w:w="28" w:type="dxa"/>
          <w:right w:w="28" w:type="dxa"/>
        </w:tblCellMar>
      </w:tblPr>
      <w:tblGrid>
        <w:gridCol w:w="631"/>
        <w:gridCol w:w="551"/>
        <w:gridCol w:w="557"/>
        <w:gridCol w:w="200"/>
        <w:gridCol w:w="384"/>
        <w:gridCol w:w="120"/>
        <w:gridCol w:w="109"/>
        <w:gridCol w:w="109"/>
        <w:gridCol w:w="109"/>
        <w:gridCol w:w="246"/>
        <w:gridCol w:w="551"/>
        <w:gridCol w:w="148"/>
        <w:gridCol w:w="109"/>
        <w:gridCol w:w="109"/>
        <w:gridCol w:w="109"/>
        <w:gridCol w:w="304"/>
        <w:gridCol w:w="683"/>
        <w:gridCol w:w="183"/>
        <w:gridCol w:w="109"/>
        <w:gridCol w:w="109"/>
        <w:gridCol w:w="109"/>
        <w:gridCol w:w="200"/>
        <w:gridCol w:w="384"/>
        <w:gridCol w:w="120"/>
        <w:gridCol w:w="109"/>
        <w:gridCol w:w="109"/>
        <w:gridCol w:w="109"/>
        <w:gridCol w:w="269"/>
        <w:gridCol w:w="514"/>
        <w:gridCol w:w="162"/>
        <w:gridCol w:w="109"/>
        <w:gridCol w:w="109"/>
        <w:gridCol w:w="109"/>
        <w:gridCol w:w="297"/>
        <w:gridCol w:w="666"/>
        <w:gridCol w:w="252"/>
      </w:tblGrid>
      <w:tr>
        <w:trPr/>
        <w:tc>
          <w:tcPr>
            <w:tcW w:w="63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8" w:type="dxa"/>
            <w:gridSpan w:val="3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Condensed Consolidated Statements of (Loss) Income</w:t>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7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Net sales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Cost of sales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Interest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Net sales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Cost of sales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Interest expense</w:t>
            </w:r>
          </w:p>
        </w:tc>
      </w:tr>
      <w:tr>
        <w:trPr/>
        <w:tc>
          <w:tcPr>
            <w:tcW w:w="1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xml:space="preserve">Three Months Ended </w:t>
              <w:b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xml:space="preserve">Three Months Ended </w:t>
              <w:br/>
              <w:t>July 31, 2025</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Equity method investees:</w:t>
            </w:r>
          </w:p>
        </w:tc>
        <w:tc>
          <w:tcPr>
            <w:tcW w:w="7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Henry Avocado</w:t>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Mr. Avocado</w:t>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Agricola Don Memo</w:t>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Other:</w:t>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Directors/Officers</w:t>
            </w:r>
            <w:r>
              <w:rPr>
                <w:rFonts w:ascii="Arial;sans-serif" w:hAnsi="Arial;sans-serif"/>
                <w:b w:val="false"/>
                <w:color w:val="000000"/>
                <w:sz w:val="9"/>
              </w:rPr>
              <w:t>(1)</w:t>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Employees</w:t>
            </w:r>
            <w:r>
              <w:rPr>
                <w:rFonts w:ascii="Arial;sans-serif" w:hAnsi="Arial;sans-serif"/>
                <w:b w:val="false"/>
                <w:color w:val="000000"/>
                <w:sz w:val="9"/>
              </w:rPr>
              <w:t>(2)</w:t>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Nine Months Ended</w:t>
              <w:b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Nine Months Ended</w:t>
              <w:br/>
              <w:t>July 31, 2025</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Equity method investees:</w:t>
            </w:r>
          </w:p>
        </w:tc>
        <w:tc>
          <w:tcPr>
            <w:tcW w:w="7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Henry Avocado</w:t>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Mr. Avocado</w:t>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Agricola Don Memo</w:t>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Other:</w:t>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Directors/Officers</w:t>
            </w:r>
            <w:r>
              <w:rPr>
                <w:rFonts w:ascii="Arial;sans-serif" w:hAnsi="Arial;sans-serif"/>
                <w:b w:val="false"/>
                <w:color w:val="000000"/>
                <w:sz w:val="9"/>
              </w:rPr>
              <w:t>(1)</w:t>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Employees</w:t>
            </w:r>
            <w:r>
              <w:rPr>
                <w:rFonts w:ascii="Arial;sans-serif" w:hAnsi="Arial;sans-serif"/>
                <w:b w:val="false"/>
                <w:color w:val="000000"/>
                <w:sz w:val="9"/>
              </w:rPr>
              <w:t>(2)</w:t>
            </w:r>
          </w:p>
        </w:tc>
        <w:tc>
          <w:tcPr>
            <w:tcW w:w="58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7.8 </w:t>
            </w:r>
          </w:p>
        </w:tc>
        <w:tc>
          <w:tcPr>
            <w:tcW w:w="14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6.5 </w:t>
            </w:r>
          </w:p>
        </w:tc>
        <w:tc>
          <w:tcPr>
            <w:tcW w:w="16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 xml:space="preserve">(1)The Company purchases from and sells fruit to, and provides logistics services to, a small number of entities having full or partial ownership by some of our directors/officers. These transactions are made under substantially similar terms as with other growers and customers. Our blueberries business leases land under a long-term lease with a company owned by one of our directors. The rental rate in the lease was comparable to market rates and reflective of an arm’s-length transaction. The lease was accounted for as a finance lease right-of-use asset and is included in property, plant and equipment, net in the consolidated balance sheets, with amortization and interest expense recognized in cost of sales and interest expense, respectively, in the condensed consolidated statements of (loss) income. The portion of lease costs attributable to noncontrolling interest, net of income taxes, was $0.2 million for both the three months ended July 31, 2026 and 2025 and $0.7 million for both the nine months ended July 31, 2026 and 2025; amounts were included as part of net income attributable to noncontrolling interest in the condensed consolidated statements of (loss) income. </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(2)The Company utilizes a small number of transportation vendors in Mexico having full or partial ownership by some of our employees. The Company also purchases avocados from a small number of entities having full or partial ownership by some employees. These transactions are made under substantially similar terms as with other transportation carriers and growers.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13.     Segment and Revenue Information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have four operating segments which are also reportable segments. Our reportable segments are presented based on how information is used by our CEO, who is the chief operating decision maker, to measure performance and allocate resources. </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 xml:space="preserve">Marketing &amp; Distribution. </w:t>
      </w:r>
      <w:r>
        <w:rPr>
          <w:rFonts w:ascii="Arial;sans-serif" w:hAnsi="Arial;sans-serif"/>
          <w:b w:val="false"/>
          <w:color w:val="000000"/>
          <w:sz w:val="16"/>
        </w:rPr>
        <w:t>Our Marketing &amp; Distribution reportable segment sources fruit from growers and then distributes the fruit through our global distribution network. The former “Fresh” business of Calavo is included in this segment.</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 xml:space="preserve">Prepared Foods. </w:t>
      </w:r>
      <w:r>
        <w:rPr>
          <w:rFonts w:ascii="Arial;sans-serif" w:hAnsi="Arial;sans-serif"/>
          <w:b w:val="false"/>
          <w:color w:val="000000"/>
          <w:sz w:val="16"/>
        </w:rPr>
        <w:t>Includes prepared products, such as packaged guacamole and salsas, sold to retail and foodservice customers. This segment is equivalent to the acquired “Prepared Foods” business of Calavo.</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 xml:space="preserve">International Farming. </w:t>
      </w:r>
      <w:r>
        <w:rPr>
          <w:rFonts w:ascii="Arial;sans-serif" w:hAnsi="Arial;sans-serif"/>
          <w:b w:val="false"/>
          <w:color w:val="000000"/>
          <w:sz w:val="16"/>
        </w:rPr>
        <w:t xml:space="preserve">International Farming owns and operates orchards from which the vast majority of fruit produced is sold to our Marketing &amp; Distribution segment. The segment’s farming activities range from cultivating early-stage plantings to harvesting from mature trees. It also earns service revenues for packing and processing fruit for both our Blueberries segment, as well as for third-party producers of other crops. Operations are principally located in Peru and Guatemala. </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Blueberries.</w:t>
      </w:r>
      <w:r>
        <w:rPr>
          <w:color w:val="000000"/>
        </w:rPr>
        <w:t xml:space="preserve"> </w:t>
      </w:r>
      <w:r>
        <w:rPr>
          <w:rFonts w:ascii="Arial;sans-serif" w:hAnsi="Arial;sans-serif"/>
          <w:b w:val="false"/>
          <w:color w:val="000000"/>
          <w:sz w:val="16"/>
        </w:rPr>
        <w:t>The Blueberries segment consists of farming activities that include cultivating early-stage blueberry plantings and harvesting mature bushes. Substantially all blueberries produced are sold to a single distributor under an exclusive marketing agreement.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following table provides information for each of our reportable segments and reconciliations to consolidated income before taxes.</w:t>
      </w:r>
    </w:p>
    <w:tbl>
      <w:tblPr>
        <w:tblW w:w="10205" w:type="dxa"/>
        <w:jc w:val="left"/>
        <w:tblInd w:w="0" w:type="dxa"/>
        <w:tblLayout w:type="fixed"/>
        <w:tblCellMar>
          <w:top w:w="28" w:type="dxa"/>
          <w:left w:w="28" w:type="dxa"/>
          <w:bottom w:w="28" w:type="dxa"/>
          <w:right w:w="28" w:type="dxa"/>
        </w:tblCellMar>
      </w:tblPr>
      <w:tblGrid>
        <w:gridCol w:w="897"/>
        <w:gridCol w:w="718"/>
        <w:gridCol w:w="725"/>
        <w:gridCol w:w="411"/>
        <w:gridCol w:w="1170"/>
        <w:gridCol w:w="231"/>
        <w:gridCol w:w="109"/>
        <w:gridCol w:w="109"/>
        <w:gridCol w:w="109"/>
        <w:gridCol w:w="307"/>
        <w:gridCol w:w="732"/>
        <w:gridCol w:w="171"/>
        <w:gridCol w:w="109"/>
        <w:gridCol w:w="109"/>
        <w:gridCol w:w="109"/>
        <w:gridCol w:w="410"/>
        <w:gridCol w:w="978"/>
        <w:gridCol w:w="230"/>
        <w:gridCol w:w="109"/>
        <w:gridCol w:w="109"/>
        <w:gridCol w:w="109"/>
        <w:gridCol w:w="289"/>
        <w:gridCol w:w="555"/>
        <w:gridCol w:w="162"/>
        <w:gridCol w:w="109"/>
        <w:gridCol w:w="109"/>
        <w:gridCol w:w="109"/>
        <w:gridCol w:w="196"/>
        <w:gridCol w:w="556"/>
        <w:gridCol w:w="159"/>
      </w:tblGrid>
      <w:tr>
        <w:trPr/>
        <w:tc>
          <w:tcPr>
            <w:tcW w:w="89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8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Marketing &amp;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Prepared Foods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Blueberries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Total</w:t>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Three months ended July 31, 2026:</w:t>
            </w:r>
          </w:p>
        </w:tc>
        <w:tc>
          <w:tcPr>
            <w:tcW w:w="1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Third-party sales</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1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414.3 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Affiliated sales</w:t>
            </w:r>
          </w:p>
        </w:tc>
        <w:tc>
          <w:tcPr>
            <w:tcW w:w="15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23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5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13360"/>
                <wp:effectExtent l="0" t="0" r="0" b="0"/>
                <wp:wrapNone/>
                <wp:docPr id="21" name="Frame2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tbl>
      <w:tblPr>
        <w:tblW w:w="10205" w:type="dxa"/>
        <w:jc w:val="left"/>
        <w:tblInd w:w="0" w:type="dxa"/>
        <w:tblLayout w:type="fixed"/>
        <w:tblCellMar>
          <w:top w:w="28" w:type="dxa"/>
          <w:left w:w="28" w:type="dxa"/>
          <w:bottom w:w="28" w:type="dxa"/>
          <w:right w:w="28" w:type="dxa"/>
        </w:tblCellMar>
      </w:tblPr>
      <w:tblGrid>
        <w:gridCol w:w="960"/>
        <w:gridCol w:w="842"/>
        <w:gridCol w:w="854"/>
        <w:gridCol w:w="321"/>
        <w:gridCol w:w="1132"/>
        <w:gridCol w:w="179"/>
        <w:gridCol w:w="109"/>
        <w:gridCol w:w="109"/>
        <w:gridCol w:w="109"/>
        <w:gridCol w:w="277"/>
        <w:gridCol w:w="660"/>
        <w:gridCol w:w="154"/>
        <w:gridCol w:w="109"/>
        <w:gridCol w:w="109"/>
        <w:gridCol w:w="109"/>
        <w:gridCol w:w="372"/>
        <w:gridCol w:w="886"/>
        <w:gridCol w:w="208"/>
        <w:gridCol w:w="109"/>
        <w:gridCol w:w="109"/>
        <w:gridCol w:w="109"/>
        <w:gridCol w:w="255"/>
        <w:gridCol w:w="608"/>
        <w:gridCol w:w="143"/>
        <w:gridCol w:w="109"/>
        <w:gridCol w:w="109"/>
        <w:gridCol w:w="109"/>
        <w:gridCol w:w="196"/>
        <w:gridCol w:w="691"/>
        <w:gridCol w:w="159"/>
      </w:tblGrid>
      <w:tr>
        <w:trPr/>
        <w:tc>
          <w:tcPr>
            <w:tcW w:w="96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6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Marketing &amp;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Prepared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International Farming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Blueberries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Total</w:t>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414.3 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481.0 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Reconciliation of revenue</w:t>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Elimination of affiliated sales</w:t>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consolidated sales</w:t>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Less:</w:t>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Segment cost of sales</w:t>
            </w:r>
            <w:r>
              <w:rPr>
                <w:rFonts w:ascii="Arial;sans-serif" w:hAnsi="Arial;sans-serif"/>
                <w:b w:val="false"/>
                <w:color w:val="000000"/>
                <w:sz w:val="10"/>
              </w:rPr>
              <w:t>(1)</w:t>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Segment selling, general and administrative expenses</w:t>
            </w:r>
            <w:r>
              <w:rPr>
                <w:rFonts w:ascii="Arial;sans-serif" w:hAnsi="Arial;sans-serif"/>
                <w:b w:val="false"/>
                <w:color w:val="000000"/>
                <w:sz w:val="10"/>
              </w:rPr>
              <w:t>(2)</w:t>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Segment operating (loss) income</w:t>
            </w:r>
          </w:p>
        </w:tc>
        <w:tc>
          <w:tcPr>
            <w:tcW w:w="14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Interest expense</w:t>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Equity method income</w:t>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net</w:t>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before income taxes</w:t>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Three months ended July 31, 2025:</w:t>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Third-party sales</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344.1 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Affiliated sales</w:t>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344.1 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49.0 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397.6 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Reconciliation of revenue</w:t>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Elimination of affiliated sales</w:t>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consolidated sales</w:t>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Less:</w:t>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Segment cost of sales</w:t>
            </w:r>
            <w:r>
              <w:rPr>
                <w:rFonts w:ascii="Arial;sans-serif" w:hAnsi="Arial;sans-serif"/>
                <w:b w:val="false"/>
                <w:color w:val="000000"/>
                <w:sz w:val="10"/>
              </w:rPr>
              <w:t>(1)</w:t>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Segment selling, general and administrative expenses</w:t>
            </w:r>
            <w:r>
              <w:rPr>
                <w:rFonts w:ascii="Arial;sans-serif" w:hAnsi="Arial;sans-serif"/>
                <w:b w:val="false"/>
                <w:color w:val="000000"/>
                <w:sz w:val="10"/>
              </w:rPr>
              <w:t>(2)</w:t>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Segment operating income (loss)</w:t>
            </w:r>
          </w:p>
        </w:tc>
        <w:tc>
          <w:tcPr>
            <w:tcW w:w="14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Interest expense</w:t>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Equity method income</w:t>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net</w:t>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Nine months ended July 31, 2026:</w:t>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Third-party sales</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926.3 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Affiliated sales</w:t>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926.3 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64.1 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1,063.1 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Reconciliation of revenue</w:t>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Elimination of affiliated sales</w:t>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consolidated sales</w:t>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1,019.5 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Less:</w:t>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Segment cost of sales</w:t>
            </w:r>
            <w:r>
              <w:rPr>
                <w:rFonts w:ascii="Arial;sans-serif" w:hAnsi="Arial;sans-serif"/>
                <w:b w:val="false"/>
                <w:color w:val="000000"/>
                <w:sz w:val="10"/>
              </w:rPr>
              <w:t>(1)</w:t>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840.8 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Segment selling, general and administrative expenses</w:t>
            </w:r>
            <w:r>
              <w:rPr>
                <w:rFonts w:ascii="Arial;sans-serif" w:hAnsi="Arial;sans-serif"/>
                <w:b w:val="false"/>
                <w:color w:val="000000"/>
                <w:sz w:val="10"/>
              </w:rPr>
              <w:t>(2)</w:t>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Segment operating (loss) income</w:t>
            </w:r>
          </w:p>
        </w:tc>
        <w:tc>
          <w:tcPr>
            <w:tcW w:w="14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Interest expense</w:t>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Equity method income</w:t>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Other income, net</w:t>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before income taxes</w:t>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Nine months ended July 31, 2025:</w:t>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Third-party sales</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Affiliated sales</w:t>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1,002.4 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66.3 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1,125.3 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13360"/>
                <wp:effectExtent l="0" t="0" r="0" b="0"/>
                <wp:wrapNone/>
                <wp:docPr id="22" name="Frame2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tbl>
      <w:tblPr>
        <w:tblW w:w="10205" w:type="dxa"/>
        <w:jc w:val="left"/>
        <w:tblInd w:w="0" w:type="dxa"/>
        <w:tblLayout w:type="fixed"/>
        <w:tblCellMar>
          <w:top w:w="28" w:type="dxa"/>
          <w:left w:w="28" w:type="dxa"/>
          <w:bottom w:w="28" w:type="dxa"/>
          <w:right w:w="28" w:type="dxa"/>
        </w:tblCellMar>
      </w:tblPr>
      <w:tblGrid>
        <w:gridCol w:w="960"/>
        <w:gridCol w:w="842"/>
        <w:gridCol w:w="854"/>
        <w:gridCol w:w="544"/>
        <w:gridCol w:w="544"/>
        <w:gridCol w:w="545"/>
        <w:gridCol w:w="109"/>
        <w:gridCol w:w="109"/>
        <w:gridCol w:w="109"/>
        <w:gridCol w:w="363"/>
        <w:gridCol w:w="363"/>
        <w:gridCol w:w="364"/>
        <w:gridCol w:w="109"/>
        <w:gridCol w:w="109"/>
        <w:gridCol w:w="109"/>
        <w:gridCol w:w="488"/>
        <w:gridCol w:w="488"/>
        <w:gridCol w:w="490"/>
        <w:gridCol w:w="109"/>
        <w:gridCol w:w="109"/>
        <w:gridCol w:w="109"/>
        <w:gridCol w:w="335"/>
        <w:gridCol w:w="335"/>
        <w:gridCol w:w="336"/>
        <w:gridCol w:w="109"/>
        <w:gridCol w:w="109"/>
        <w:gridCol w:w="109"/>
        <w:gridCol w:w="196"/>
        <w:gridCol w:w="691"/>
        <w:gridCol w:w="159"/>
      </w:tblGrid>
      <w:tr>
        <w:trPr/>
        <w:tc>
          <w:tcPr>
            <w:tcW w:w="96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6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Marketing &amp;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Prepared Foods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Blueberries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Total</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Reconciliation of revenue</w:t>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Elimination of affiliated sales</w:t>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consolidated sales</w:t>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1,072.2 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Less:</w:t>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Segment cost of sales</w:t>
            </w:r>
            <w:r>
              <w:rPr>
                <w:rFonts w:ascii="Arial;sans-serif" w:hAnsi="Arial;sans-serif"/>
                <w:b w:val="false"/>
                <w:color w:val="000000"/>
                <w:sz w:val="10"/>
              </w:rPr>
              <w:t>(1)</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923.2 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52.0 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Segment selling, general and administrative expenses</w:t>
            </w:r>
            <w:r>
              <w:rPr>
                <w:rFonts w:ascii="Arial;sans-serif" w:hAnsi="Arial;sans-serif"/>
                <w:b w:val="false"/>
                <w:color w:val="000000"/>
                <w:sz w:val="10"/>
              </w:rPr>
              <w:t>(2)</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55.3 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Segment operating income (loss)</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Interest expense</w:t>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Equity method income</w:t>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Other income, net</w:t>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163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Arial;sans-serif" w:hAnsi="Arial;sans-serif"/>
          <w:b w:val="false"/>
          <w:color w:val="000000"/>
          <w:sz w:val="14"/>
        </w:rPr>
      </w:pPr>
      <w:r>
        <w:rPr>
          <w:rFonts w:ascii="Arial;sans-serif" w:hAnsi="Arial;sans-serif"/>
          <w:b w:val="false"/>
          <w:color w:val="000000"/>
          <w:sz w:val="14"/>
        </w:rPr>
        <w:t>(1)Segment cost of sales for each reportable segment included:</w:t>
      </w:r>
    </w:p>
    <w:p>
      <w:pPr>
        <w:pStyle w:val="TextBody"/>
        <w:bidi w:val="0"/>
        <w:spacing w:lineRule="auto" w:line="288" w:before="60" w:after="60"/>
        <w:ind w:left="0" w:right="0" w:hanging="270"/>
        <w:jc w:val="left"/>
        <w:rPr/>
      </w:pPr>
      <w:r>
        <w:rPr>
          <w:color w:val="000000"/>
        </w:rPr>
        <w:t>•</w:t>
      </w:r>
      <w:r>
        <w:rPr>
          <w:rFonts w:ascii="Arial;sans-serif" w:hAnsi="Arial;sans-serif"/>
          <w:b w:val="false"/>
          <w:color w:val="000000"/>
          <w:sz w:val="14"/>
        </w:rPr>
        <w:t>Marketing &amp; Distribution—fruit costs, employee-related expenses, freight, packaging costs, depreciation, and other costs.</w:t>
      </w:r>
    </w:p>
    <w:p>
      <w:pPr>
        <w:pStyle w:val="TextBody"/>
        <w:bidi w:val="0"/>
        <w:spacing w:lineRule="auto" w:line="288" w:before="60" w:after="60"/>
        <w:ind w:left="0" w:right="0" w:hanging="270"/>
        <w:jc w:val="left"/>
        <w:rPr/>
      </w:pPr>
      <w:r>
        <w:rPr>
          <w:color w:val="000000"/>
        </w:rPr>
        <w:t>•</w:t>
      </w:r>
      <w:r>
        <w:rPr>
          <w:rFonts w:ascii="Arial;sans-serif" w:hAnsi="Arial;sans-serif"/>
          <w:b w:val="false"/>
          <w:color w:val="000000"/>
          <w:sz w:val="14"/>
        </w:rPr>
        <w:t>Prepared Foods—raw materials and ingredients, production costs, employee-related expenses, freight, depreciation, and other costs.</w:t>
      </w:r>
    </w:p>
    <w:p>
      <w:pPr>
        <w:pStyle w:val="TextBody"/>
        <w:bidi w:val="0"/>
        <w:spacing w:lineRule="auto" w:line="288" w:before="60" w:after="60"/>
        <w:ind w:left="0" w:right="0" w:hanging="270"/>
        <w:jc w:val="left"/>
        <w:rPr/>
      </w:pPr>
      <w:r>
        <w:rPr>
          <w:color w:val="000000"/>
        </w:rPr>
        <w:t>•</w:t>
      </w:r>
      <w:r>
        <w:rPr>
          <w:rFonts w:ascii="Arial;sans-serif" w:hAnsi="Arial;sans-serif"/>
          <w:b w:val="false"/>
          <w:color w:val="000000"/>
          <w:sz w:val="14"/>
        </w:rPr>
        <w:t>International Farming and Blueberries—employee-related expenses, farming costs, packaging costs, depreciation and other costs.</w:t>
      </w:r>
    </w:p>
    <w:p>
      <w:pPr>
        <w:pStyle w:val="TextBody"/>
        <w:bidi w:val="0"/>
        <w:spacing w:lineRule="auto" w:line="288" w:before="60" w:after="60"/>
        <w:ind w:left="0" w:right="0" w:hanging="360"/>
        <w:jc w:val="left"/>
        <w:rPr>
          <w:rFonts w:ascii="Arial;sans-serif" w:hAnsi="Arial;sans-serif"/>
          <w:b w:val="false"/>
          <w:color w:val="000000"/>
          <w:sz w:val="14"/>
        </w:rPr>
      </w:pPr>
      <w:r>
        <w:rPr>
          <w:rFonts w:ascii="Arial;sans-serif" w:hAnsi="Arial;sans-serif"/>
          <w:b w:val="false"/>
          <w:color w:val="000000"/>
          <w:sz w:val="14"/>
        </w:rPr>
        <w:t>(2)Segment selling, general and administrative expenses for each reportable segment included employee-related expenses including performance-based stock compensation expense and statutory profit-sharing expense, professional fees, transaction advisory and integration costs, and other general corporate expenses.</w:t>
      </w:r>
    </w:p>
    <w:p>
      <w:pPr>
        <w:pStyle w:val="TextBody"/>
        <w:bidi w:val="0"/>
        <w:spacing w:before="60" w:after="60"/>
        <w:jc w:val="left"/>
        <w:rPr/>
      </w:pPr>
      <w:r>
        <w:rPr/>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Supplemental information by segment is as follows.</w:t>
      </w:r>
    </w:p>
    <w:tbl>
      <w:tblPr>
        <w:tblW w:w="8355" w:type="dxa"/>
        <w:jc w:val="left"/>
        <w:tblInd w:w="0" w:type="dxa"/>
        <w:tblLayout w:type="fixed"/>
        <w:tblCellMar>
          <w:top w:w="28" w:type="dxa"/>
          <w:left w:w="28" w:type="dxa"/>
          <w:bottom w:w="28" w:type="dxa"/>
          <w:right w:w="28" w:type="dxa"/>
        </w:tblCellMar>
      </w:tblPr>
      <w:tblGrid>
        <w:gridCol w:w="1537"/>
        <w:gridCol w:w="1344"/>
        <w:gridCol w:w="1364"/>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4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Depreciation and amortization expense by segment:</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Prepared Foods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Blueberries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 by segment:</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Prepared Foods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Blueberries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13360"/>
                <wp:effectExtent l="0" t="0" r="0" b="0"/>
                <wp:wrapNone/>
                <wp:docPr id="23" name="Frame2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Supplemental sales information is as follows.</w:t>
      </w:r>
    </w:p>
    <w:tbl>
      <w:tblPr>
        <w:tblW w:w="6390" w:type="dxa"/>
        <w:jc w:val="left"/>
        <w:tblInd w:w="0" w:type="dxa"/>
        <w:tblLayout w:type="fixed"/>
        <w:tblCellMar>
          <w:top w:w="28" w:type="dxa"/>
          <w:left w:w="28" w:type="dxa"/>
          <w:bottom w:w="28" w:type="dxa"/>
          <w:right w:w="28" w:type="dxa"/>
        </w:tblCellMar>
      </w:tblPr>
      <w:tblGrid>
        <w:gridCol w:w="597"/>
        <w:gridCol w:w="524"/>
        <w:gridCol w:w="529"/>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691"/>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By type</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Avocado</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Mango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Prepared foods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By customer location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 of world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1,019.5 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1,072.2 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13360"/>
                <wp:effectExtent l="0" t="0" r="0" b="0"/>
                <wp:wrapNone/>
                <wp:docPr id="24" name="Frame2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2.        Management’s Discussion and Analysis of Financial Condition and Results of Operations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You should read the following discussion and analysis of our financial condition and results of operations together with our unaudited financial statements and related notes included elsewhere in this quarterly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Please refer to the section of this report under the heading “Forward-Looking Statements.”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are a world leader in sourcing, producing, growing and distributing Hass avocados, serving retail, wholesale and foodservice customers. We source, produce, pack and distribute avocados along with other fruits, including mangos, to our customers and provide value-added services including ripening, bagging, custom packaging and logistical management. We also process and package guacamole and related products sold at retail locations and to food service operators. In addition, we provide our customers with merchandising and promotional support, insights on market trends and training designed to increase their retail avocado sales.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have four operating segments which are also reportable segments:</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 xml:space="preserve">Marketing &amp; Distribution. </w:t>
      </w:r>
      <w:r>
        <w:rPr>
          <w:rFonts w:ascii="Arial;sans-serif" w:hAnsi="Arial;sans-serif"/>
          <w:b w:val="false"/>
          <w:color w:val="000000"/>
          <w:sz w:val="16"/>
        </w:rPr>
        <w:t>Our Marketing &amp; Distribution reportable segment sources fruit from growers and then distributes the fruit through our global distribution network. The former “Fresh” business of Calavo is included in this segment.</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Prepared Foods</w:t>
      </w:r>
      <w:r>
        <w:rPr>
          <w:rFonts w:ascii="Arial;sans-serif" w:hAnsi="Arial;sans-serif"/>
          <w:b w:val="false"/>
          <w:color w:val="000000"/>
          <w:sz w:val="16"/>
        </w:rPr>
        <w:t>. Includes prepared products, such as packaged guacamole and salsas, sold to retail and foodservice customers. This segment is equivalent to the acquired “Prepared Foods” business of Calavo.</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International Farming.</w:t>
      </w:r>
      <w:r>
        <w:rPr>
          <w:color w:val="000000"/>
        </w:rPr>
        <w:t xml:space="preserve"> </w:t>
      </w:r>
      <w:r>
        <w:rPr>
          <w:rFonts w:ascii="Arial;sans-serif" w:hAnsi="Arial;sans-serif"/>
          <w:b w:val="false"/>
          <w:color w:val="000000"/>
          <w:sz w:val="16"/>
        </w:rPr>
        <w:t xml:space="preserve">International Farming owns and operates orchards from which the vast majority of fruit produced is sold to our Marketing &amp; Distribution segment. The segment’s farming activities range from cultivating early-stage plantings to harvesting from mature trees. It also earns service revenues for packing and processing fruit for both our Blueberries segment, as well as for third-party producers of other crops. Operations are principally located in Peru and Guatemala. </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 xml:space="preserve">Blueberries. </w:t>
      </w:r>
      <w:r>
        <w:rPr>
          <w:rFonts w:ascii="Arial;sans-serif" w:hAnsi="Arial;sans-serif"/>
          <w:b w:val="false"/>
          <w:color w:val="000000"/>
          <w:sz w:val="16"/>
        </w:rPr>
        <w:t>The Blueberries segment consists of farming activities that include cultivating early-stage blueberry plantings and harvesting mature bushes. Substantially all blueberries produced are sold to a single distributor under an exclusive marketing agreement.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Acquisition of Calavo</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On May 28, 2026, we consummated our acquisition of 100% of outstanding common stock of Calavo. Calavo is a leading provider of fresh avocados, tomatoes, papayas, and value-added prepared foods, including a variety of ready-to-eat products such as guacamole and salsas. Its products are sold under the Calavo brand name, proprietary sub-brands, as well as private labels and store brands.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transaction enhances our position in the North American avocado category with expanded supply reliability across Mexico and California. The transaction also represents our entry into the prepared food sector, complementing our existing value-added avocado business. The transaction also provides a significant value opportunity for us to realize cost synergies and SG&amp;A savings. The results of Calavo and interest costs associated with the debt incurred are included in our results for periods following the closing date.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Tariffs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February 20, 2026, the U.S. Supreme Court issued a ruling striking down certain tariffs previously imposed under the International Emergency Economic Powers Act (IEEPA), and remanded related matters to the Court of International Trade. Following the Supreme Court’s decision, the U.S. presidential administration announced its intention to invoke other laws to collect tariffs and announced new tariffs on imports from all countries, in addition to any existing non-IEEPA tariffs. There remains substantial uncertainty regarding the duration of existing and newly announced tariffs, potential changes or pauses to such tariffs, tariff levels, and whether further additional tariffs or other retaliatory actions may be imposed, modified, or suspended, and the impacts of such actions on our business.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Subsequently, the U.S. Customs and Border Protection (CBP) has created the Consolidated Administration and Processing of Entries (CAPE) system to administer refunds for tariffs imposed under IEEPA. The system was released in phases corresponding to different classes of claims. During the third fiscal quarter of 2026, we submitted or have developed a plan to submit approximately $12.5 million in claims. As a portion of the refunds have been received during the third quarter, we believe the remainder of the claims are realizable. Refunds and receivables for refund claims have been recognized as allowances against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13360"/>
                <wp:effectExtent l="0" t="0" r="0" b="0"/>
                <wp:wrapNone/>
                <wp:docPr id="25" name="Frame25"/>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 xml:space="preserve">revenue and cost of sales based on the nature of the settlements. We are monitoring the situation closely for any changes to the ability to recover refunds.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operating results of our businesses are significantly impacted by the price and volume of fruit we farm, source and distribute. In addition, our results have been, and will continue to be, affected by quarterly and annual fluctuations due to a number of factors, including but not limited to: tariffs; pests and disease; weather patterns; changes in demand by consumers; food safety advisories; the timing of the receipt, reduction or cancellation of significant customer orders; the gain or loss of significant customers; the availability, quality and price of raw materials; the utilization of capacity at our various locations; and general economic conditions.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financial reporting currency is the U.S. dollar. The functional currency of our most significant subsidiaries is the U.S. dollar and the majority of our sales are denominated in U.S. dollars. A significant portion of our purchases of avocados are denominated in the Mexican Peso and a significant portion of our growing and harvesting costs are denominated in Peruvian Soles. Fluctuations in the exchange rates between the U.S. dollar and these local currencies usually do not have a significant impact on our gross margin because the impact typically affects our pricing by comparable amounts. Our margin exposure to exchange rate fluctuations is short-term in nature, as our sales price commitments are generally limited to less than one month and orders can primarily be serviced with procured inventory. Over longer periods of time, we believe that the impact that exchange rate fluctuations will have on our cost of goods sold will largely be passed on to our customers in the form of higher or lower prices.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023"/>
        <w:gridCol w:w="864"/>
        <w:gridCol w:w="868"/>
        <w:gridCol w:w="196"/>
        <w:gridCol w:w="556"/>
        <w:gridCol w:w="109"/>
        <w:gridCol w:w="210"/>
        <w:gridCol w:w="211"/>
        <w:gridCol w:w="256"/>
        <w:gridCol w:w="109"/>
        <w:gridCol w:w="109"/>
        <w:gridCol w:w="109"/>
        <w:gridCol w:w="196"/>
        <w:gridCol w:w="556"/>
        <w:gridCol w:w="109"/>
        <w:gridCol w:w="210"/>
        <w:gridCol w:w="211"/>
        <w:gridCol w:w="256"/>
        <w:gridCol w:w="109"/>
        <w:gridCol w:w="109"/>
        <w:gridCol w:w="109"/>
        <w:gridCol w:w="196"/>
        <w:gridCol w:w="691"/>
        <w:gridCol w:w="109"/>
        <w:gridCol w:w="210"/>
        <w:gridCol w:w="211"/>
        <w:gridCol w:w="256"/>
        <w:gridCol w:w="109"/>
        <w:gridCol w:w="109"/>
        <w:gridCol w:w="109"/>
        <w:gridCol w:w="196"/>
        <w:gridCol w:w="691"/>
        <w:gridCol w:w="109"/>
        <w:gridCol w:w="210"/>
        <w:gridCol w:w="211"/>
        <w:gridCol w:w="303"/>
      </w:tblGrid>
      <w:tr>
        <w:trPr/>
        <w:tc>
          <w:tcPr>
            <w:tcW w:w="102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2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2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for percentages)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Dollars</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Dollars</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Dollars</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Dollars</w:t>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w:t>
            </w:r>
          </w:p>
        </w:tc>
      </w:tr>
      <w:tr>
        <w:trPr/>
        <w:tc>
          <w:tcPr>
            <w:tcW w:w="2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Transaction advisory and integration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7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income (loss)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7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income before income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7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Less:</w:t>
            </w:r>
          </w:p>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Net income (loss) attributable to noncontrolling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75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 attributable to Mission Produce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Net sales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net sales are generated predominantly from the shipment of fresh avocados to retail, wholesale and foodservice customers worldwide. Our net sales are affected by numerous factors, including the balance between the supply of and demand for our produce and competition from other fresh produce companies. Our net sales are also dependent on our ability to supply a consistent volume and quality of fresh produce to the markets we serve.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13360"/>
                <wp:effectExtent l="0" t="0" r="0" b="0"/>
                <wp:wrapNone/>
                <wp:docPr id="26" name="Frame26"/>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0" w:after="0"/>
        <w:ind w:left="0" w:right="0" w:firstLine="720"/>
        <w:jc w:val="left"/>
        <w:rPr/>
      </w:pPr>
      <w:r>
        <w:rPr/>
      </w:r>
    </w:p>
    <w:tbl>
      <w:tblPr>
        <w:tblW w:w="6750" w:type="dxa"/>
        <w:jc w:val="center"/>
        <w:tblInd w:w="0" w:type="dxa"/>
        <w:tblLayout w:type="fixed"/>
        <w:tblCellMar>
          <w:top w:w="28" w:type="dxa"/>
          <w:left w:w="28" w:type="dxa"/>
          <w:bottom w:w="28" w:type="dxa"/>
          <w:right w:w="28" w:type="dxa"/>
        </w:tblCellMar>
      </w:tblPr>
      <w:tblGrid>
        <w:gridCol w:w="727"/>
        <w:gridCol w:w="638"/>
        <w:gridCol w:w="645"/>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691"/>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sales by segment:</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and Distribution</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Prepared Foods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1,019.5 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1,072.2 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Net sales increased $92.3 million or 26% in the three months ended July 31, 2026 compared to the same period last year, primarily driven by our Marketing &amp; Distribution segment, where an increase in avocado volume sold of 38%, partially offset by a decrease in per-unit avocado sales prices of 9%. Volume increased from the integration of the acquired Calavo operation as well as the impact of increased Mexican avocado supply due to higher yields in the current year.</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Net sales decreased $52.7 million or 5% in the nine months ended July 31, 2026 compared to the same period last year, primarily driven by our Marketing &amp; Distribution segment, where a decrease in per-unit avocado sales prices of 25% was partially offset by an increase in avocado volume sold of 23%. Volume increased from the integration of the acquired Calavo operation as well as the impact of increased Mexican avocado supply due to higher yields in the current year.</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Gross profit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Cost of sales is composed primarily of avocado procurement costs from independent growers and packers, logistics costs, packaging costs, labor, costs associated with cultivation (the cost of growing crops), harvesting and depreciation. Avocado procurement costs from third-party suppliers can vary significantly between and within fiscal years and correlate closely with market prices for avocados. While we have long-standing relationships with our growers and packers, we predominantly purchase fruit on a daily basis at market rates. As such, the cost to procure products from independent growers can have a significant impact on our costs.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Logistics costs include land and sea transportation and expenses related to port facilities and distribution centers as well as tariffs/import duties. Land transportation costs consist primarily of third-party trucking services to support North American distribution, while sea transportation cost consists primarily of third-party shipping of refrigerated containers from supply markets in South and Central America to demand markets in North America, Europe and Asia. Fuel prices as well as variations in containerboard prices, which affect the cost of boxes and other packaging materials, impact our product cost and our profit margins. Variations in production yields and other input costs also affect our cost of sales.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general, changes in our volume of products sold can have a disproportionate effect on our gross profit. Within any particular year, a significant portion of our cost of products are fixed. Accordingly, higher volumes produced on company-owned farms directly reduce the average cost per pound of fruit grown on company owned orchards, while lower volumes directly increase the average cost per pound of fruit grown on company owned orchards. Likewise, higher volumes processed through packing and distribution facilities directly reduce the average overhead cost per unit of fruit handled, while lower volumes directly increase the average overhead cost per unit of fruit handled.</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Gross profit percentage will fluctuate based upon per-unit sales price levels in relation to per-unit costs. Margin is primarily managed on a per-unit basis in our Marketing &amp; Distribution segment, which can lead to movement in gross profit percentage when sales prices fluctuate.</w:t>
      </w:r>
    </w:p>
    <w:tbl>
      <w:tblPr>
        <w:tblW w:w="7198" w:type="dxa"/>
        <w:jc w:val="center"/>
        <w:tblInd w:w="0" w:type="dxa"/>
        <w:tblLayout w:type="fixed"/>
        <w:tblCellMar>
          <w:top w:w="28" w:type="dxa"/>
          <w:left w:w="28" w:type="dxa"/>
          <w:bottom w:w="28" w:type="dxa"/>
          <w:right w:w="28" w:type="dxa"/>
        </w:tblCellMar>
      </w:tblPr>
      <w:tblGrid>
        <w:gridCol w:w="1027"/>
        <w:gridCol w:w="899"/>
        <w:gridCol w:w="908"/>
        <w:gridCol w:w="196"/>
        <w:gridCol w:w="466"/>
        <w:gridCol w:w="256"/>
        <w:gridCol w:w="109"/>
        <w:gridCol w:w="109"/>
        <w:gridCol w:w="109"/>
        <w:gridCol w:w="284"/>
        <w:gridCol w:w="182"/>
        <w:gridCol w:w="296"/>
        <w:gridCol w:w="109"/>
        <w:gridCol w:w="109"/>
        <w:gridCol w:w="109"/>
        <w:gridCol w:w="196"/>
        <w:gridCol w:w="466"/>
        <w:gridCol w:w="256"/>
        <w:gridCol w:w="109"/>
        <w:gridCol w:w="109"/>
        <w:gridCol w:w="109"/>
        <w:gridCol w:w="214"/>
        <w:gridCol w:w="162"/>
        <w:gridCol w:w="409"/>
      </w:tblGrid>
      <w:tr>
        <w:trPr/>
        <w:tc>
          <w:tcPr>
            <w:tcW w:w="102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profit (in millions)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105.0</w:t>
            </w:r>
          </w:p>
        </w:tc>
      </w:tr>
      <w:tr>
        <w:trPr/>
        <w:tc>
          <w:tcPr>
            <w:tcW w:w="28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profit as a percentage of sales</w:t>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2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4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Gross profit decreased $0.4 million or 1% for the three months ended July 31, 2026 compared to the same period last year and gross profit percentage decreased 270 basis points compared to the same period last year, to 9.9% of revenue. In our International Farming segment, gross profit decreased due to lower average sales prices attributed to higher global supply of avocados in the current year. Gross profit in our Marketing and Distribution segment was higher due to the inclusion of Calavo’s post-acquisition results, partially offset by the impact of amortization of certain assets recognized in the business combination. Gross profit improvement in our Blueberries segment was driven by the one-time impact of IEEPA tariff refunds in the current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13360"/>
                <wp:effectExtent l="0" t="0" r="0" b="0"/>
                <wp:wrapNone/>
                <wp:docPr id="27" name="Frame27"/>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Gross profit decreased $8.2 million or 8% for the nine months ended July 31, 2026, while gross profit percentage decreased compared to the same period last year at 9.5% of revenue. In our International Farming segment gross profit was lower due to lower average sales prices attributed to higher global supply of avocados in the current year. Gross profit improved in our Marketing and Distribution segment due to higher volume resulting from the inclusion of Calavo’s post-acquisition results in the current year. Gross profit in our Blueberries segment was lower due to lower volume and higher per-unit production costs associated with lower yields in the current year, partially offset by one-time impact of IEEPA tariff refunds in the current year.</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SG&amp;A</w:t>
      </w:r>
    </w:p>
    <w:p>
      <w:pPr>
        <w:pStyle w:val="TextBody"/>
        <w:bidi w:val="0"/>
        <w:spacing w:lineRule="auto" w:line="288" w:before="240" w:after="120"/>
        <w:ind w:left="0" w:right="0" w:firstLine="720"/>
        <w:jc w:val="left"/>
        <w:rPr>
          <w:rFonts w:ascii="Arial;sans-serif" w:hAnsi="Arial;sans-serif"/>
          <w:b w:val="false"/>
          <w:color w:val="000000"/>
          <w:sz w:val="16"/>
        </w:rPr>
      </w:pPr>
      <w:r>
        <w:rPr>
          <w:rFonts w:ascii="Arial;sans-serif" w:hAnsi="Arial;sans-serif"/>
          <w:b w:val="false"/>
          <w:color w:val="000000"/>
          <w:sz w:val="16"/>
        </w:rPr>
        <w:t>Selling, general and administrative (“SG&amp;A”) expenses primarily include the costs associated with selling, professional fees, general corporate overhead and other related administrative functions.</w:t>
      </w:r>
    </w:p>
    <w:tbl>
      <w:tblPr>
        <w:tblW w:w="7454" w:type="dxa"/>
        <w:jc w:val="center"/>
        <w:tblInd w:w="0" w:type="dxa"/>
        <w:tblLayout w:type="fixed"/>
        <w:tblCellMar>
          <w:top w:w="28" w:type="dxa"/>
          <w:left w:w="28" w:type="dxa"/>
          <w:bottom w:w="28" w:type="dxa"/>
          <w:right w:w="28" w:type="dxa"/>
        </w:tblCellMar>
      </w:tblPr>
      <w:tblGrid>
        <w:gridCol w:w="1209"/>
        <w:gridCol w:w="1060"/>
        <w:gridCol w:w="1075"/>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12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Transaction advisory and integration costs</w:t>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SG&amp;A expenses excluding transaction advisory and integration costs increased $7.6 million or 32% and $7.3 million or 11% for the three and nine months ended July 31, 2026, respectively, compared to the same periods last year, driven by the inclusion of expense and amortization of certain assets recognized in the business combination.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Transaction advisory and integration costs are comprised of third-party legal, diligence, severance/retention, and other costs associated with the Calavo acquisition, which was completed on May 28, 2026.</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Interest expense</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Interest expense consists primarily of interest on borrowings under working capital facilities that we maintain and interest on other long-term debt used to make capital and equity investments. We also incur interest expense on finance leases, computed using each lease’s explicit or implicit borrowing rate. </w:t>
      </w:r>
    </w:p>
    <w:p>
      <w:pPr>
        <w:pStyle w:val="TextBody"/>
        <w:bidi w:val="0"/>
        <w:spacing w:before="0" w:after="0"/>
        <w:ind w:left="0" w:right="0" w:firstLine="720"/>
        <w:jc w:val="left"/>
        <w:rPr/>
      </w:pPr>
      <w:r>
        <w:rPr/>
      </w:r>
    </w:p>
    <w:tbl>
      <w:tblPr>
        <w:tblW w:w="5161" w:type="dxa"/>
        <w:jc w:val="center"/>
        <w:tblInd w:w="0" w:type="dxa"/>
        <w:tblLayout w:type="fixed"/>
        <w:tblCellMar>
          <w:top w:w="28" w:type="dxa"/>
          <w:left w:w="28" w:type="dxa"/>
          <w:bottom w:w="28" w:type="dxa"/>
          <w:right w:w="28" w:type="dxa"/>
        </w:tblCellMar>
      </w:tblPr>
      <w:tblGrid>
        <w:gridCol w:w="488"/>
        <w:gridCol w:w="428"/>
        <w:gridCol w:w="433"/>
        <w:gridCol w:w="203"/>
        <w:gridCol w:w="390"/>
        <w:gridCol w:w="113"/>
        <w:gridCol w:w="113"/>
        <w:gridCol w:w="113"/>
        <w:gridCol w:w="113"/>
        <w:gridCol w:w="203"/>
        <w:gridCol w:w="390"/>
        <w:gridCol w:w="113"/>
        <w:gridCol w:w="109"/>
        <w:gridCol w:w="109"/>
        <w:gridCol w:w="109"/>
        <w:gridCol w:w="196"/>
        <w:gridCol w:w="376"/>
        <w:gridCol w:w="109"/>
        <w:gridCol w:w="109"/>
        <w:gridCol w:w="109"/>
        <w:gridCol w:w="109"/>
        <w:gridCol w:w="196"/>
        <w:gridCol w:w="376"/>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Interest expense increased $2.7 million or 113% and $1.6 million or 23% in the three and nine months ended July 31, 2026, respectively, compared to the same periods last year, due to higher outstanding debt balances related to the financing of the Calavo acquisition. Interest rates applicable to our credit facility are variable, based on SOFR and a spread depending on our net leverage ratio.</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Equity method income</w:t>
      </w:r>
    </w:p>
    <w:p>
      <w:pPr>
        <w:pStyle w:val="TextBody"/>
        <w:bidi w:val="0"/>
        <w:spacing w:lineRule="auto" w:line="288" w:before="240" w:after="240"/>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Our material equity method investees include Henry Avocado (“HAC”), Mr. Avocado, Copaltas and Agricola Don Memo (“Don Memo”). </w:t>
      </w:r>
    </w:p>
    <w:tbl>
      <w:tblPr>
        <w:tblW w:w="5536" w:type="dxa"/>
        <w:jc w:val="center"/>
        <w:tblInd w:w="0" w:type="dxa"/>
        <w:tblLayout w:type="fixed"/>
        <w:tblCellMar>
          <w:top w:w="28" w:type="dxa"/>
          <w:left w:w="28" w:type="dxa"/>
          <w:bottom w:w="28" w:type="dxa"/>
          <w:right w:w="28" w:type="dxa"/>
        </w:tblCellMar>
      </w:tblPr>
      <w:tblGrid>
        <w:gridCol w:w="624"/>
        <w:gridCol w:w="547"/>
        <w:gridCol w:w="553"/>
        <w:gridCol w:w="203"/>
        <w:gridCol w:w="390"/>
        <w:gridCol w:w="113"/>
        <w:gridCol w:w="113"/>
        <w:gridCol w:w="113"/>
        <w:gridCol w:w="113"/>
        <w:gridCol w:w="203"/>
        <w:gridCol w:w="390"/>
        <w:gridCol w:w="113"/>
        <w:gridCol w:w="109"/>
        <w:gridCol w:w="109"/>
        <w:gridCol w:w="109"/>
        <w:gridCol w:w="196"/>
        <w:gridCol w:w="376"/>
        <w:gridCol w:w="109"/>
        <w:gridCol w:w="109"/>
        <w:gridCol w:w="109"/>
        <w:gridCol w:w="109"/>
        <w:gridCol w:w="196"/>
        <w:gridCol w:w="376"/>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17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Equity method income was flat for the three months ended July 31, 2026 compared to the same period last year. Equity method income increased $1.0 million or 27% in the nine months ended July 31, 2026, compared to the same period last year. Equity method income is mostly comprised of earnings in our investment in HAC.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13360"/>
                <wp:effectExtent l="0" t="0" r="0" b="0"/>
                <wp:wrapNone/>
                <wp:docPr id="28" name="Frame28"/>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(expense) income, net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Other (expense) income, net consists of interest and dividend income, currency exchange gains or losses, interest rate derivative gains or losses and other miscellaneous income and expense items.</w:t>
      </w:r>
    </w:p>
    <w:p>
      <w:pPr>
        <w:pStyle w:val="TextBody"/>
        <w:bidi w:val="0"/>
        <w:spacing w:before="0" w:after="0"/>
        <w:jc w:val="left"/>
        <w:rPr/>
      </w:pPr>
      <w:r>
        <w:rPr/>
      </w:r>
    </w:p>
    <w:tbl>
      <w:tblPr>
        <w:tblW w:w="6195" w:type="dxa"/>
        <w:jc w:val="center"/>
        <w:tblInd w:w="0" w:type="dxa"/>
        <w:tblLayout w:type="fixed"/>
        <w:tblCellMar>
          <w:top w:w="28" w:type="dxa"/>
          <w:left w:w="28" w:type="dxa"/>
          <w:bottom w:w="28" w:type="dxa"/>
          <w:right w:w="28" w:type="dxa"/>
        </w:tblCellMar>
      </w:tblPr>
      <w:tblGrid>
        <w:gridCol w:w="803"/>
        <w:gridCol w:w="705"/>
        <w:gridCol w:w="712"/>
        <w:gridCol w:w="196"/>
        <w:gridCol w:w="451"/>
        <w:gridCol w:w="109"/>
        <w:gridCol w:w="109"/>
        <w:gridCol w:w="109"/>
        <w:gridCol w:w="109"/>
        <w:gridCol w:w="196"/>
        <w:gridCol w:w="451"/>
        <w:gridCol w:w="109"/>
        <w:gridCol w:w="109"/>
        <w:gridCol w:w="109"/>
        <w:gridCol w:w="109"/>
        <w:gridCol w:w="196"/>
        <w:gridCol w:w="451"/>
        <w:gridCol w:w="109"/>
        <w:gridCol w:w="109"/>
        <w:gridCol w:w="109"/>
        <w:gridCol w:w="109"/>
        <w:gridCol w:w="196"/>
        <w:gridCol w:w="37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222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Other expense increased $1.7 million or 213% in the three months ended July 31, 2026 compared to the same period last year, primarily due to debt restructuring fees incurred in the current year related to the Calavo acquisition.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Other expense was $4.9 million for the nine months ended July 31, 2026 compared to other income of $0.1 million for the same period last year. The change was attributed to debt restructuring fees incurred in the current year related to the Calavo acquisition and greater foreign currency transaction losses resulting from more pronounced weakening of the U.S. dollar relative to the Mexican peso in the current year.</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Provision for income taxes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provision for income taxes consists of the consolidation of tax provisions, computed on a separate entity basis, in each country in which we have operations. We recognize the effects of tax legislation in the period in which the law is enacted. Our deferred tax assets and liabilities are measured using enacted tax rates expected to apply to taxable income in the years we estimate the related temporary differences to reverse. Realization of deferred tax assets is dependent upon future earnings, the timing and amount of which are uncertain.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recognize an uncertain tax position only if it is more likely than not the tax position will be sustained on examination by the taxing authorities, based on the technical merits of the position. Such positions are then measured based on the largest outcome that has a greater than 50% likelihood of being realized upon settlement. Interest and penalties are recognized within the provision for income taxes.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effective tax rate is impacted by income attributable to foreign jurisdictions which is taxed at different rates from the U.S. federal statutory tax rate of 21%, changes in foreign exchange rates taxable in foreign jurisdictions and nondeductible tax items.</w:t>
      </w:r>
    </w:p>
    <w:p>
      <w:pPr>
        <w:pStyle w:val="TextBody"/>
        <w:bidi w:val="0"/>
        <w:spacing w:before="0" w:after="0"/>
        <w:jc w:val="left"/>
        <w:rPr/>
      </w:pPr>
      <w:r>
        <w:rPr/>
      </w:r>
    </w:p>
    <w:tbl>
      <w:tblPr>
        <w:tblW w:w="7338" w:type="dxa"/>
        <w:jc w:val="center"/>
        <w:tblInd w:w="0" w:type="dxa"/>
        <w:tblLayout w:type="fixed"/>
        <w:tblCellMar>
          <w:top w:w="28" w:type="dxa"/>
          <w:left w:w="28" w:type="dxa"/>
          <w:bottom w:w="28" w:type="dxa"/>
          <w:right w:w="28" w:type="dxa"/>
        </w:tblCellMar>
      </w:tblPr>
      <w:tblGrid>
        <w:gridCol w:w="1053"/>
        <w:gridCol w:w="925"/>
        <w:gridCol w:w="932"/>
        <w:gridCol w:w="196"/>
        <w:gridCol w:w="376"/>
        <w:gridCol w:w="256"/>
        <w:gridCol w:w="109"/>
        <w:gridCol w:w="109"/>
        <w:gridCol w:w="109"/>
        <w:gridCol w:w="196"/>
        <w:gridCol w:w="376"/>
        <w:gridCol w:w="256"/>
        <w:gridCol w:w="109"/>
        <w:gridCol w:w="109"/>
        <w:gridCol w:w="109"/>
        <w:gridCol w:w="196"/>
        <w:gridCol w:w="376"/>
        <w:gridCol w:w="256"/>
        <w:gridCol w:w="109"/>
        <w:gridCol w:w="109"/>
        <w:gridCol w:w="109"/>
        <w:gridCol w:w="196"/>
        <w:gridCol w:w="466"/>
        <w:gridCol w:w="301"/>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Provision for income taxes (in millions)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Effective tax rate</w:t>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3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provision for income taxes decreased $4.7 million or 89% for the three months ended July 31, 2026 compared to the same period last year and decreased $9.8 million or 96% for the nine months ended July 31, 2026 compared to the same period last year. The provisions were impacted by the effect of lower income before taxes in the current year, partially offset by a discrete Mexican transfer tax charge of $1.8 million related to the acquisition of Calavo assets in Mexico. Our effective tax rate was also impacted by book losses in jurisdictions where either a full valuation allowance has been recorded or where loss carryforward is disallowed in both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Non-GAAP Measure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Adjusted EBITDA</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Adjusted EBITDA refers to net income (loss), before interest expense, income taxes, depreciation and amortization expense, stock-based compensation expense, other income (expense), and income (loss) from equity method investees, further adjusted by asset impairment and disposals, net of insurance recoveries, farming costs for nonproductive orchards (which represents land lease costs), certain noncash and nonrecurring ERP costs, transaction advisory and integration costs, material legal settlements, amortization of inventory assets recognized from business combinations, and any special, non-recurring, or one-time items such as remeasurements or impairments, and any portion of these items attributable to the noncontrolling interest. We believe that adjusted EBITDA provides useful information for analyzing the underlying business results as well as allowing investors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13360"/>
                <wp:effectExtent l="0" t="0" r="0" b="0"/>
                <wp:wrapNone/>
                <wp:docPr id="29" name="Frame29"/>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means to evaluate the financial results of each reportable segment in relation to the Company as a whole. This measure is not in accordance with, nor is it a substitute for or superior to, the comparable GAAP financial measure.</w:t>
      </w:r>
    </w:p>
    <w:tbl>
      <w:tblPr>
        <w:tblW w:w="9794" w:type="dxa"/>
        <w:jc w:val="center"/>
        <w:tblInd w:w="0" w:type="dxa"/>
        <w:tblLayout w:type="fixed"/>
        <w:tblCellMar>
          <w:top w:w="28" w:type="dxa"/>
          <w:left w:w="28" w:type="dxa"/>
          <w:bottom w:w="28" w:type="dxa"/>
          <w:right w:w="28" w:type="dxa"/>
        </w:tblCellMar>
      </w:tblPr>
      <w:tblGrid>
        <w:gridCol w:w="2032"/>
        <w:gridCol w:w="1779"/>
        <w:gridCol w:w="1798"/>
        <w:gridCol w:w="196"/>
        <w:gridCol w:w="466"/>
        <w:gridCol w:w="109"/>
        <w:gridCol w:w="109"/>
        <w:gridCol w:w="109"/>
        <w:gridCol w:w="109"/>
        <w:gridCol w:w="196"/>
        <w:gridCol w:w="466"/>
        <w:gridCol w:w="109"/>
        <w:gridCol w:w="109"/>
        <w:gridCol w:w="109"/>
        <w:gridCol w:w="109"/>
        <w:gridCol w:w="196"/>
        <w:gridCol w:w="541"/>
        <w:gridCol w:w="109"/>
        <w:gridCol w:w="109"/>
        <w:gridCol w:w="109"/>
        <w:gridCol w:w="109"/>
        <w:gridCol w:w="196"/>
        <w:gridCol w:w="466"/>
        <w:gridCol w:w="154"/>
      </w:tblGrid>
      <w:tr>
        <w:trPr/>
        <w:tc>
          <w:tcPr>
            <w:tcW w:w="2032"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2025</w:t>
            </w:r>
          </w:p>
        </w:tc>
      </w:tr>
      <w:tr>
        <w:trPr/>
        <w:tc>
          <w:tcPr>
            <w:tcW w:w="5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Interest expense</w:t>
            </w:r>
            <w:r>
              <w:rPr>
                <w:rFonts w:ascii="Arial;sans-serif" w:hAnsi="Arial;sans-serif"/>
                <w:b w:val="false"/>
                <w:color w:val="000000"/>
                <w:sz w:val="10"/>
              </w:rPr>
              <w:t>(1)</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Depreciation and amortization</w:t>
            </w:r>
            <w:r>
              <w:rPr>
                <w:rFonts w:ascii="Arial;sans-serif" w:hAnsi="Arial;sans-serif"/>
                <w:b w:val="false"/>
                <w:color w:val="000000"/>
                <w:sz w:val="10"/>
              </w:rPr>
              <w:t>(2)</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Losses on asset impairment and disposals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Farming costs for nonproductive orchards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Recognition of deferred ERP costs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inventory adjustment recognized from business combination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Transaction advisory and integration costs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Supply chain optimization costs</w:t>
            </w:r>
            <w:r>
              <w:rPr>
                <w:rFonts w:ascii="Arial;sans-serif" w:hAnsi="Arial;sans-serif"/>
                <w:b w:val="false"/>
                <w:color w:val="000000"/>
                <w:sz w:val="10"/>
              </w:rPr>
              <w:t>(3)</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Tariffs</w:t>
            </w:r>
            <w:r>
              <w:rPr>
                <w:rFonts w:ascii="Arial;sans-serif" w:hAnsi="Arial;sans-serif"/>
                <w:b w:val="false"/>
                <w:color w:val="000000"/>
                <w:sz w:val="10"/>
              </w:rPr>
              <w:t>(4)</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EBITDA before adjustment for noncontrolling interest</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Noncontrolling interest</w:t>
            </w:r>
            <w:r>
              <w:rPr>
                <w:rFonts w:ascii="Arial;sans-serif" w:hAnsi="Arial;sans-serif"/>
                <w:b w:val="false"/>
                <w:color w:val="000000"/>
                <w:sz w:val="10"/>
              </w:rPr>
              <w:t>(5)</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adjusted EBITDA</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(1)Includes interest expense from finance leases, the most significant of which is for land at our Blueberries segment of $0.5 million for both the three months ended July 31, 2026 and 2025 and $1.5 million for both the nine months ended July 31, 2026 and 2025.</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(2)Includes depreciation and amortization of purchase accounting assets of $2.2 million and zero for the three months ended July 31, 2026 and 2025, respectively, and $2.5 million and $0.8 million for nine months ended July 31, 2026 and 2025, respectively. Includes $0.3 million of amortization of the Blueberries finance lease for both the three months ended July 31, 2026 and 2025 and $0.7 million for both the nine months ended July 31, 2026 and 2025. Includes accelerated depreciation related to supply chain optimization</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(3)Represents accelerated amortization of operating lease right-of-use assets, early lease termination costs and severance costs incurred, recognized in cost of sales.</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(4)For the nine months ended July 31, 2025, amount represents tariff charges levied on USMCA-compliant goods imported from Mexico for the three-day period from March 4th to March 6th, 2025. The extremely short-term nature of the charges prevented the Company from effectively passing the charges in both pricing to customers and prices paid for goods from suppliers. USMCA-compliant goods have subsequently been exempted from tariff charges on U.S. imports. For the three and nine months ended July 31, 2026, amount represents actual and estimated refunds of IEEPA tariffs that were paid in the prior year that are primarily related to our Blueberries operation.</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(5)Represents net income (loss) attributable to noncontrolling interest plus the impact of non-GAAP adjustments, allocable to the noncontrolling owner based on their percentage of ownership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13360"/>
                <wp:effectExtent l="0" t="0" r="0" b="0"/>
                <wp:wrapNone/>
                <wp:docPr id="30" name="Frame30"/>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Segment Results of Operations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Net sales</w:t>
      </w:r>
    </w:p>
    <w:tbl>
      <w:tblPr>
        <w:tblW w:w="10205" w:type="dxa"/>
        <w:jc w:val="center"/>
        <w:tblInd w:w="0" w:type="dxa"/>
        <w:tblLayout w:type="fixed"/>
        <w:tblCellMar>
          <w:top w:w="28" w:type="dxa"/>
          <w:left w:w="28" w:type="dxa"/>
          <w:bottom w:w="28" w:type="dxa"/>
          <w:right w:w="28" w:type="dxa"/>
        </w:tblCellMar>
      </w:tblPr>
      <w:tblGrid>
        <w:gridCol w:w="707"/>
        <w:gridCol w:w="599"/>
        <w:gridCol w:w="589"/>
        <w:gridCol w:w="380"/>
        <w:gridCol w:w="1341"/>
        <w:gridCol w:w="212"/>
        <w:gridCol w:w="109"/>
        <w:gridCol w:w="109"/>
        <w:gridCol w:w="109"/>
        <w:gridCol w:w="328"/>
        <w:gridCol w:w="782"/>
        <w:gridCol w:w="183"/>
        <w:gridCol w:w="109"/>
        <w:gridCol w:w="109"/>
        <w:gridCol w:w="109"/>
        <w:gridCol w:w="437"/>
        <w:gridCol w:w="1042"/>
        <w:gridCol w:w="245"/>
        <w:gridCol w:w="109"/>
        <w:gridCol w:w="109"/>
        <w:gridCol w:w="109"/>
        <w:gridCol w:w="255"/>
        <w:gridCol w:w="608"/>
        <w:gridCol w:w="143"/>
        <w:gridCol w:w="109"/>
        <w:gridCol w:w="109"/>
        <w:gridCol w:w="109"/>
        <w:gridCol w:w="196"/>
        <w:gridCol w:w="691"/>
        <w:gridCol w:w="159"/>
      </w:tblGrid>
      <w:tr>
        <w:trPr/>
        <w:tc>
          <w:tcPr>
            <w:tcW w:w="70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Marketing &amp;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Prepared Foods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Blueberries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Total</w:t>
            </w:r>
          </w:p>
        </w:tc>
      </w:tr>
      <w:tr>
        <w:trPr/>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31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 xml:space="preserve">Three Months Ended </w:t>
              <w:br/>
              <w:t>July 31, 2026</w:t>
            </w:r>
          </w:p>
        </w:tc>
      </w:tr>
      <w:tr>
        <w:trPr/>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Third party sales</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414.3 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Affiliated sales</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segment sales</w:t>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414.3 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481.0 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Intercompany eliminations</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414.3 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Nine Months Ended</w:t>
              <w:br/>
              <w:t>July 31, 2026</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Third party sales</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926.3 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1,019.5 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Affiliated sales</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segment sales</w:t>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926.3 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1,063.1 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Intercompany eliminations</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(43.6)</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(43.6)</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926.3 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1,019.5 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 xml:space="preserve">Three Months Ended </w:t>
              <w:br/>
              <w:t>July 31, 2025</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Third party sales</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344.1 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Affiliated sales</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segment sales</w:t>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344.1 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397.6 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Intercompany eliminations</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(39.9)</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344.1 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Nine Months Ended</w:t>
              <w:br/>
              <w:t>July 31, 2025</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Third party sales</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1,002.4 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1,072.2 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Affiliated sales</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segment sales</w:t>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1,002.4 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66.3 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1,125.3 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Intercompany eliminations</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(53.1)</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3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1,002.4 </w:t>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2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56.6 </w:t>
            </w:r>
          </w:p>
        </w:tc>
        <w:tc>
          <w:tcPr>
            <w:tcW w:w="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1,072.2 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Segment operating income (loss)</w:t>
      </w:r>
    </w:p>
    <w:p>
      <w:pPr>
        <w:pStyle w:val="TextBody"/>
        <w:bidi w:val="0"/>
        <w:spacing w:before="0" w:after="0"/>
        <w:ind w:left="0" w:right="0" w:firstLine="720"/>
        <w:jc w:val="left"/>
        <w:rPr/>
      </w:pPr>
      <w:r>
        <w:rPr/>
      </w:r>
    </w:p>
    <w:tbl>
      <w:tblPr>
        <w:tblW w:w="6569" w:type="dxa"/>
        <w:jc w:val="center"/>
        <w:tblInd w:w="0" w:type="dxa"/>
        <w:tblLayout w:type="fixed"/>
        <w:tblCellMar>
          <w:top w:w="28" w:type="dxa"/>
          <w:left w:w="28" w:type="dxa"/>
          <w:bottom w:w="28" w:type="dxa"/>
          <w:right w:w="28" w:type="dxa"/>
        </w:tblCellMar>
      </w:tblPr>
      <w:tblGrid>
        <w:gridCol w:w="928"/>
        <w:gridCol w:w="814"/>
        <w:gridCol w:w="822"/>
        <w:gridCol w:w="196"/>
        <w:gridCol w:w="376"/>
        <w:gridCol w:w="109"/>
        <w:gridCol w:w="109"/>
        <w:gridCol w:w="109"/>
        <w:gridCol w:w="109"/>
        <w:gridCol w:w="196"/>
        <w:gridCol w:w="466"/>
        <w:gridCol w:w="109"/>
        <w:gridCol w:w="109"/>
        <w:gridCol w:w="109"/>
        <w:gridCol w:w="109"/>
        <w:gridCol w:w="196"/>
        <w:gridCol w:w="451"/>
        <w:gridCol w:w="109"/>
        <w:gridCol w:w="109"/>
        <w:gridCol w:w="109"/>
        <w:gridCol w:w="109"/>
        <w:gridCol w:w="196"/>
        <w:gridCol w:w="46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Segment operating income (loss):</w:t>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Prepared Foods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Blueberries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operating income (loss)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16"/>
        </w:rPr>
      </w:pPr>
      <w:r>
        <w:rPr>
          <w:rFonts w:ascii="Arial;sans-serif" w:hAnsi="Arial;sans-serif"/>
          <w:b/>
          <w:i/>
          <w:color w:val="000000"/>
          <w:sz w:val="16"/>
        </w:rPr>
        <w:t>Marketing &amp; Distribution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Total segment sales in our Marketing &amp; Distribution segment increased $70.2 million or 20% in the three months ended July 31, 2026, compared to the same period last year, due to an increase in avocado volume sold of 38%, partially offset by a decrease in per-unit avocado sales prices of 9%. Volume increased from the integration of the acquired Calavo operation as well as the impact of increased Mexican avocado supply due to higher yields in the current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13360"/>
                <wp:effectExtent l="0" t="0" r="0" b="0"/>
                <wp:wrapNone/>
                <wp:docPr id="31" name="Frame3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Segment operating income decreased $13.4 million or 92% in the three months ended July 31, 2026 compared to the same period last year. The decrease was driven primarily by higher transaction advisory and integration costs. Higher gross margin was largely offset by higher SG&amp;A costs, both of which were attributed to the inclusion of Calavo post-acquisition results. Segment operating income also included the amortization of certain assets recognized in the business combination.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Total segment sales in our Marketing &amp; Distribution segment decreased $76.1 million or 8% in the nine months ended July 31, 2026 compared to the same period last year, driven by a decrease in per-unit avocado sales prices of 25%, partially offset by an increase in avocado volume sold of 23%. Volume increased from the integration of the acquired Calavo operation as well as the impact of increased Mexican avocado supply due to higher yields in the current year.</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Segment operating loss was $1.6 million in the nine months ended July 31, 2026 compared to income of $23.9 million in the same period last year, due to the same factors impacting the quarter.</w:t>
      </w:r>
    </w:p>
    <w:p>
      <w:pPr>
        <w:pStyle w:val="TextBody"/>
        <w:bidi w:val="0"/>
        <w:spacing w:lineRule="auto" w:line="288" w:before="240" w:after="283"/>
        <w:jc w:val="left"/>
        <w:rPr>
          <w:rFonts w:ascii="Arial;sans-serif" w:hAnsi="Arial;sans-serif"/>
          <w:b/>
          <w:i/>
          <w:color w:val="000000"/>
          <w:sz w:val="16"/>
        </w:rPr>
      </w:pPr>
      <w:r>
        <w:rPr>
          <w:rFonts w:ascii="Arial;sans-serif" w:hAnsi="Arial;sans-serif"/>
          <w:b/>
          <w:i/>
          <w:color w:val="000000"/>
          <w:sz w:val="16"/>
        </w:rPr>
        <w:t>Prepared Foods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Total segment sales in the Prepared Foods segment were $15.5 million for both the three and nine months ended July 31, 2026. These amounts only include sales after the acquisition of Calavo.</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Segment operating loss was $4.1 million for both the three and nine months ended July 31, 2026. Segment operating loss included the impact of amortization of inventory assets recognized in the business combination.</w:t>
      </w:r>
    </w:p>
    <w:p>
      <w:pPr>
        <w:pStyle w:val="TextBody"/>
        <w:bidi w:val="0"/>
        <w:spacing w:lineRule="auto" w:line="288" w:before="240" w:after="283"/>
        <w:jc w:val="left"/>
        <w:rPr>
          <w:rFonts w:ascii="Arial;sans-serif" w:hAnsi="Arial;sans-serif"/>
          <w:b/>
          <w:i/>
          <w:color w:val="000000"/>
          <w:sz w:val="16"/>
        </w:rPr>
      </w:pPr>
      <w:r>
        <w:rPr>
          <w:rFonts w:ascii="Arial;sans-serif" w:hAnsi="Arial;sans-serif"/>
          <w:b/>
          <w:i/>
          <w:color w:val="000000"/>
          <w:sz w:val="16"/>
        </w:rPr>
        <w:t>International Farming</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vast majority of fruit sales from our International Farming segment are made to the Marketing &amp; Distribution segment, with the remainder of revenue largely derived from services provided to third parties and our Blueberries segment. Affiliated sales are concentrated in the second half of the fiscal year in alignment with the Peruvian avocado harvest season, which typically runs from April through September of each year. As a result, operating income for the International Farming segment is generally concentrated in the third and fourth quarters of the fiscal year in alignment with the timing of sales.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Total segment sales in our International Farming segment decreased $3.2 million or 7% in the three months ended July 31, 2026, compared to the same period last year. Segment operating income decreased $5.6 million or 84% in the three months ended July 31, 2026 compared to the same period last year. Performance was impacted by lower average sales prices attributed to higher global supply of avocados in the current year.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Total segment sales in our International Farming segment decreased $2.2 million or 3% in the nine months ended July 31, 2026 compared to the same period last year. Segment operating loss was $2.5 million in the nine months ended July 31, 2026 compared to income of $5.3 million for the same period last year due primarily to the same factors described for the quarter.</w:t>
      </w:r>
    </w:p>
    <w:p>
      <w:pPr>
        <w:pStyle w:val="TextBody"/>
        <w:bidi w:val="0"/>
        <w:spacing w:lineRule="auto" w:line="288" w:before="240" w:after="283"/>
        <w:jc w:val="left"/>
        <w:rPr>
          <w:rFonts w:ascii="Arial;sans-serif" w:hAnsi="Arial;sans-serif"/>
          <w:b/>
          <w:i/>
          <w:color w:val="000000"/>
          <w:sz w:val="16"/>
        </w:rPr>
      </w:pPr>
      <w:r>
        <w:rPr>
          <w:rFonts w:ascii="Arial;sans-serif" w:hAnsi="Arial;sans-serif"/>
          <w:b/>
          <w:i/>
          <w:color w:val="000000"/>
          <w:sz w:val="16"/>
        </w:rPr>
        <w:t>Blueberries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Sales in our Blueberries segment have traditionally been concentrated in the first and fourth quarters of our fiscal year in alignment with the Peruvian blueberry harvest season.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Total segment sales in our Blueberries segment increased $0.9 million or 20% in the three months ended July 31, 2026 compared to the same period last year. Segment operating income was $2.4 million for the three months ended July 31, 2026 compared to a loss of $0.2 million for the same period last year. Performance during the quarter was driven primarily by the IEEPA tariff refunds, which more than offset decreases in volume sold and average per-unit sales prices.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Total segment sales in our Blueberries segment increased $0.6 million or 1% in the nine months ended July 31, 2026 compared to the same period last year, due to the IEEPA tariff refunds and an 8% increase in average per-unit sales price, partially offset by a decrease in volume sold of 11%.</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Segment operating income decreased $3.8 million or 48% for the nine months ended July 31, 2026 compared to the same period last year due to lower per-acre yield resulting in higher per-unit fruit production costs, partially offset by the IEEPA tariff refunds.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Operating activities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Operating cash flows are seasonal in nature. We typically see increases in working capital during the first half of our fiscal year as our supply is predominantly sourced from Mexico under payment terms that are shorter than terms established for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13360"/>
                <wp:effectExtent l="0" t="0" r="0" b="0"/>
                <wp:wrapNone/>
                <wp:docPr id="32" name="Frame3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 xml:space="preserve">source markets. In addition, we are building our growing crops inventory in our International Farming segment during the first half of the year for ultimate harvest and sale that will occur during the second half of the fiscal year. While these increases in working capital can cause operating cash flows to be unfavorable in individual quarters, it is not indicative of operating cash performance that we expect to realize for the full year. </w:t>
      </w:r>
    </w:p>
    <w:tbl>
      <w:tblPr>
        <w:tblW w:w="5753" w:type="dxa"/>
        <w:jc w:val="left"/>
        <w:tblInd w:w="0" w:type="dxa"/>
        <w:tblLayout w:type="fixed"/>
        <w:tblCellMar>
          <w:top w:w="28" w:type="dxa"/>
          <w:left w:w="28" w:type="dxa"/>
          <w:bottom w:w="28" w:type="dxa"/>
          <w:right w:w="28" w:type="dxa"/>
        </w:tblCellMar>
      </w:tblPr>
      <w:tblGrid>
        <w:gridCol w:w="1363"/>
        <w:gridCol w:w="1194"/>
        <w:gridCol w:w="1207"/>
        <w:gridCol w:w="196"/>
        <w:gridCol w:w="541"/>
        <w:gridCol w:w="109"/>
        <w:gridCol w:w="109"/>
        <w:gridCol w:w="109"/>
        <w:gridCol w:w="109"/>
        <w:gridCol w:w="196"/>
        <w:gridCol w:w="466"/>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37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3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Noncash lease expense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Dividends received from equity method investees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Changes in working capital</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provided by operating activities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Net cash used in operating activities was $25.9 million for the nine months ended July 31, 2026 compared to cash provided by operating activities of $21.4 million for the same period last year. The reduction in cash from operating activities was due to a combination of lower income in the current year as well as larger increases in working capital. Working capital growth in the current year is driven by increases in inventory and trade/other receivables, partially offset by grower payables, accounts payable and accrued expenses. Inventory growth is driven primarily by higher growing crop inventory in our International Farming and Blueberries segments resulting from higher crop yields and timing of harvest, while trade/other receivables were associated with seasonality, pricing and timing of sales in the Marketing &amp; Distribution and Blueberries segments and the timing of value-added tax refunds. Grower payable provided favorable impact due to higher avocado volumes and shift in supply mix toward origins with longer payment terms, while accounts payable and accrued expenses were favorably impacted by higher avocado volumes and timing of growing crop inventory associated with larger and later harvest.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Investing activities</w:t>
      </w:r>
    </w:p>
    <w:tbl>
      <w:tblPr>
        <w:tblW w:w="6369" w:type="dxa"/>
        <w:jc w:val="left"/>
        <w:tblInd w:w="0" w:type="dxa"/>
        <w:tblLayout w:type="fixed"/>
        <w:tblCellMar>
          <w:top w:w="28" w:type="dxa"/>
          <w:left w:w="28" w:type="dxa"/>
          <w:bottom w:w="28" w:type="dxa"/>
          <w:right w:w="28" w:type="dxa"/>
        </w:tblCellMar>
      </w:tblPr>
      <w:tblGrid>
        <w:gridCol w:w="1525"/>
        <w:gridCol w:w="1338"/>
        <w:gridCol w:w="1352"/>
        <w:gridCol w:w="196"/>
        <w:gridCol w:w="631"/>
        <w:gridCol w:w="109"/>
        <w:gridCol w:w="109"/>
        <w:gridCol w:w="109"/>
        <w:gridCol w:w="109"/>
        <w:gridCol w:w="196"/>
        <w:gridCol w:w="54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42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4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sale of 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paid for acquisition of Calavo, net of cash acquired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Property, plant and equipment</w:t>
      </w:r>
    </w:p>
    <w:p>
      <w:pPr>
        <w:pStyle w:val="TextBody"/>
        <w:bidi w:val="0"/>
        <w:spacing w:before="0" w:after="0"/>
        <w:ind w:left="0" w:right="0" w:firstLine="720"/>
        <w:jc w:val="left"/>
        <w:rPr/>
      </w:pPr>
      <w:r>
        <w:rPr/>
      </w:r>
    </w:p>
    <w:tbl>
      <w:tblPr>
        <w:tblW w:w="6158" w:type="dxa"/>
        <w:jc w:val="left"/>
        <w:tblInd w:w="0" w:type="dxa"/>
        <w:tblLayout w:type="fixed"/>
        <w:tblCellMar>
          <w:top w:w="28" w:type="dxa"/>
          <w:left w:w="28" w:type="dxa"/>
          <w:bottom w:w="28" w:type="dxa"/>
          <w:right w:w="28" w:type="dxa"/>
        </w:tblCellMar>
      </w:tblPr>
      <w:tblGrid>
        <w:gridCol w:w="1536"/>
        <w:gridCol w:w="1347"/>
        <w:gridCol w:w="1361"/>
        <w:gridCol w:w="196"/>
        <w:gridCol w:w="466"/>
        <w:gridCol w:w="109"/>
        <w:gridCol w:w="109"/>
        <w:gridCol w:w="109"/>
        <w:gridCol w:w="109"/>
        <w:gridCol w:w="196"/>
        <w:gridCol w:w="466"/>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4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 by segment:</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Prepared Foods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Blueberries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purchases of property, plant and equipment</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the nine months ended July 31, 2026, capital expenditures were comprised primarily of pre-production orchard maintenance and land improvements in Guatemala, land development and blueberry plant cultivation in Peru and construction costs associated with increasing capacity in our Mexican packing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13360"/>
                <wp:effectExtent l="0" t="0" r="0" b="0"/>
                <wp:wrapNone/>
                <wp:docPr id="33" name="Frame3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the nine months ended July 31, 2025, capital expenditures were comprised primarily of avocado orchard development, pre-production orchard maintenance, land improvements and packhouse construction in Guatemala and pre-production land development and blueberry plant cultivation in Peru.</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Financing activities</w:t>
      </w:r>
    </w:p>
    <w:tbl>
      <w:tblPr>
        <w:tblW w:w="8018" w:type="dxa"/>
        <w:jc w:val="left"/>
        <w:tblInd w:w="0" w:type="dxa"/>
        <w:tblLayout w:type="fixed"/>
        <w:tblCellMar>
          <w:top w:w="28" w:type="dxa"/>
          <w:left w:w="28" w:type="dxa"/>
          <w:bottom w:w="28" w:type="dxa"/>
          <w:right w:w="28" w:type="dxa"/>
        </w:tblCellMar>
      </w:tblPr>
      <w:tblGrid>
        <w:gridCol w:w="2174"/>
        <w:gridCol w:w="1907"/>
        <w:gridCol w:w="1933"/>
        <w:gridCol w:w="196"/>
        <w:gridCol w:w="556"/>
        <w:gridCol w:w="109"/>
        <w:gridCol w:w="109"/>
        <w:gridCol w:w="109"/>
        <w:gridCol w:w="109"/>
        <w:gridCol w:w="196"/>
        <w:gridCol w:w="466"/>
        <w:gridCol w:w="154"/>
      </w:tblGrid>
      <w:tr>
        <w:trPr/>
        <w:tc>
          <w:tcPr>
            <w:tcW w:w="2174"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60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6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Borrowings on revolving credit facility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on revolving credit facility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short-term borrowings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Repayment of short-term borrowings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Borrowings under long-term debt obligations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long-term debt obligations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 of debt restructuring fees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finance lease obligations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for long-term supplier financing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loan from noncontrolling interest holder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to noncontrolling interest holder for long-term supply financing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loans due to noncontrolling interest holder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of minimum withholding taxes on net share settlement of equity awards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Exercise of stock options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and retirement of common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286.4 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Borrowings and repayments of debt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utilize a revolving line of credit for short-term working capital purposes. Principal payments on our credit facility are made in accordance with debt maturity schedules. Borrowings under and principal payments on long-term debt obligations during the nine months ended July 31, 2026, were impacted by the increase in term loans funded under our syndicated credit facility to support the cash component of the Calavo acquisition.</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Blueberries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Financing of our Blueberries segment consists of shareholder contributions and loans, as well as short-term bank borrowings, as needed. Principal payments on shareholder loans are made in accordance with loan agreements. Principal payments on finance lease obligations primarily relate to a long-term land lease, which for accounting purposes has been classified as a finance lease. Certain supply purchases are made under long-term financing arrangements with intermediaries and directly with vendors.</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Purchase and retirement of common stock</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Shares of the company’s common stock may be repurchased from time to time in the open market or privately negotiated transactions under our share repurchase program. For more information on our stock repurchase program, see “Item 2. Unregistered Sales of Equity Securities and Use of Proceeds” in this quarterly report.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Capital resources</w:t>
      </w:r>
    </w:p>
    <w:tbl>
      <w:tblPr>
        <w:tblW w:w="5007" w:type="dxa"/>
        <w:jc w:val="left"/>
        <w:tblInd w:w="0" w:type="dxa"/>
        <w:tblLayout w:type="fixed"/>
        <w:tblCellMar>
          <w:top w:w="28" w:type="dxa"/>
          <w:left w:w="28" w:type="dxa"/>
          <w:bottom w:w="28" w:type="dxa"/>
          <w:right w:w="28" w:type="dxa"/>
        </w:tblCellMar>
      </w:tblPr>
      <w:tblGrid>
        <w:gridCol w:w="759"/>
        <w:gridCol w:w="666"/>
        <w:gridCol w:w="675"/>
        <w:gridCol w:w="282"/>
        <w:gridCol w:w="671"/>
        <w:gridCol w:w="157"/>
        <w:gridCol w:w="109"/>
        <w:gridCol w:w="109"/>
        <w:gridCol w:w="109"/>
        <w:gridCol w:w="353"/>
        <w:gridCol w:w="840"/>
        <w:gridCol w:w="277"/>
      </w:tblGrid>
      <w:tr>
        <w:trPr/>
        <w:tc>
          <w:tcPr>
            <w:tcW w:w="75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2025</w:t>
            </w:r>
          </w:p>
        </w:tc>
      </w:tr>
      <w:tr>
        <w:trPr/>
        <w:tc>
          <w:tcPr>
            <w:tcW w:w="2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64.8 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Working capital</w:t>
            </w:r>
            <w:r>
              <w:rPr>
                <w:rFonts w:ascii="Arial;sans-serif" w:hAnsi="Arial;sans-serif"/>
                <w:b w:val="false"/>
                <w:color w:val="000000"/>
                <w:sz w:val="10"/>
              </w:rPr>
              <w:t>(1)</w:t>
            </w:r>
          </w:p>
        </w:tc>
        <w:tc>
          <w:tcPr>
            <w:tcW w:w="95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192.2 </w:t>
            </w:r>
          </w:p>
        </w:tc>
        <w:tc>
          <w:tcPr>
            <w:tcW w:w="1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127.7 </w:t>
            </w:r>
          </w:p>
        </w:tc>
        <w:tc>
          <w:tcPr>
            <w:tcW w:w="27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60"/>
        <w:ind w:left="0" w:right="0" w:hanging="270"/>
        <w:jc w:val="left"/>
        <w:rPr/>
      </w:pPr>
      <w:r>
        <w:rPr>
          <w:rFonts w:ascii="Arial;sans-serif" w:hAnsi="Arial;sans-serif"/>
          <w:b w:val="false"/>
          <w:color w:val="000000"/>
          <w:sz w:val="14"/>
        </w:rPr>
        <w:t>(1)C</w:t>
      </w:r>
      <w:r>
        <w:rPr>
          <w:rFonts w:ascii="Arial;sans-serif" w:hAnsi="Arial;sans-serif"/>
          <w:b w:val="false"/>
          <w:color w:val="000000"/>
          <w:sz w:val="16"/>
        </w:rPr>
        <w:t>urrent assets minus current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13360"/>
                <wp:effectExtent l="0" t="0" r="0" b="0"/>
                <wp:wrapNone/>
                <wp:docPr id="34" name="Frame3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Capital resources include cash flows from operations, cash and cash equivalents, and our syndicated credit facility. Our Blueberries segment may also receive capital contributions or loans from shareholders.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Our syndicated credit facility with Bank of America has a total borrowing capacity of $550 million. The credit facility is comprised of two senior term loans totaling $350 million and a revolving credit agreement of $200 million. The facility also has an accordion feature which allows the company, subject to certain conditions, to increase the borrowings thereunder by up to $150 million, with applicable lender approval. Borrowings are secured by assets of the Company, including certain real property, personal property and capital stock of the Company’s subsidiaries. Borrowings under the credit facility bear interest at a spread over SOFR ranging from 1.5% to 2.5% depending on the Company’s consolidated total net leverage ratio. We pay fees on unused commitments on the credit facility.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As of July 31, 2026, we were required to comply with the following financial covenants as defined by our credit facility, which includes certain proforma information and other adjustments: (a) a quarterly consolidated leverage ratio of not more than 3.5 to 1.00 and (b) a quarterly consolidated fixed charge coverage ratio of not less than 1.25 to 1.00. As of July 31, 2026, we were in compliance with all such covenants of the credit facility.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believe that our cash and cash equivalents on hand, expected cash flows from operations, and availability under our syndicated credit facility will be sufficient to fulfill our obligations, working capital requirements, and capital expenditures for the next 12 months and beyond.</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Material cash requirements</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Capital expenditures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have various capital projects in progress for farming expansion and facility improvements which we intend to fund through our operating cash flow as well as cash and cash equivalents on hand. For fiscal 2026, we expect total capital expenditures to be approximately $45 million. The spend will be allocated primarily to our International Farming and Blueberries segments. Within our International Farming segment, spend will be concentrated in Guatemala for pre-production avocado orchard maintenance. Within our Blueberries segment, spend will be concentrated on land development and plant cultivation in Peru. </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Leases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are party to various leases, the most material of which are for facilities and land. Our undiscounted cash liabilities were approximately $185.6 million as of July 31, 2026, of which, approximately $108.3 million was for long-term land leases.</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Long-term debt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As of July 31, 2026, outstanding borrowings on our syndicated debt facility totaled $402.1 million. See Note 7 to the condensed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Critical accounting estimates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For a discussion of our critical accounting estimates, see “Part II, Item 7. Management’s Discussion and Analysis of Financial Condition and Results of Operations” in our Annual Report on Form 10-K for the year ended October 31, 2025, filed with the SEC on December 18, 2025. There have been no material changes to the critical accounting estimates disclosed in such Annual Report on Form 10-K except as follows:</w:t>
      </w:r>
    </w:p>
    <w:p>
      <w:pPr>
        <w:pStyle w:val="TextBody"/>
        <w:bidi w:val="0"/>
        <w:spacing w:lineRule="auto" w:line="288" w:before="240" w:after="283"/>
        <w:ind w:left="0" w:right="0" w:firstLine="720"/>
        <w:jc w:val="left"/>
        <w:rPr/>
      </w:pPr>
      <w:r>
        <w:rPr>
          <w:rFonts w:ascii="Arial;sans-serif" w:hAnsi="Arial;sans-serif"/>
          <w:b/>
          <w:i/>
          <w:color w:val="000000"/>
          <w:sz w:val="16"/>
        </w:rPr>
        <w:t xml:space="preserve">Business combinations. </w:t>
      </w:r>
      <w:r>
        <w:rPr>
          <w:rFonts w:ascii="Arial;sans-serif" w:hAnsi="Arial;sans-serif"/>
          <w:b w:val="false"/>
          <w:color w:val="000000"/>
          <w:sz w:val="16"/>
        </w:rPr>
        <w:t>We account for business combinations under the acquisition method of accounting in accordance with ASC Topic 805, Business Combinations, which requires an allocation of the consideration paid, if any, to the identifiable assets, intangible assets and liabilities based on the estimated fair values as of the acquisition date. Goodwill represents the excess of the sum of the fair value, over the net of the acquisition-date values of the identifiable assets and liabilities assumed and fair value of noncontrolling interest. Management estimates the fair value of assets and liabilities with the assistance of a third-party specialist, using a combination of the market, income and cost valuation methods, depending on the account being valued. Material accounts requiring management judgment included: intangible assets, property plant and equipment, and long-term VAT receivable with the Mexican government. These valuation methods use inputs that are estimated by management, such as revenue forecasts, projected capital spend and estimates for cost of sales. The fair value of Mexican VAT receivables was valued using a probability-weighted expected return. The Company may adjust the amounts recognized for a business combination within the allowable one-year measurement period after the acquisition date. Any such adjustments would generally be recorded as increases or decreases to the goodwill recognized in the transaction.</w:t>
      </w:r>
    </w:p>
    <w:p>
      <w:pPr>
        <w:pStyle w:val="TextBody"/>
        <w:bidi w:val="0"/>
        <w:spacing w:lineRule="auto" w:line="288" w:before="240" w:after="283"/>
        <w:ind w:left="0" w:right="0" w:firstLine="720"/>
        <w:jc w:val="left"/>
        <w:rPr/>
      </w:pPr>
      <w:r>
        <w:rPr>
          <w:rFonts w:ascii="Arial;sans-serif" w:hAnsi="Arial;sans-serif"/>
          <w:b/>
          <w:i/>
          <w:color w:val="000000"/>
          <w:sz w:val="16"/>
        </w:rPr>
        <w:t xml:space="preserve">Calavo Mexican tax matters. </w:t>
      </w:r>
      <w:r>
        <w:rPr>
          <w:rFonts w:ascii="Arial;sans-serif" w:hAnsi="Arial;sans-serif"/>
          <w:b w:val="false"/>
          <w:color w:val="000000"/>
          <w:sz w:val="16"/>
        </w:rPr>
        <w:t xml:space="preserve">We have recorded a provision of approximately $27.1 million as of July 31, 2026, for uncertain tax positions, representing our best estimate of the potential outcome related to the 2013 tax assessment, based on a cumulative probability analysis. This estimate incorporates assumptions regarding non-deductible expenses, penalties,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13360"/>
                <wp:effectExtent l="0" t="0" r="0" b="0"/>
                <wp:wrapNone/>
                <wp:docPr id="35" name="Frame35"/>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inflationary adjustments, and other factors. Future changes in legal interpretations, court rulings, or settlement negotiations could have a material impact on this provision. We also have Mexican VAT receivables totaling approximately $25.7 million as of July 31, 2026. The estimate assumes that the supporting documentation for our tax structure will be upheld, and that administrative appeals or legal processes will ultimately result in collection of these receivables. We believe it is probable that the SAT will ultimately authorize the refund of the remaining VAT amounts, although delays in the appeals process, adverse rulings, or changes in tax enforcement practices could materially impact the timing and amount of recovery. Given the uncertainties associated with these matters, even small changes in assumptions or legal interpretations could significantly affect the reported amounts. We continue to monitor developments, and any material changes will be reflected in future periods as they occur.</w:t>
      </w:r>
    </w:p>
    <w:p>
      <w:pPr>
        <w:pStyle w:val="TextBody"/>
        <w:bidi w:val="0"/>
        <w:spacing w:before="24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3.        Quantitative and Qualitative Disclosures About Market Risk</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There have been no material changes to “Part II, Item 7A. Quantitative and Qualitative Disclosures About Market Risk” in our Annual Report on Form 10-K for the year ended October 31, 2025.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4.        Controls and Procedures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Evaluation of Disclosure Controls and Procedures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Changes in Internal Control Over Financial Reporting</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There were no changes in our internal control over financial reporting during the quarter ended July 31, 2026 that have materially affected, or are reasonably likely to materially affect, our internal control over financial reporting, except as follows: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May 28, 2026, we completed our acquisition of Calavo Growers Inc., and accordingly have included the results of Calavo in our consolidated financial statements. We are continuing to evaluate and integrate Calavo Growers Inc.’s processes and controls and may implement changes in future periods.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Limitations on Effectiveness of Controls and Procedures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PART II- OTHER INFORMATION </w:t>
      </w:r>
    </w:p>
    <w:p>
      <w:pPr>
        <w:pStyle w:val="TextBody"/>
        <w:bidi w:val="0"/>
        <w:spacing w:lineRule="auto" w:line="288" w:before="120" w:after="240"/>
        <w:jc w:val="left"/>
        <w:rPr>
          <w:rFonts w:ascii="Arial;sans-serif" w:hAnsi="Arial;sans-serif"/>
          <w:b/>
          <w:color w:val="000000"/>
          <w:sz w:val="22"/>
        </w:rPr>
      </w:pPr>
      <w:bookmarkStart w:id="0" w:name="i3652623a1b224908b6fcc5f622f6c8b7_2571"/>
      <w:bookmarkEnd w:id="0"/>
      <w:r>
        <w:rPr>
          <w:rFonts w:ascii="Arial;sans-serif" w:hAnsi="Arial;sans-serif"/>
          <w:b/>
          <w:color w:val="000000"/>
          <w:sz w:val="22"/>
        </w:rPr>
        <w:t>Item 1.        Legal Proceedings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information required by this Item is incorporated by reference from Note 8, “Commitments and Contingencies”, which is included in Part I, Item 1 of this Form 10-Q.</w:t>
      </w:r>
    </w:p>
    <w:p>
      <w:pPr>
        <w:pStyle w:val="TextBody"/>
        <w:bidi w:val="0"/>
        <w:spacing w:lineRule="auto" w:line="288" w:before="240" w:after="240"/>
        <w:jc w:val="left"/>
        <w:rPr>
          <w:rFonts w:ascii="Arial;sans-serif" w:hAnsi="Arial;sans-serif"/>
          <w:b/>
          <w:color w:val="000000"/>
          <w:sz w:val="22"/>
        </w:rPr>
      </w:pPr>
      <w:bookmarkStart w:id="1" w:name="i3652623a1b224908b6fcc5f622f6c8b7_2572"/>
      <w:bookmarkEnd w:id="1"/>
      <w:r>
        <w:rPr>
          <w:rFonts w:ascii="Arial;sans-serif" w:hAnsi="Arial;sans-serif"/>
          <w:b/>
          <w:color w:val="000000"/>
          <w:sz w:val="22"/>
        </w:rPr>
        <w:t xml:space="preserve">Item 1A.    Risk Factors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For a discussion of our risk factors, see “Part I, Item 1A. Risk Factors” in our 2025 10-K, “Part II, Item 1A. Risk Factors” in the Q1 10-Q and “Risk Factors” in our Proxy Statement/Prospectus dated March 20, 2026. With the exception of the risk factors set forth below, which update the risk factors disclosed in such SEC filings, there have been no material changes from the risk factors previously disclosed therein. The risks and uncertainties that we face are not limited to those set forth in those SEC filings. You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13360"/>
                <wp:effectExtent l="0" t="0" r="0" b="0"/>
                <wp:wrapNone/>
                <wp:docPr id="36" name="Frame36"/>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should carefully consider the risk factors in those SEC filings, together with the other information contained in this Quarterly Report on Form 10-Q, including the risk factors set forth below, our financial statements and the related notes and “Management’s Discussion and Analysis of Financial Condition and Results of Operations,” before making a decision to purchase or sell shares of our common stock. Additional risks and uncertainties not presently known to us or that we currently believe to be immaterial may also adversely affect our business and the trading price of our common stock.</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Certain tax disputes we inherited from our acquisition of Calavo may have a material adverse effect on our results of operations and financial condition.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CDM may be exposed to material liabilities arising from tax disputes in Mexico. In July 2018, SAT issued a final tax assessment relating to a fiscal 2013 tax audit of CDM, which, after adjustments for interest, penalties and inflation, totaled approximately 3.6 billion Mexican pesos, or approximately $207.4 million, as of July 31, 2026. Mexican tax authorities have also determined that CDM owes employee profit-sharing liabilities totaling approximately 118 million Mexican pesos, or approximately $6.8 million, as of July 31, 2026. CDM has challenged the assessment through administrative and judicial proceedings, and the underlying assessment remains unresolved. As of July 31, 2026, CDM had a provision for these uncertain tax positions of approximately $27.5 million, as determined based on our cumulative probability analysis. There can be no assurance that CDM will prevail or that any settlement would be on acceptable terms. An adverse outcome could materially and adversely affect our financial condition, results of operations and cash flows and could result in defaults under our credit facilities.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addition to the 2013 tax assessment referenced above, the SAT has initiated an income tax audit of CDM for fiscal years 2019 and 2020. As of the date of this Quarterly Report on Form 10-Q, the SAT has not issued any formal assessments on either audit, and these audits could result in additional assessments that are material in amount.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CDM also has significant VAT receivables in Mexico that may not be collected in full or on a timely basis. As of July 31, 2026, CDM’s VAT receivables totaled approximately $25.7 million. Since fiscal 2014, Mexican tax authorities have challenged certain refund requests and supporting documentation, including with respect to VAT paid to suppliers alleged to have failed to satisfy their own tax obligations. CDM continues to pursue collection through administrative processes and, where necessary, may pursue administrative appeals or other legal remedies. Although we believe the SAT will ultimately authorize the refund of the VAT receivables, any material denial, delay or reduction of these refunds could adversely affect our liquidity, cash flows and results of operations.</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Investments in and financial support provided to businesses that we do not control could adversely affect our financial condition and results.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have made, and may in the future make, directly or through our subsidiaries, investments in, or loans, advances or other financial commitments to, businesses that we do not control. As a result, we have limited ability to influence their operations, financial performance, capital structure or capital requirements, and we may be unable to prevent actions that are adverse to our interests. Our share of their earnings or losses affects our results of operations. For example, our results include our share of the earnings or losses of Agricola Don Memo, S.A. de C.V. (“Don Memo”), in which CDM holds an investment and over which neither we nor CDM exercises control.</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If Don Memo or any other such business performs below expectations, experiences financial difficulties or is unable to obtain sufficient financing, our share of its losses may adversely affect our results of operations, our investment may become impaired, and loans, advances or other amounts owed to us or our subsidiaries may become uncollectible. Any resulting losses could materially adversely affect our financial condition and results of operations.</w:t>
      </w:r>
    </w:p>
    <w:p>
      <w:pPr>
        <w:pStyle w:val="TextBody"/>
        <w:bidi w:val="0"/>
        <w:spacing w:lineRule="auto" w:line="288" w:before="240" w:after="240"/>
        <w:jc w:val="left"/>
        <w:rPr>
          <w:rFonts w:ascii="Arial;sans-serif" w:hAnsi="Arial;sans-serif"/>
          <w:b/>
          <w:color w:val="000000"/>
          <w:sz w:val="22"/>
        </w:rPr>
      </w:pPr>
      <w:bookmarkStart w:id="2" w:name="i3652623a1b224908b6fcc5f622f6c8b7_2573"/>
      <w:bookmarkEnd w:id="2"/>
      <w:r>
        <w:rPr>
          <w:rFonts w:ascii="Arial;sans-serif" w:hAnsi="Arial;sans-serif"/>
          <w:b/>
          <w:color w:val="000000"/>
          <w:sz w:val="22"/>
        </w:rPr>
        <w:t>Item 2.        Unregistered Sales of Equity Securities and Use of Proceeds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Issuer repurchases of equity securities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June 3, 2026, the Board of Directors approved a stock repurchase program, which permits the Company to repurchase up to $100 million of shares of the Company’s common stock over the next 36 months, effective June 3, 2026 (the “2026 Program”). The 2026 Program replaces the Company’s previous common stock repurchase program adopted in September 2023, which would have expired in September 2026 with approximately $11.2 million remaining. The shares may be repurchased from time to time in open market or privately negotiated transactions in such quantities and at such prices as may be authorized by certain designated officers of the Company.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Repurchases by us or our “affiliated purchasers” (as defined in Rule 10b-18(a)(3) of the Exchange Act) of registered equity securities during the third quarter of 2026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13360"/>
                <wp:effectExtent l="0" t="0" r="0" b="0"/>
                <wp:wrapNone/>
                <wp:docPr id="37" name="Frame37"/>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310"/>
        <w:gridCol w:w="273"/>
        <w:gridCol w:w="275"/>
        <w:gridCol w:w="599"/>
        <w:gridCol w:w="529"/>
        <w:gridCol w:w="531"/>
        <w:gridCol w:w="528"/>
        <w:gridCol w:w="432"/>
        <w:gridCol w:w="433"/>
        <w:gridCol w:w="1030"/>
        <w:gridCol w:w="987"/>
        <w:gridCol w:w="989"/>
        <w:gridCol w:w="961"/>
        <w:gridCol w:w="961"/>
        <w:gridCol w:w="1367"/>
      </w:tblGrid>
      <w:tr>
        <w:trPr/>
        <w:tc>
          <w:tcPr>
            <w:tcW w:w="31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Period</w:t>
            </w:r>
          </w:p>
        </w:tc>
        <w:tc>
          <w:tcPr>
            <w:tcW w:w="16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Total number of shares purchased</w:t>
            </w:r>
          </w:p>
        </w:tc>
        <w:tc>
          <w:tcPr>
            <w:tcW w:w="139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Average price paid per share</w:t>
            </w:r>
          </w:p>
        </w:tc>
        <w:tc>
          <w:tcPr>
            <w:tcW w:w="30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Total number of shares purchased as part of publicly announced plans or programs</w:t>
            </w:r>
          </w:p>
        </w:tc>
        <w:tc>
          <w:tcPr>
            <w:tcW w:w="32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Approximate dollar value of shares that may yet be purchased under the plans or programs</w:t>
              <w:br/>
              <w:t>(in millions)</w:t>
            </w:r>
          </w:p>
        </w:tc>
      </w:tr>
      <w:tr>
        <w:trPr/>
        <w:tc>
          <w:tcPr>
            <w:tcW w:w="8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May 1-31, 2026</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2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June 1-30, 2026</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641,342 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$11.27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641,342 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$92.8 </w:t>
            </w:r>
          </w:p>
        </w:tc>
        <w:tc>
          <w:tcPr>
            <w:tcW w:w="1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July 1-31, 2026</w:t>
            </w:r>
          </w:p>
        </w:tc>
        <w:tc>
          <w:tcPr>
            <w:tcW w:w="112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201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98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2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$92.8 </w:t>
            </w:r>
          </w:p>
        </w:tc>
        <w:tc>
          <w:tcPr>
            <w:tcW w:w="136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Arial;sans-serif" w:hAnsi="Arial;sans-serif"/>
          <w:b/>
          <w:color w:val="000000"/>
          <w:sz w:val="22"/>
        </w:rPr>
      </w:pPr>
      <w:bookmarkStart w:id="3" w:name="i3652623a1b224908b6fcc5f622f6c8b7_2567"/>
      <w:bookmarkEnd w:id="3"/>
      <w:r>
        <w:rPr>
          <w:rFonts w:ascii="Arial;sans-serif" w:hAnsi="Arial;sans-serif"/>
          <w:b/>
          <w:color w:val="000000"/>
          <w:sz w:val="22"/>
        </w:rPr>
        <w:t>Item 3.        Defaults Upon Senior Securities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None.</w:t>
      </w:r>
    </w:p>
    <w:p>
      <w:pPr>
        <w:pStyle w:val="TextBody"/>
        <w:bidi w:val="0"/>
        <w:spacing w:lineRule="auto" w:line="288" w:before="240" w:after="240"/>
        <w:jc w:val="left"/>
        <w:rPr>
          <w:rFonts w:ascii="Arial;sans-serif" w:hAnsi="Arial;sans-serif"/>
          <w:b/>
          <w:color w:val="000000"/>
          <w:sz w:val="22"/>
        </w:rPr>
      </w:pPr>
      <w:bookmarkStart w:id="4" w:name="i3652623a1b224908b6fcc5f622f6c8b7_2568"/>
      <w:bookmarkEnd w:id="4"/>
      <w:r>
        <w:rPr>
          <w:rFonts w:ascii="Arial;sans-serif" w:hAnsi="Arial;sans-serif"/>
          <w:b/>
          <w:color w:val="000000"/>
          <w:sz w:val="22"/>
        </w:rPr>
        <w:t>Item 4.        Mine Safety Disclosures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Not applicable.</w:t>
      </w:r>
    </w:p>
    <w:p>
      <w:pPr>
        <w:pStyle w:val="TextBody"/>
        <w:bidi w:val="0"/>
        <w:spacing w:lineRule="auto" w:line="288" w:before="240" w:after="240"/>
        <w:jc w:val="left"/>
        <w:rPr>
          <w:rFonts w:ascii="Arial;sans-serif" w:hAnsi="Arial;sans-serif"/>
          <w:b/>
          <w:color w:val="000000"/>
          <w:sz w:val="22"/>
        </w:rPr>
      </w:pPr>
      <w:bookmarkStart w:id="5" w:name="i3652623a1b224908b6fcc5f622f6c8b7_2569"/>
      <w:bookmarkEnd w:id="5"/>
      <w:r>
        <w:rPr>
          <w:rFonts w:ascii="Arial;sans-serif" w:hAnsi="Arial;sans-serif"/>
          <w:b/>
          <w:color w:val="000000"/>
          <w:sz w:val="22"/>
        </w:rPr>
        <w:t>Item 5.        Other Information</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Insider Trading Arrangements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On June 25, 2026, Bryan Giles, the Chief Financial Officer of the Company, entered into a trading plan intended to satisfy the affirmative defense of Rule 10b5-1(c) under the Exchange Act. Mr. Giles’ plan provides for the exercise of vested stock options and the sale of up to 20,000 shares of the Company’s common stock issuable upon exercise of such options. Mr. Giles’ plan begins on September 24, 2026 and will end on September 30, 2027, subject to early termination in accordance with the terms of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13360"/>
                <wp:effectExtent l="0" t="0" r="0" b="0"/>
                <wp:wrapNone/>
                <wp:docPr id="38" name="Frame38"/>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40"/>
        <w:jc w:val="left"/>
        <w:rPr>
          <w:rFonts w:ascii="Arial;sans-serif" w:hAnsi="Arial;sans-serif"/>
          <w:b/>
          <w:color w:val="000000"/>
          <w:sz w:val="22"/>
        </w:rPr>
      </w:pPr>
      <w:bookmarkStart w:id="6" w:name="i3652623a1b224908b6fcc5f622f6c8b7_2566"/>
      <w:bookmarkEnd w:id="6"/>
      <w:r>
        <w:rPr>
          <w:rFonts w:ascii="Arial;sans-serif" w:hAnsi="Arial;sans-serif"/>
          <w:b/>
          <w:color w:val="000000"/>
          <w:sz w:val="22"/>
        </w:rPr>
        <w:t>Item 6.        Exhibits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documents set forth are filed herewith or incorporated herein by reference.</w:t>
      </w:r>
    </w:p>
    <w:p>
      <w:pPr>
        <w:pStyle w:val="TextBody"/>
        <w:bidi w:val="0"/>
        <w:spacing w:lineRule="auto" w:line="288" w:before="300" w:after="40"/>
        <w:jc w:val="center"/>
        <w:rPr>
          <w:rFonts w:ascii="Arial;sans-serif" w:hAnsi="Arial;sans-serif"/>
          <w:b/>
          <w:color w:val="000000"/>
          <w:sz w:val="20"/>
        </w:rPr>
      </w:pPr>
      <w:r>
        <w:rPr>
          <w:rFonts w:ascii="Arial;sans-serif" w:hAnsi="Arial;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19"/>
        <w:gridCol w:w="192"/>
        <w:gridCol w:w="194"/>
        <w:gridCol w:w="109"/>
        <w:gridCol w:w="109"/>
        <w:gridCol w:w="109"/>
        <w:gridCol w:w="2040"/>
        <w:gridCol w:w="1821"/>
        <w:gridCol w:w="1828"/>
        <w:gridCol w:w="109"/>
        <w:gridCol w:w="109"/>
        <w:gridCol w:w="109"/>
        <w:gridCol w:w="145"/>
        <w:gridCol w:w="145"/>
        <w:gridCol w:w="146"/>
        <w:gridCol w:w="120"/>
        <w:gridCol w:w="120"/>
        <w:gridCol w:w="120"/>
        <w:gridCol w:w="148"/>
        <w:gridCol w:w="148"/>
        <w:gridCol w:w="152"/>
        <w:gridCol w:w="120"/>
        <w:gridCol w:w="120"/>
        <w:gridCol w:w="120"/>
        <w:gridCol w:w="199"/>
        <w:gridCol w:w="199"/>
        <w:gridCol w:w="203"/>
        <w:gridCol w:w="109"/>
        <w:gridCol w:w="109"/>
        <w:gridCol w:w="109"/>
        <w:gridCol w:w="211"/>
        <w:gridCol w:w="211"/>
        <w:gridCol w:w="303"/>
      </w:tblGrid>
      <w:tr>
        <w:trPr/>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Form</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Date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Filed</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Herewith</w:t>
            </w:r>
          </w:p>
        </w:tc>
      </w:tr>
      <w:tr>
        <w:trPr/>
        <w:tc>
          <w:tcPr>
            <w:tcW w:w="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Arial;sans-serif" w:hAnsi="Arial;sans-serif"/>
                  <w:b w:val="false"/>
                  <w:color w:val="000000"/>
                  <w:sz w:val="14"/>
                  <w:u w:val="single"/>
                </w:rPr>
                <w:t>Agreement and Plan of Merger, dated as of January 14, 2026, by and among Parent, Merger Sub I, Merger Sub II and the Company</w:t>
              </w:r>
            </w:hyperlink>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8-K</w:t>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1/14/2026</w:t>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000000"/>
                  <w:sz w:val="14"/>
                  <w:u w:val="single"/>
                </w:rPr>
                <w:t>Amended and Restated Certificate of Incorporation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10/7/2020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00"/>
                  <w:sz w:val="14"/>
                  <w:u w:val="single"/>
                </w:rPr>
                <w:t>Amendment to Amended and 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10-Q</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6/8/2024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Arial;sans-serif" w:hAnsi="Arial;sans-serif"/>
                  <w:b w:val="false"/>
                  <w:color w:val="000000"/>
                  <w:sz w:val="14"/>
                  <w:u w:val="single"/>
                </w:rPr>
                <w:t>Certificate of Designations of Series A Junior Participating Preferred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1/22/2026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Arial;sans-serif" w:hAnsi="Arial;sans-serif"/>
                  <w:b w:val="false"/>
                  <w:color w:val="000000"/>
                  <w:sz w:val="14"/>
                  <w:u w:val="single"/>
                </w:rPr>
                <w:t>Amended and Restated Bylaws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10/7/2020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Arial;sans-serif" w:hAnsi="Arial;sans-serif"/>
                  <w:b w:val="false"/>
                  <w:color w:val="000000"/>
                  <w:sz w:val="14"/>
                  <w:u w:val="single"/>
                </w:rPr>
                <w:t>Rights Agreement, dated as of January 21, 2026, between Mission Produce, Inc. and Equiniti Trust Company,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1/22/2026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hibit311_2026-q3.htm">
              <w:r>
                <w:rPr>
                  <w:rStyle w:val="InternetLink"/>
                  <w:rFonts w:ascii="Arial;sans-serif" w:hAnsi="Arial;sans-serif"/>
                  <w:b w:val="false"/>
                  <w:color w:val="000000"/>
                  <w:sz w:val="14"/>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12_2026-q3.htm">
              <w:r>
                <w:rPr>
                  <w:rStyle w:val="InternetLink"/>
                  <w:rFonts w:ascii="Arial;sans-serif" w:hAnsi="Arial;sans-serif"/>
                  <w:b w:val="false"/>
                  <w:color w:val="000000"/>
                  <w:sz w:val="14"/>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hibit321_2026-q3.htm">
              <w:r>
                <w:rPr>
                  <w:rStyle w:val="InternetLink"/>
                  <w:rFonts w:ascii="Arial;sans-serif" w:hAnsi="Arial;sans-serif"/>
                  <w:b w:val="false"/>
                  <w:color w:val="000000"/>
                  <w:sz w:val="14"/>
                  <w:u w:val="single"/>
                </w:rPr>
                <w:t xml:space="preserve">Certification of Chief Executive Officer pursuant to Section 906 of the Sarbanes-Oxley Act of 2002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22_2026-q3.htm">
              <w:r>
                <w:rPr>
                  <w:rStyle w:val="InternetLink"/>
                  <w:rFonts w:ascii="Arial;sans-serif" w:hAnsi="Arial;sans-serif"/>
                  <w:b w:val="false"/>
                  <w:color w:val="000000"/>
                  <w:sz w:val="14"/>
                  <w:u w:val="single"/>
                </w:rPr>
                <w:t>Certification of Chief Financial Officer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The following financial statements from the Company's Quarterly Report on Form 10-Q for the quarter ended July 31, 2026 formatted in Inline XBRL: (i) Condensed Consolidated Balance Sheets, (ii) Condensed Consolidated Statements of Operations, (iii) Condensed Consolidated Statements of Comprehensive (Loss) Income (iv) Condensed Consolidated Statements of Changes in Equity, (v) Condensed Consolidated Statements of Cash Flows, and (vi) Notes to Consolidated Financial Statements, tagged as blocks of text and including detailed tags.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Cover Page Interactive Data File (formatted as Inline XBRL and contained in Exhibit 101)</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5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786"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9863" w:type="dxa"/>
            <w:gridSpan w:val="27"/>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786" w:type="dxa"/>
            <w:gridSpan w:val="2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center"/>
        <w:rPr>
          <w:rFonts w:ascii="Arial;sans-serif" w:hAnsi="Arial;sans-serif"/>
          <w:b/>
          <w:color w:val="000000"/>
          <w:sz w:val="22"/>
        </w:rPr>
      </w:pPr>
      <w:r>
        <w:rPr>
          <w:rFonts w:ascii="Arial;sans-serif" w:hAnsi="Arial;sans-serif"/>
          <w:b/>
          <w:color w:val="000000"/>
          <w:sz w:val="22"/>
        </w:rPr>
        <w:t xml:space="preserve">SIGNATURES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Pursuant to the requirements of Section 13 or 15(d) of the Securities Exchange Act of 1934, the registrant has duly caused this quarterly report to be signed on its behalf by the undersigned, thereunto duly authorized, on September 8, 2026. </w:t>
      </w:r>
    </w:p>
    <w:p>
      <w:pPr>
        <w:pStyle w:val="TextBody"/>
        <w:bidi w:val="0"/>
        <w:spacing w:before="0" w:after="0"/>
        <w:ind w:left="0" w:right="0" w:firstLine="720"/>
        <w:jc w:val="left"/>
        <w:rPr/>
      </w:pPr>
      <w:r>
        <w:rPr/>
      </w:r>
    </w:p>
    <w:tbl>
      <w:tblPr>
        <w:tblW w:w="2894" w:type="dxa"/>
        <w:jc w:val="right"/>
        <w:tblInd w:w="0" w:type="dxa"/>
        <w:tblLayout w:type="fixed"/>
        <w:tblCellMar>
          <w:top w:w="28" w:type="dxa"/>
          <w:left w:w="28" w:type="dxa"/>
          <w:bottom w:w="28" w:type="dxa"/>
          <w:right w:w="28" w:type="dxa"/>
        </w:tblCellMar>
      </w:tblPr>
      <w:tblGrid>
        <w:gridCol w:w="925"/>
        <w:gridCol w:w="814"/>
        <w:gridCol w:w="1155"/>
      </w:tblGrid>
      <w:tr>
        <w:trPr/>
        <w:tc>
          <w:tcPr>
            <w:tcW w:w="92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300" w:after="240"/>
              <w:jc w:val="center"/>
              <w:rPr>
                <w:rFonts w:ascii="Arial;sans-serif" w:hAnsi="Arial;sans-serif"/>
                <w:b/>
                <w:color w:val="000000"/>
                <w:sz w:val="18"/>
              </w:rPr>
            </w:pPr>
            <w:r>
              <w:rPr>
                <w:rFonts w:ascii="Arial;sans-serif" w:hAnsi="Arial;sans-serif"/>
                <w:b/>
                <w:color w:val="000000"/>
                <w:sz w:val="18"/>
              </w:rPr>
              <w:t>MISSION PRODUCE, INC.</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 John M. Pawlowski</w:t>
            </w:r>
          </w:p>
        </w:tc>
      </w:tr>
      <w:tr>
        <w:trPr/>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John M. Pawlowski</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President and Chief Executive Officer</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 Bryan E. Giles</w:t>
            </w:r>
          </w:p>
        </w:tc>
      </w:tr>
      <w:tr>
        <w:trPr/>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Bryan E. Giles</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Exhibit 31.1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13360"/>
                <wp:effectExtent l="0" t="0" r="0" b="0"/>
                <wp:wrapNone/>
                <wp:docPr id="39" name="Frame39"/>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PURSUANT TO SECTION 302 OF THE SARBANES-OXLEY ACT OF 2002</w:t>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I, John M. Pawlowski, certify that: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1.I have reviewed this quarterly report on Form 10-Q of Mission Produce, Inc.;</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894" w:type="dxa"/>
        <w:jc w:val="right"/>
        <w:tblInd w:w="0" w:type="dxa"/>
        <w:tblLayout w:type="fixed"/>
        <w:tblCellMar>
          <w:top w:w="28" w:type="dxa"/>
          <w:left w:w="28" w:type="dxa"/>
          <w:bottom w:w="28" w:type="dxa"/>
          <w:right w:w="28" w:type="dxa"/>
        </w:tblCellMar>
      </w:tblPr>
      <w:tblGrid>
        <w:gridCol w:w="926"/>
        <w:gridCol w:w="814"/>
        <w:gridCol w:w="1154"/>
      </w:tblGrid>
      <w:tr>
        <w:trPr/>
        <w:tc>
          <w:tcPr>
            <w:tcW w:w="92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 John M. Pawlowski</w:t>
            </w:r>
          </w:p>
        </w:tc>
      </w:tr>
      <w:tr>
        <w:trPr/>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John M. Pawlowski</w:t>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President and Chief Executive Officer</w:t>
            </w:r>
          </w:p>
        </w:tc>
      </w:tr>
    </w:tbl>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Date: September 8,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Exhibit 31.2</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13360"/>
                <wp:effectExtent l="0" t="0" r="0" b="0"/>
                <wp:wrapNone/>
                <wp:docPr id="40" name="Frame40"/>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PURSUANT TO SECTION 302 OF THE SARBANES-OXLEY ACT OF 2002</w:t>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I, Bryan E. Giles, certify that: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1.I have reviewed this quarterly report on Form 10-Q of Mission Produce, Inc.;</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1770" w:type="dxa"/>
        <w:jc w:val="right"/>
        <w:tblInd w:w="0" w:type="dxa"/>
        <w:tblLayout w:type="fixed"/>
        <w:tblCellMar>
          <w:top w:w="28" w:type="dxa"/>
          <w:left w:w="28" w:type="dxa"/>
          <w:bottom w:w="28" w:type="dxa"/>
          <w:right w:w="28" w:type="dxa"/>
        </w:tblCellMar>
      </w:tblPr>
      <w:tblGrid>
        <w:gridCol w:w="566"/>
        <w:gridCol w:w="497"/>
        <w:gridCol w:w="707"/>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Bryan E. Giles</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Bryan E. Giles</w:t>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Chief Financial Officer</w:t>
            </w:r>
          </w:p>
        </w:tc>
      </w:tr>
    </w:tbl>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Date: September 8,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Exhibit 32.1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13360"/>
                <wp:effectExtent l="0" t="0" r="0" b="0"/>
                <wp:wrapNone/>
                <wp:docPr id="41" name="Frame4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PURSUANT TO SECTION 906 OF THE SARBANES-OXLEY ACT OF 2002</w:t>
      </w:r>
    </w:p>
    <w:p>
      <w:pPr>
        <w:pStyle w:val="TextBody"/>
        <w:bidi w:val="0"/>
        <w:spacing w:before="240" w:after="283"/>
        <w:ind w:left="0" w:right="0" w:firstLine="720"/>
        <w:jc w:val="left"/>
        <w:rPr/>
      </w:pPr>
      <w:r>
        <w:rPr/>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Pursuant to 18 U.S.C. Section 1350, as created by Section 906 of the Sarbanes-Oxley Act of 2002, the undersigned officer of Mission Produce, Inc. (the “Company”) hereby certifies, to the best of his knowledge, that: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(i)the Quarterly Report on Form 10-Q of the Company for the quarter ended July 31, 2026 (the “Report”) fully complies with the requirements of Section 13(a) or Section 15(d), as applicable, of the Securities Exchange Act of 1934, as amended;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(ii)the information contained in the Report fairly presents, in all material respects, the financial condition and results of operations of the Company.</w:t>
      </w:r>
    </w:p>
    <w:p>
      <w:pPr>
        <w:pStyle w:val="TextBody"/>
        <w:bidi w:val="0"/>
        <w:spacing w:before="240" w:after="283"/>
        <w:ind w:left="0" w:right="0" w:firstLine="720"/>
        <w:jc w:val="left"/>
        <w:rPr/>
      </w:pPr>
      <w:r>
        <w:rPr/>
      </w:r>
    </w:p>
    <w:tbl>
      <w:tblPr>
        <w:tblW w:w="2894" w:type="dxa"/>
        <w:jc w:val="right"/>
        <w:tblInd w:w="0" w:type="dxa"/>
        <w:tblLayout w:type="fixed"/>
        <w:tblCellMar>
          <w:top w:w="28" w:type="dxa"/>
          <w:left w:w="28" w:type="dxa"/>
          <w:bottom w:w="28" w:type="dxa"/>
          <w:right w:w="28" w:type="dxa"/>
        </w:tblCellMar>
      </w:tblPr>
      <w:tblGrid>
        <w:gridCol w:w="926"/>
        <w:gridCol w:w="814"/>
        <w:gridCol w:w="1154"/>
      </w:tblGrid>
      <w:tr>
        <w:trPr/>
        <w:tc>
          <w:tcPr>
            <w:tcW w:w="92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 John M. Pawlowski</w:t>
            </w:r>
          </w:p>
        </w:tc>
      </w:tr>
      <w:tr>
        <w:trPr/>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John M. Pawlowski</w:t>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President and Chief Executive Officer</w:t>
            </w:r>
          </w:p>
        </w:tc>
      </w:tr>
    </w:tbl>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Date: September 8,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Exhibit 32.2</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13360"/>
                <wp:effectExtent l="0" t="0" r="0" b="0"/>
                <wp:wrapNone/>
                <wp:docPr id="42" name="Frame4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PURSUANT TO SECTION 906 OF THE SARBANES-OXLEY ACT OF 2002</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Pursuant to 18 U.S.C. Section 1350, as created by Section 906 of the Sarbanes-Oxley Act of 2002, the undersigned officer of Mission Produce, Inc. (the “Company”) hereby certifies, to the best of his knowledge, that: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(i)the Quarterly Report on Form 10-Q of the Company for the quarter ended July 31, 2026 (the “Report”) fully complies with the requirements of Section 13(a) or Section 15(d), as applicable, of the Securities Exchange Act of 1934, as amended;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(ii)the information contained in the Report fairly presents, in all material respects, the financial condition and results of operations of the Company.</w:t>
      </w:r>
    </w:p>
    <w:p>
      <w:pPr>
        <w:pStyle w:val="TextBody"/>
        <w:bidi w:val="0"/>
        <w:spacing w:before="240" w:after="283"/>
        <w:ind w:left="0" w:right="0" w:firstLine="720"/>
        <w:jc w:val="left"/>
        <w:rPr/>
      </w:pPr>
      <w:r>
        <w:rPr/>
      </w:r>
    </w:p>
    <w:tbl>
      <w:tblPr>
        <w:tblW w:w="1770" w:type="dxa"/>
        <w:jc w:val="right"/>
        <w:tblInd w:w="0" w:type="dxa"/>
        <w:tblLayout w:type="fixed"/>
        <w:tblCellMar>
          <w:top w:w="28" w:type="dxa"/>
          <w:left w:w="28" w:type="dxa"/>
          <w:bottom w:w="28" w:type="dxa"/>
          <w:right w:w="28" w:type="dxa"/>
        </w:tblCellMar>
      </w:tblPr>
      <w:tblGrid>
        <w:gridCol w:w="566"/>
        <w:gridCol w:w="497"/>
        <w:gridCol w:w="707"/>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Bryan E. Giles</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Bryan E. Giles</w:t>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Chief Financial Officer</w:t>
            </w:r>
          </w:p>
        </w:tc>
      </w:tr>
    </w:tbl>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Date: September 8, 2026</w:t>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13360"/>
                <wp:effectExtent l="0" t="0" r="0" b="0"/>
                <wp:wrapNone/>
                <wp:docPr id="43" name="Frame4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2974/000119312526013366/d47538dex21.htm" TargetMode="External"/><Relationship Id="rId3" Type="http://schemas.openxmlformats.org/officeDocument/2006/relationships/hyperlink" Target="https://www.sec.gov/Archives/edgar/data/1802974/000119312520265099/d32849dex31.htm" TargetMode="External"/><Relationship Id="rId4" Type="http://schemas.openxmlformats.org/officeDocument/2006/relationships/hyperlink" Target="https://www.sec.gov/Archives/edgar/data/1802974/000180297424000028/ex32amendmenttoamendedandr.htm" TargetMode="External"/><Relationship Id="rId5" Type="http://schemas.openxmlformats.org/officeDocument/2006/relationships/hyperlink" Target="https://www.sec.gov/Archives/edgar/data/1802974/000119312526019420/d66727dex31.htm" TargetMode="External"/><Relationship Id="rId6" Type="http://schemas.openxmlformats.org/officeDocument/2006/relationships/hyperlink" Target="https://www.sec.gov/Archives/edgar/data/1802974/000119312520265099/d32849dex32.htm" TargetMode="External"/><Relationship Id="rId7" Type="http://schemas.openxmlformats.org/officeDocument/2006/relationships/hyperlink" Target="https://www.sec.gov/Archives/edgar/data/1802974/000119312526019420/d66727d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20934</Words>
  <Characters>115653</Characters>
  <CharactersWithSpaces>135184</CharactersWithSpaces>
  <Paragraphs>3222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