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501650</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525145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jc w:val="center"/>
        <w:ind w:right="-39"/>
        <w:spacing w:after="0" w:line="216" w:lineRule="auto"/>
        <w:rPr>
          <w:sz w:val="20"/>
          <w:szCs w:val="20"/>
          <w:color w:val="auto"/>
        </w:rPr>
      </w:pPr>
      <w:r>
        <w:rPr>
          <w:rFonts w:ascii="Arial" w:cs="Arial" w:eastAsia="Arial" w:hAnsi="Arial"/>
          <w:sz w:val="23"/>
          <w:szCs w:val="23"/>
          <w:b w:val="1"/>
          <w:bCs w:val="1"/>
          <w:color w:val="auto"/>
        </w:rPr>
        <w:t>SECURITIES AND EXCHANGE COMMISSION</w:t>
      </w:r>
    </w:p>
    <w:p>
      <w:pPr>
        <w:jc w:val="center"/>
        <w:ind w:right="-39"/>
        <w:spacing w:after="0" w:line="220" w:lineRule="auto"/>
        <w:rPr>
          <w:sz w:val="20"/>
          <w:szCs w:val="20"/>
          <w:color w:val="auto"/>
        </w:rPr>
      </w:pPr>
      <w:r>
        <w:rPr>
          <w:rFonts w:ascii="Arial" w:cs="Arial" w:eastAsia="Arial" w:hAnsi="Arial"/>
          <w:sz w:val="15"/>
          <w:szCs w:val="15"/>
          <w:b w:val="1"/>
          <w:bCs w:val="1"/>
          <w:color w:val="auto"/>
        </w:rPr>
        <w:t>WASHINGTON, D.C. 20549</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10-K</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(Mark One)</w:t>
      </w:r>
    </w:p>
    <w:p>
      <w:pPr>
        <w:spacing w:after="0" w:line="242" w:lineRule="exact"/>
        <w:rPr>
          <w:sz w:val="24"/>
          <w:szCs w:val="24"/>
          <w:color w:val="auto"/>
        </w:rPr>
      </w:pPr>
    </w:p>
    <w:p>
      <w:pPr>
        <w:ind w:left="1140" w:hanging="367"/>
        <w:spacing w:after="0"/>
        <w:tabs>
          <w:tab w:leader="none" w:pos="11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07" w:lineRule="exact"/>
        <w:rPr>
          <w:sz w:val="24"/>
          <w:szCs w:val="24"/>
          <w:color w:val="auto"/>
        </w:rPr>
      </w:pPr>
    </w:p>
    <w:p>
      <w:pPr>
        <w:jc w:val="center"/>
        <w:ind w:left="600"/>
        <w:spacing w:after="0"/>
        <w:rPr>
          <w:sz w:val="20"/>
          <w:szCs w:val="20"/>
          <w:color w:val="auto"/>
        </w:rPr>
      </w:pPr>
      <w:r>
        <w:rPr>
          <w:rFonts w:ascii="Arial" w:cs="Arial" w:eastAsia="Arial" w:hAnsi="Arial"/>
          <w:sz w:val="13"/>
          <w:szCs w:val="13"/>
          <w:b w:val="1"/>
          <w:bCs w:val="1"/>
          <w:color w:val="auto"/>
        </w:rPr>
        <w:t>For the fiscal year ended October 31, 2020</w:t>
      </w:r>
    </w:p>
    <w:p>
      <w:pPr>
        <w:spacing w:after="0" w:line="38" w:lineRule="exact"/>
        <w:rPr>
          <w:sz w:val="24"/>
          <w:szCs w:val="24"/>
          <w:color w:val="auto"/>
        </w:rPr>
      </w:pPr>
    </w:p>
    <w:p>
      <w:pPr>
        <w:jc w:val="center"/>
        <w:ind w:left="600"/>
        <w:spacing w:after="0"/>
        <w:rPr>
          <w:sz w:val="20"/>
          <w:szCs w:val="20"/>
          <w:color w:val="auto"/>
        </w:rPr>
      </w:pPr>
      <w:r>
        <w:rPr>
          <w:rFonts w:ascii="Arial" w:cs="Arial" w:eastAsia="Arial" w:hAnsi="Arial"/>
          <w:sz w:val="13"/>
          <w:szCs w:val="13"/>
          <w:b w:val="1"/>
          <w:bCs w:val="1"/>
          <w:color w:val="auto"/>
        </w:rPr>
        <w:t>OR</w:t>
      </w:r>
    </w:p>
    <w:p>
      <w:pPr>
        <w:spacing w:after="0" w:line="258" w:lineRule="exact"/>
        <w:rPr>
          <w:sz w:val="24"/>
          <w:szCs w:val="24"/>
          <w:color w:val="auto"/>
        </w:rPr>
      </w:pPr>
    </w:p>
    <w:p>
      <w:pPr>
        <w:ind w:left="1140" w:hanging="367"/>
        <w:spacing w:after="0"/>
        <w:tabs>
          <w:tab w:leader="none" w:pos="114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7" w:lineRule="exact"/>
        <w:rPr>
          <w:sz w:val="24"/>
          <w:szCs w:val="24"/>
          <w:color w:val="auto"/>
        </w:rPr>
      </w:pPr>
    </w:p>
    <w:p>
      <w:pPr>
        <w:ind w:left="4120"/>
        <w:spacing w:after="0"/>
        <w:tabs>
          <w:tab w:leader="none" w:pos="68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3834765</wp:posOffset>
            </wp:positionH>
            <wp:positionV relativeFrom="paragraph">
              <wp:posOffset>0</wp:posOffset>
            </wp:positionV>
            <wp:extent cx="1066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18" w:lineRule="exact"/>
        <w:rPr>
          <w:sz w:val="24"/>
          <w:szCs w:val="24"/>
          <w:color w:val="auto"/>
        </w:rPr>
      </w:pPr>
    </w:p>
    <w:p>
      <w:pPr>
        <w:jc w:val="center"/>
        <w:ind w:left="600"/>
        <w:spacing w:after="0"/>
        <w:rPr>
          <w:sz w:val="20"/>
          <w:szCs w:val="20"/>
          <w:color w:val="auto"/>
        </w:rPr>
      </w:pPr>
      <w:r>
        <w:rPr>
          <w:rFonts w:ascii="Arial" w:cs="Arial" w:eastAsia="Arial" w:hAnsi="Arial"/>
          <w:sz w:val="13"/>
          <w:szCs w:val="13"/>
          <w:b w:val="1"/>
          <w:bCs w:val="1"/>
          <w:color w:val="auto"/>
        </w:rPr>
        <w:t>Commission file number: 001-39561</w:t>
      </w:r>
    </w:p>
    <w:p>
      <w:pPr>
        <w:spacing w:after="0" w:line="9" w:lineRule="exact"/>
        <w:rPr>
          <w:sz w:val="24"/>
          <w:szCs w:val="24"/>
          <w:color w:val="auto"/>
        </w:rPr>
      </w:pPr>
    </w:p>
    <w:p>
      <w:pPr>
        <w:ind w:left="5560"/>
        <w:spacing w:after="0"/>
        <w:rPr>
          <w:sz w:val="20"/>
          <w:szCs w:val="20"/>
          <w:color w:val="auto"/>
        </w:rPr>
      </w:pPr>
      <w:r>
        <w:rPr>
          <w:rFonts w:ascii="Arial" w:cs="Arial" w:eastAsia="Arial" w:hAnsi="Arial"/>
          <w:sz w:val="10"/>
          <w:szCs w:val="10"/>
          <w:u w:val="single" w:color="auto"/>
          <w:color w:val="auto"/>
        </w:rPr>
        <w:t>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2777490</wp:posOffset>
            </wp:positionH>
            <wp:positionV relativeFrom="paragraph">
              <wp:posOffset>63500</wp:posOffset>
            </wp:positionV>
            <wp:extent cx="1587500" cy="67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7500" cy="674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39"/>
        <w:spacing w:after="0"/>
        <w:rPr>
          <w:sz w:val="20"/>
          <w:szCs w:val="20"/>
          <w:color w:val="auto"/>
        </w:rPr>
      </w:pPr>
      <w:r>
        <w:rPr>
          <w:rFonts w:ascii="Arial" w:cs="Arial" w:eastAsia="Arial" w:hAnsi="Arial"/>
          <w:sz w:val="33"/>
          <w:szCs w:val="33"/>
          <w:b w:val="1"/>
          <w:bCs w:val="1"/>
          <w:color w:val="232F84"/>
        </w:rPr>
        <w:t>MISSION PRODUCE,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tbl>
      <w:tblPr>
        <w:tblLayout w:type="fixed"/>
        <w:tblInd w:w="400" w:type="dxa"/>
        <w:tblCellMar>
          <w:top w:w="0" w:type="dxa"/>
          <w:left w:w="0" w:type="dxa"/>
          <w:bottom w:w="0" w:type="dxa"/>
          <w:right w:w="0" w:type="dxa"/>
        </w:tblCellMar>
      </w:tblPr>
      <w:tr>
        <w:trPr>
          <w:trHeight w:val="103"/>
        </w:trPr>
        <w:tc>
          <w:tcPr>
            <w:tcW w:w="4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240" w:type="dxa"/>
            <w:vAlign w:val="bottom"/>
            <w:gridSpan w:val="6"/>
          </w:tcPr>
          <w:p>
            <w:pPr>
              <w:jc w:val="center"/>
              <w:ind w:left="1462"/>
              <w:spacing w:after="0" w:line="103" w:lineRule="exact"/>
              <w:rPr>
                <w:sz w:val="20"/>
                <w:szCs w:val="20"/>
                <w:color w:val="auto"/>
              </w:rPr>
            </w:pPr>
            <w:r>
              <w:rPr>
                <w:rFonts w:ascii="Arial" w:cs="Arial" w:eastAsia="Arial" w:hAnsi="Arial"/>
                <w:sz w:val="10"/>
                <w:szCs w:val="10"/>
                <w:color w:val="auto"/>
                <w:w w:val="99"/>
              </w:rPr>
              <w:t>_____________</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r>
      <w:tr>
        <w:trPr>
          <w:trHeight w:val="342"/>
        </w:trPr>
        <w:tc>
          <w:tcPr>
            <w:tcW w:w="440" w:type="dxa"/>
            <w:vAlign w:val="bottom"/>
          </w:tcPr>
          <w:p>
            <w:pPr>
              <w:spacing w:after="0"/>
              <w:rPr>
                <w:sz w:val="24"/>
                <w:szCs w:val="24"/>
                <w:color w:val="auto"/>
              </w:rPr>
            </w:pPr>
          </w:p>
        </w:tc>
        <w:tc>
          <w:tcPr>
            <w:tcW w:w="3200" w:type="dxa"/>
            <w:vAlign w:val="bottom"/>
          </w:tcPr>
          <w:p>
            <w:pPr>
              <w:jc w:val="center"/>
              <w:ind w:left="315"/>
              <w:spacing w:after="0"/>
              <w:rPr>
                <w:sz w:val="20"/>
                <w:szCs w:val="20"/>
                <w:color w:val="auto"/>
              </w:rPr>
            </w:pPr>
            <w:r>
              <w:rPr>
                <w:rFonts w:ascii="Arial" w:cs="Arial" w:eastAsia="Arial" w:hAnsi="Arial"/>
                <w:sz w:val="13"/>
                <w:szCs w:val="13"/>
                <w:b w:val="1"/>
                <w:bCs w:val="1"/>
                <w:color w:val="auto"/>
              </w:rPr>
              <w:t>Delaware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7"/>
              <w:spacing w:after="0"/>
              <w:rPr>
                <w:sz w:val="20"/>
                <w:szCs w:val="20"/>
                <w:color w:val="auto"/>
              </w:rPr>
            </w:pPr>
            <w:r>
              <w:rPr>
                <w:rFonts w:ascii="Arial" w:cs="Arial" w:eastAsia="Arial" w:hAnsi="Arial"/>
                <w:sz w:val="13"/>
                <w:szCs w:val="13"/>
                <w:b w:val="1"/>
                <w:bCs w:val="1"/>
                <w:color w:val="auto"/>
              </w:rPr>
              <w:t>96-3847744</w:t>
            </w:r>
          </w:p>
        </w:tc>
      </w:tr>
      <w:tr>
        <w:trPr>
          <w:trHeight w:val="148"/>
        </w:trPr>
        <w:tc>
          <w:tcPr>
            <w:tcW w:w="440" w:type="dxa"/>
            <w:vAlign w:val="bottom"/>
          </w:tcPr>
          <w:p>
            <w:pPr>
              <w:spacing w:after="0"/>
              <w:rPr>
                <w:sz w:val="12"/>
                <w:szCs w:val="12"/>
                <w:color w:val="auto"/>
              </w:rPr>
            </w:pPr>
          </w:p>
        </w:tc>
        <w:tc>
          <w:tcPr>
            <w:tcW w:w="3200" w:type="dxa"/>
            <w:vAlign w:val="bottom"/>
          </w:tcPr>
          <w:p>
            <w:pPr>
              <w:jc w:val="center"/>
              <w:ind w:left="315"/>
              <w:spacing w:after="0"/>
              <w:rPr>
                <w:sz w:val="20"/>
                <w:szCs w:val="20"/>
                <w:color w:val="auto"/>
              </w:rPr>
            </w:pPr>
            <w:r>
              <w:rPr>
                <w:rFonts w:ascii="Arial" w:cs="Arial" w:eastAsia="Arial" w:hAnsi="Arial"/>
                <w:sz w:val="12"/>
                <w:szCs w:val="12"/>
                <w:b w:val="1"/>
                <w:bCs w:val="1"/>
                <w:color w:val="auto"/>
              </w:rPr>
              <w:t>(State or Other Jurisdiction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jc w:val="center"/>
              <w:ind w:right="357"/>
              <w:spacing w:after="0"/>
              <w:rPr>
                <w:sz w:val="20"/>
                <w:szCs w:val="20"/>
                <w:color w:val="auto"/>
              </w:rPr>
            </w:pPr>
            <w:r>
              <w:rPr>
                <w:rFonts w:ascii="Arial" w:cs="Arial" w:eastAsia="Arial" w:hAnsi="Arial"/>
                <w:sz w:val="12"/>
                <w:szCs w:val="12"/>
                <w:b w:val="1"/>
                <w:bCs w:val="1"/>
                <w:color w:val="auto"/>
              </w:rPr>
              <w:t>(I.R.S. Employer</w:t>
            </w:r>
          </w:p>
        </w:tc>
      </w:tr>
      <w:tr>
        <w:trPr>
          <w:trHeight w:val="176"/>
        </w:trPr>
        <w:tc>
          <w:tcPr>
            <w:tcW w:w="440" w:type="dxa"/>
            <w:vAlign w:val="bottom"/>
          </w:tcPr>
          <w:p>
            <w:pPr>
              <w:spacing w:after="0"/>
              <w:rPr>
                <w:sz w:val="15"/>
                <w:szCs w:val="15"/>
                <w:color w:val="auto"/>
              </w:rPr>
            </w:pPr>
          </w:p>
        </w:tc>
        <w:tc>
          <w:tcPr>
            <w:tcW w:w="3200" w:type="dxa"/>
            <w:vAlign w:val="bottom"/>
          </w:tcPr>
          <w:p>
            <w:pPr>
              <w:jc w:val="center"/>
              <w:ind w:left="295"/>
              <w:spacing w:after="0"/>
              <w:rPr>
                <w:sz w:val="20"/>
                <w:szCs w:val="20"/>
                <w:color w:val="auto"/>
              </w:rPr>
            </w:pPr>
            <w:r>
              <w:rPr>
                <w:rFonts w:ascii="Arial" w:cs="Arial" w:eastAsia="Arial" w:hAnsi="Arial"/>
                <w:sz w:val="12"/>
                <w:szCs w:val="12"/>
                <w:b w:val="1"/>
                <w:bCs w:val="1"/>
                <w:color w:val="auto"/>
              </w:rPr>
              <w:t>Incorporation or Organization)</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tcPr>
          <w:p>
            <w:pPr>
              <w:jc w:val="center"/>
              <w:ind w:right="357"/>
              <w:spacing w:after="0"/>
              <w:rPr>
                <w:sz w:val="20"/>
                <w:szCs w:val="20"/>
                <w:color w:val="auto"/>
              </w:rPr>
            </w:pPr>
            <w:r>
              <w:rPr>
                <w:rFonts w:ascii="Arial" w:cs="Arial" w:eastAsia="Arial" w:hAnsi="Arial"/>
                <w:sz w:val="12"/>
                <w:szCs w:val="12"/>
                <w:b w:val="1"/>
                <w:bCs w:val="1"/>
                <w:color w:val="auto"/>
              </w:rPr>
              <w:t>Identification No.)</w:t>
            </w:r>
          </w:p>
        </w:tc>
      </w:tr>
      <w:tr>
        <w:trPr>
          <w:trHeight w:val="277"/>
        </w:trPr>
        <w:tc>
          <w:tcPr>
            <w:tcW w:w="440" w:type="dxa"/>
            <w:vAlign w:val="bottom"/>
          </w:tcPr>
          <w:p>
            <w:pPr>
              <w:spacing w:after="0"/>
              <w:rPr>
                <w:sz w:val="24"/>
                <w:szCs w:val="24"/>
                <w:color w:val="auto"/>
              </w:rPr>
            </w:pPr>
          </w:p>
        </w:tc>
        <w:tc>
          <w:tcPr>
            <w:tcW w:w="3200" w:type="dxa"/>
            <w:vAlign w:val="bottom"/>
          </w:tcPr>
          <w:p>
            <w:pPr>
              <w:jc w:val="center"/>
              <w:ind w:left="315"/>
              <w:spacing w:after="0"/>
              <w:rPr>
                <w:sz w:val="20"/>
                <w:szCs w:val="20"/>
                <w:color w:val="auto"/>
              </w:rPr>
            </w:pPr>
            <w:r>
              <w:rPr>
                <w:rFonts w:ascii="Arial" w:cs="Arial" w:eastAsia="Arial" w:hAnsi="Arial"/>
                <w:sz w:val="13"/>
                <w:szCs w:val="13"/>
                <w:b w:val="1"/>
                <w:bCs w:val="1"/>
                <w:color w:val="auto"/>
              </w:rPr>
              <w:t>2500 East Vineyard Avenue, Suite 300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657"/>
              <w:spacing w:after="0"/>
              <w:rPr>
                <w:sz w:val="20"/>
                <w:szCs w:val="20"/>
                <w:color w:val="auto"/>
              </w:rPr>
            </w:pPr>
            <w:r>
              <w:rPr>
                <w:rFonts w:ascii="Arial" w:cs="Arial" w:eastAsia="Arial" w:hAnsi="Arial"/>
                <w:sz w:val="13"/>
                <w:szCs w:val="13"/>
                <w:b w:val="1"/>
                <w:bCs w:val="1"/>
                <w:color w:val="auto"/>
              </w:rPr>
              <w:t>93036</w:t>
            </w:r>
          </w:p>
        </w:tc>
      </w:tr>
      <w:tr>
        <w:trPr>
          <w:trHeight w:val="147"/>
        </w:trPr>
        <w:tc>
          <w:tcPr>
            <w:tcW w:w="440" w:type="dxa"/>
            <w:vAlign w:val="bottom"/>
          </w:tcPr>
          <w:p>
            <w:pPr>
              <w:spacing w:after="0"/>
              <w:rPr>
                <w:sz w:val="12"/>
                <w:szCs w:val="12"/>
                <w:color w:val="auto"/>
              </w:rPr>
            </w:pPr>
          </w:p>
        </w:tc>
        <w:tc>
          <w:tcPr>
            <w:tcW w:w="3200" w:type="dxa"/>
            <w:vAlign w:val="bottom"/>
          </w:tcPr>
          <w:p>
            <w:pPr>
              <w:jc w:val="center"/>
              <w:ind w:left="295"/>
              <w:spacing w:after="0" w:line="147" w:lineRule="exact"/>
              <w:rPr>
                <w:sz w:val="20"/>
                <w:szCs w:val="20"/>
                <w:color w:val="auto"/>
              </w:rPr>
            </w:pPr>
            <w:r>
              <w:rPr>
                <w:rFonts w:ascii="Arial" w:cs="Arial" w:eastAsia="Arial" w:hAnsi="Arial"/>
                <w:sz w:val="13"/>
                <w:szCs w:val="13"/>
                <w:b w:val="1"/>
                <w:bCs w:val="1"/>
                <w:color w:val="auto"/>
              </w:rPr>
              <w:t>Oxnard, California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jc w:val="center"/>
              <w:ind w:right="357"/>
              <w:spacing w:after="0"/>
              <w:rPr>
                <w:sz w:val="20"/>
                <w:szCs w:val="20"/>
                <w:color w:val="auto"/>
              </w:rPr>
            </w:pPr>
            <w:r>
              <w:rPr>
                <w:rFonts w:ascii="Arial" w:cs="Arial" w:eastAsia="Arial" w:hAnsi="Arial"/>
                <w:sz w:val="12"/>
                <w:szCs w:val="12"/>
                <w:b w:val="1"/>
                <w:bCs w:val="1"/>
                <w:color w:val="auto"/>
              </w:rPr>
              <w:t>(Zip Code)</w:t>
            </w:r>
          </w:p>
        </w:tc>
      </w:tr>
      <w:tr>
        <w:trPr>
          <w:trHeight w:val="163"/>
        </w:trPr>
        <w:tc>
          <w:tcPr>
            <w:tcW w:w="440" w:type="dxa"/>
            <w:vAlign w:val="bottom"/>
          </w:tcPr>
          <w:p>
            <w:pPr>
              <w:spacing w:after="0"/>
              <w:rPr>
                <w:sz w:val="14"/>
                <w:szCs w:val="14"/>
                <w:color w:val="auto"/>
              </w:rPr>
            </w:pPr>
          </w:p>
        </w:tc>
        <w:tc>
          <w:tcPr>
            <w:tcW w:w="3200" w:type="dxa"/>
            <w:vAlign w:val="bottom"/>
          </w:tcPr>
          <w:p>
            <w:pPr>
              <w:jc w:val="center"/>
              <w:ind w:left="315"/>
              <w:spacing w:after="0"/>
              <w:rPr>
                <w:sz w:val="20"/>
                <w:szCs w:val="20"/>
                <w:color w:val="auto"/>
              </w:rPr>
            </w:pPr>
            <w:r>
              <w:rPr>
                <w:rFonts w:ascii="Arial" w:cs="Arial" w:eastAsia="Arial" w:hAnsi="Arial"/>
                <w:sz w:val="12"/>
                <w:szCs w:val="12"/>
                <w:b w:val="1"/>
                <w:bCs w:val="1"/>
                <w:color w:val="auto"/>
              </w:rPr>
              <w:t>(Address of Principal Executive Offices)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61"/>
        </w:trPr>
        <w:tc>
          <w:tcPr>
            <w:tcW w:w="440" w:type="dxa"/>
            <w:vAlign w:val="bottom"/>
          </w:tcPr>
          <w:p>
            <w:pPr>
              <w:spacing w:after="0"/>
              <w:rPr>
                <w:sz w:val="24"/>
                <w:szCs w:val="24"/>
                <w:color w:val="auto"/>
              </w:rPr>
            </w:pPr>
          </w:p>
        </w:tc>
        <w:tc>
          <w:tcPr>
            <w:tcW w:w="9580" w:type="dxa"/>
            <w:vAlign w:val="bottom"/>
            <w:gridSpan w:val="12"/>
          </w:tcPr>
          <w:p>
            <w:pPr>
              <w:jc w:val="center"/>
              <w:ind w:left="515"/>
              <w:spacing w:after="0"/>
              <w:rPr>
                <w:sz w:val="20"/>
                <w:szCs w:val="20"/>
                <w:color w:val="auto"/>
              </w:rPr>
            </w:pPr>
            <w:r>
              <w:rPr>
                <w:rFonts w:ascii="Arial" w:cs="Arial" w:eastAsia="Arial" w:hAnsi="Arial"/>
                <w:sz w:val="13"/>
                <w:szCs w:val="13"/>
                <w:b w:val="1"/>
                <w:bCs w:val="1"/>
                <w:color w:val="auto"/>
              </w:rPr>
              <w:t>Registrant’s Telephone Number, Including Area Code: (805) 981-3650</w:t>
            </w:r>
          </w:p>
        </w:tc>
      </w:tr>
      <w:tr>
        <w:trPr>
          <w:trHeight w:val="103"/>
        </w:trPr>
        <w:tc>
          <w:tcPr>
            <w:tcW w:w="4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520" w:type="dxa"/>
            <w:vAlign w:val="bottom"/>
            <w:gridSpan w:val="4"/>
          </w:tcPr>
          <w:p>
            <w:pPr>
              <w:spacing w:after="0"/>
              <w:rPr>
                <w:sz w:val="8"/>
                <w:szCs w:val="8"/>
                <w:color w:val="auto"/>
              </w:rPr>
            </w:pPr>
          </w:p>
        </w:tc>
        <w:tc>
          <w:tcPr>
            <w:tcW w:w="720" w:type="dxa"/>
            <w:vAlign w:val="bottom"/>
            <w:tcBorders>
              <w:bottom w:val="single" w:sz="8" w:color="auto"/>
            </w:tcBorders>
            <w:gridSpan w:val="2"/>
          </w:tcPr>
          <w:p>
            <w:pPr>
              <w:jc w:val="center"/>
              <w:spacing w:after="0" w:line="103" w:lineRule="exact"/>
              <w:rPr>
                <w:sz w:val="20"/>
                <w:szCs w:val="20"/>
                <w:color w:val="auto"/>
              </w:rPr>
            </w:pPr>
            <w:r>
              <w:rPr>
                <w:rFonts w:ascii="Arial" w:cs="Arial" w:eastAsia="Arial" w:hAnsi="Arial"/>
                <w:sz w:val="10"/>
                <w:szCs w:val="10"/>
                <w:color w:val="auto"/>
                <w:w w:val="99"/>
              </w:rPr>
              <w:t>_____________</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r>
      <w:tr>
        <w:trPr>
          <w:trHeight w:val="245"/>
        </w:trPr>
        <w:tc>
          <w:tcPr>
            <w:tcW w:w="4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6380" w:type="dxa"/>
            <w:vAlign w:val="bottom"/>
            <w:gridSpan w:val="11"/>
          </w:tcPr>
          <w:p>
            <w:pPr>
              <w:jc w:val="center"/>
              <w:ind w:right="2537"/>
              <w:spacing w:after="0"/>
              <w:rPr>
                <w:sz w:val="20"/>
                <w:szCs w:val="20"/>
                <w:color w:val="auto"/>
              </w:rPr>
            </w:pPr>
            <w:r>
              <w:rPr>
                <w:rFonts w:ascii="Arial" w:cs="Arial" w:eastAsia="Arial" w:hAnsi="Arial"/>
                <w:sz w:val="13"/>
                <w:szCs w:val="13"/>
                <w:b w:val="1"/>
                <w:bCs w:val="1"/>
                <w:color w:val="auto"/>
              </w:rPr>
              <w:t>Securities registered pursuant to Section 12(b) of the Act:</w:t>
            </w:r>
          </w:p>
        </w:tc>
      </w:tr>
      <w:tr>
        <w:trPr>
          <w:trHeight w:val="235"/>
        </w:trPr>
        <w:tc>
          <w:tcPr>
            <w:tcW w:w="440" w:type="dxa"/>
            <w:vAlign w:val="bottom"/>
          </w:tcPr>
          <w:p>
            <w:pPr>
              <w:spacing w:after="0"/>
              <w:rPr>
                <w:sz w:val="20"/>
                <w:szCs w:val="20"/>
                <w:color w:val="auto"/>
              </w:rPr>
            </w:pPr>
          </w:p>
        </w:tc>
        <w:tc>
          <w:tcPr>
            <w:tcW w:w="3200" w:type="dxa"/>
            <w:vAlign w:val="bottom"/>
            <w:tcBorders>
              <w:bottom w:val="single" w:sz="8" w:color="auto"/>
            </w:tcBorders>
          </w:tcPr>
          <w:p>
            <w:pPr>
              <w:jc w:val="center"/>
              <w:ind w:left="435"/>
              <w:spacing w:after="0"/>
              <w:rPr>
                <w:sz w:val="20"/>
                <w:szCs w:val="20"/>
                <w:color w:val="auto"/>
              </w:rPr>
            </w:pPr>
            <w:r>
              <w:rPr>
                <w:rFonts w:ascii="Arial" w:cs="Arial" w:eastAsia="Arial" w:hAnsi="Arial"/>
                <w:sz w:val="13"/>
                <w:szCs w:val="13"/>
                <w:b w:val="1"/>
                <w:bCs w:val="1"/>
                <w:color w:val="auto"/>
              </w:rPr>
              <w:t>Title of each class</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Trading Symbol(s)</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6"/>
        </w:trPr>
        <w:tc>
          <w:tcPr>
            <w:tcW w:w="440" w:type="dxa"/>
            <w:vAlign w:val="bottom"/>
          </w:tcPr>
          <w:p>
            <w:pPr>
              <w:spacing w:after="0"/>
              <w:rPr>
                <w:sz w:val="13"/>
                <w:szCs w:val="13"/>
                <w:color w:val="auto"/>
              </w:rPr>
            </w:pPr>
          </w:p>
        </w:tc>
        <w:tc>
          <w:tcPr>
            <w:tcW w:w="3200" w:type="dxa"/>
            <w:vAlign w:val="bottom"/>
          </w:tcPr>
          <w:p>
            <w:pPr>
              <w:jc w:val="center"/>
              <w:ind w:left="435"/>
              <w:spacing w:after="0"/>
              <w:rPr>
                <w:sz w:val="20"/>
                <w:szCs w:val="20"/>
                <w:color w:val="auto"/>
              </w:rPr>
            </w:pPr>
            <w:r>
              <w:rPr>
                <w:rFonts w:ascii="Arial" w:cs="Arial" w:eastAsia="Arial" w:hAnsi="Arial"/>
                <w:sz w:val="12"/>
                <w:szCs w:val="12"/>
                <w:b w:val="1"/>
                <w:bCs w:val="1"/>
                <w:color w:val="auto"/>
              </w:rPr>
              <w:t>Common Stock, par value $0.001 per share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4"/>
          </w:tcPr>
          <w:p>
            <w:pPr>
              <w:jc w:val="center"/>
              <w:ind w:right="560"/>
              <w:spacing w:after="0"/>
              <w:rPr>
                <w:sz w:val="20"/>
                <w:szCs w:val="20"/>
                <w:color w:val="auto"/>
              </w:rPr>
            </w:pPr>
            <w:r>
              <w:rPr>
                <w:rFonts w:ascii="Arial" w:cs="Arial" w:eastAsia="Arial" w:hAnsi="Arial"/>
                <w:sz w:val="12"/>
                <w:szCs w:val="12"/>
                <w:b w:val="1"/>
                <w:bCs w:val="1"/>
                <w:color w:val="auto"/>
                <w:w w:val="99"/>
              </w:rPr>
              <w:t>AVO</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jc w:val="center"/>
              <w:ind w:right="297"/>
              <w:spacing w:after="0"/>
              <w:rPr>
                <w:sz w:val="20"/>
                <w:szCs w:val="20"/>
                <w:color w:val="auto"/>
              </w:rPr>
            </w:pPr>
            <w:r>
              <w:rPr>
                <w:rFonts w:ascii="Arial" w:cs="Arial" w:eastAsia="Arial" w:hAnsi="Arial"/>
                <w:sz w:val="12"/>
                <w:szCs w:val="12"/>
                <w:b w:val="1"/>
                <w:bCs w:val="1"/>
                <w:color w:val="auto"/>
              </w:rPr>
              <w:t>NASDAQ Global Select Market</w:t>
            </w:r>
          </w:p>
        </w:tc>
      </w:tr>
      <w:tr>
        <w:trPr>
          <w:trHeight w:val="471"/>
        </w:trPr>
        <w:tc>
          <w:tcPr>
            <w:tcW w:w="440" w:type="dxa"/>
            <w:vAlign w:val="bottom"/>
          </w:tcPr>
          <w:p>
            <w:pPr>
              <w:spacing w:after="0"/>
              <w:rPr>
                <w:sz w:val="24"/>
                <w:szCs w:val="24"/>
                <w:color w:val="auto"/>
              </w:rPr>
            </w:pPr>
          </w:p>
        </w:tc>
        <w:tc>
          <w:tcPr>
            <w:tcW w:w="9580" w:type="dxa"/>
            <w:vAlign w:val="bottom"/>
            <w:gridSpan w:val="12"/>
          </w:tcPr>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tc>
      </w:tr>
      <w:tr>
        <w:trPr>
          <w:trHeight w:val="103"/>
        </w:trPr>
        <w:tc>
          <w:tcPr>
            <w:tcW w:w="4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20" w:type="dxa"/>
            <w:vAlign w:val="bottom"/>
            <w:gridSpan w:val="3"/>
          </w:tcPr>
          <w:p>
            <w:pPr>
              <w:spacing w:after="0"/>
              <w:rPr>
                <w:sz w:val="8"/>
                <w:szCs w:val="8"/>
                <w:color w:val="auto"/>
              </w:rPr>
            </w:pPr>
          </w:p>
        </w:tc>
        <w:tc>
          <w:tcPr>
            <w:tcW w:w="720" w:type="dxa"/>
            <w:vAlign w:val="bottom"/>
            <w:tcBorders>
              <w:bottom w:val="single" w:sz="8" w:color="auto"/>
            </w:tcBorders>
            <w:gridSpan w:val="2"/>
          </w:tcPr>
          <w:p>
            <w:pPr>
              <w:jc w:val="center"/>
              <w:spacing w:after="0" w:line="103" w:lineRule="exact"/>
              <w:rPr>
                <w:sz w:val="20"/>
                <w:szCs w:val="20"/>
                <w:color w:val="auto"/>
              </w:rPr>
            </w:pPr>
            <w:r>
              <w:rPr>
                <w:rFonts w:ascii="Arial" w:cs="Arial" w:eastAsia="Arial" w:hAnsi="Arial"/>
                <w:sz w:val="10"/>
                <w:szCs w:val="10"/>
                <w:color w:val="auto"/>
                <w:w w:val="99"/>
              </w:rPr>
              <w:t>_____________</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r>
      <w:tr>
        <w:trPr>
          <w:trHeight w:val="208"/>
        </w:trPr>
        <w:tc>
          <w:tcPr>
            <w:tcW w:w="6120" w:type="dxa"/>
            <w:vAlign w:val="bottom"/>
            <w:gridSpan w:val="9"/>
          </w:tcPr>
          <w:p>
            <w:pPr>
              <w:spacing w:after="0"/>
              <w:rPr>
                <w:sz w:val="20"/>
                <w:szCs w:val="20"/>
                <w:color w:val="auto"/>
              </w:rPr>
            </w:pPr>
            <w:r>
              <w:rPr>
                <w:rFonts w:ascii="Arial" w:cs="Arial" w:eastAsia="Arial" w:hAnsi="Arial"/>
                <w:sz w:val="12"/>
                <w:szCs w:val="12"/>
                <w:color w:val="auto"/>
                <w:w w:val="98"/>
              </w:rPr>
              <w:t>Indicate by check mark if the registrant is a well-known seasoned issuer, as defined in Rule 405 of the Securities Act.</w:t>
            </w:r>
          </w:p>
        </w:tc>
        <w:tc>
          <w:tcPr>
            <w:tcW w:w="500" w:type="dxa"/>
            <w:vAlign w:val="bottom"/>
            <w:gridSpan w:val="3"/>
          </w:tcPr>
          <w:p>
            <w:pPr>
              <w:ind w:left="4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340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82"/>
        </w:trPr>
        <w:tc>
          <w:tcPr>
            <w:tcW w:w="6120" w:type="dxa"/>
            <w:vAlign w:val="bottom"/>
            <w:gridSpan w:val="9"/>
          </w:tcPr>
          <w:p>
            <w:pPr>
              <w:spacing w:after="0"/>
              <w:rPr>
                <w:sz w:val="20"/>
                <w:szCs w:val="20"/>
                <w:color w:val="auto"/>
              </w:rPr>
            </w:pPr>
            <w:r>
              <w:rPr>
                <w:rFonts w:ascii="Arial" w:cs="Arial" w:eastAsia="Arial" w:hAnsi="Arial"/>
                <w:sz w:val="12"/>
                <w:szCs w:val="12"/>
                <w:color w:val="auto"/>
                <w:w w:val="97"/>
              </w:rPr>
              <w:t>Indicate by check mark if the registrant is not required to file reports pursuant to Section 13 or Section 15(d) of the Act.</w:t>
            </w:r>
          </w:p>
        </w:tc>
        <w:tc>
          <w:tcPr>
            <w:tcW w:w="60" w:type="dxa"/>
            <w:vAlign w:val="bottom"/>
          </w:tcPr>
          <w:p>
            <w:pPr>
              <w:spacing w:after="0"/>
              <w:rPr>
                <w:sz w:val="15"/>
                <w:szCs w:val="15"/>
                <w:color w:val="auto"/>
              </w:rPr>
            </w:pPr>
          </w:p>
        </w:tc>
        <w:tc>
          <w:tcPr>
            <w:tcW w:w="440" w:type="dxa"/>
            <w:vAlign w:val="bottom"/>
            <w:gridSpan w:val="2"/>
          </w:tcPr>
          <w:p>
            <w:pPr>
              <w:ind w:left="4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3400" w:type="dxa"/>
            <w:vAlign w:val="bottom"/>
          </w:tcPr>
          <w:p>
            <w:pPr>
              <w:ind w:left="10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bl>
    <w:p>
      <w:pPr>
        <w:spacing w:after="0" w:line="9" w:lineRule="exact"/>
        <w:rPr>
          <w:sz w:val="24"/>
          <w:szCs w:val="24"/>
          <w:color w:val="auto"/>
        </w:rPr>
      </w:pPr>
    </w:p>
    <w:p>
      <w:pPr>
        <w:ind w:firstLine="408"/>
        <w:spacing w:after="0" w:line="13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 w:lineRule="exact"/>
        <w:rPr>
          <w:sz w:val="24"/>
          <w:szCs w:val="24"/>
          <w:color w:val="auto"/>
        </w:rPr>
      </w:pPr>
    </w:p>
    <w:p>
      <w:pPr>
        <w:ind w:right="360" w:firstLine="408"/>
        <w:spacing w:after="0" w:line="133"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 w:lineRule="exact"/>
        <w:rPr>
          <w:sz w:val="24"/>
          <w:szCs w:val="24"/>
          <w:color w:val="auto"/>
        </w:rPr>
      </w:pPr>
    </w:p>
    <w:p>
      <w:pPr>
        <w:ind w:right="120" w:firstLine="408"/>
        <w:spacing w:after="0" w:line="21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78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00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ind w:left="2540"/>
              <w:spacing w:after="0"/>
              <w:rPr>
                <w:sz w:val="20"/>
                <w:szCs w:val="20"/>
                <w:color w:val="auto"/>
              </w:rPr>
            </w:pPr>
            <w:r>
              <w:rPr>
                <w:rFonts w:ascii="Arial" w:cs="Arial" w:eastAsia="Arial" w:hAnsi="Arial"/>
                <w:sz w:val="12"/>
                <w:szCs w:val="12"/>
                <w:color w:val="auto"/>
              </w:rPr>
              <w:t>Accelerated filer</w:t>
            </w:r>
          </w:p>
        </w:tc>
        <w:tc>
          <w:tcPr>
            <w:tcW w:w="480" w:type="dxa"/>
            <w:vAlign w:val="bottom"/>
          </w:tcPr>
          <w:p>
            <w:pPr>
              <w:ind w:left="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2"/>
        </w:trPr>
        <w:tc>
          <w:tcPr>
            <w:tcW w:w="1760" w:type="dxa"/>
            <w:vAlign w:val="bottom"/>
          </w:tcPr>
          <w:p>
            <w:pPr>
              <w:spacing w:after="0"/>
              <w:rPr>
                <w:sz w:val="20"/>
                <w:szCs w:val="20"/>
                <w:color w:val="auto"/>
              </w:rPr>
            </w:pPr>
            <w:r>
              <w:rPr>
                <w:rFonts w:ascii="Arial" w:cs="Arial" w:eastAsia="Arial" w:hAnsi="Arial"/>
                <w:sz w:val="12"/>
                <w:szCs w:val="12"/>
                <w:color w:val="auto"/>
              </w:rPr>
              <w:t>Non-accelerated filer</w:t>
            </w:r>
          </w:p>
        </w:tc>
        <w:tc>
          <w:tcPr>
            <w:tcW w:w="300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ind w:left="2540"/>
              <w:spacing w:after="0"/>
              <w:rPr>
                <w:sz w:val="20"/>
                <w:szCs w:val="20"/>
                <w:color w:val="auto"/>
              </w:rPr>
            </w:pPr>
            <w:r>
              <w:rPr>
                <w:rFonts w:ascii="Arial" w:cs="Arial" w:eastAsia="Arial" w:hAnsi="Arial"/>
                <w:sz w:val="12"/>
                <w:szCs w:val="12"/>
                <w:color w:val="auto"/>
              </w:rPr>
              <w:t>Smaller reporting company</w:t>
            </w:r>
          </w:p>
        </w:tc>
        <w:tc>
          <w:tcPr>
            <w:tcW w:w="480" w:type="dxa"/>
            <w:vAlign w:val="bottom"/>
          </w:tcPr>
          <w:p>
            <w:pPr>
              <w:ind w:left="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2"/>
        </w:trPr>
        <w:tc>
          <w:tcPr>
            <w:tcW w:w="176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00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300" w:type="dxa"/>
            <w:vAlign w:val="bottom"/>
          </w:tcPr>
          <w:p>
            <w:pPr>
              <w:spacing w:after="0"/>
              <w:rPr>
                <w:sz w:val="15"/>
                <w:szCs w:val="15"/>
                <w:color w:val="auto"/>
              </w:rPr>
            </w:pPr>
          </w:p>
        </w:tc>
        <w:tc>
          <w:tcPr>
            <w:tcW w:w="480" w:type="dxa"/>
            <w:vAlign w:val="bottom"/>
          </w:tcPr>
          <w:p>
            <w:pPr>
              <w:spacing w:after="0"/>
              <w:rPr>
                <w:sz w:val="15"/>
                <w:szCs w:val="15"/>
                <w:color w:val="auto"/>
              </w:rPr>
            </w:pPr>
          </w:p>
        </w:tc>
      </w:tr>
    </w:tbl>
    <w:p>
      <w:pPr>
        <w:spacing w:after="0" w:line="309" w:lineRule="exact"/>
        <w:rPr>
          <w:sz w:val="24"/>
          <w:szCs w:val="24"/>
          <w:color w:val="auto"/>
        </w:rPr>
      </w:pPr>
    </w:p>
    <w:p>
      <w:pPr>
        <w:ind w:right="340" w:firstLine="408"/>
        <w:spacing w:after="0" w:line="13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400"/>
        <w:spacing w:after="0" w:line="138" w:lineRule="exact"/>
        <w:tabs>
          <w:tab w:leader="none" w:pos="618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33" w:lineRule="exact"/>
        <w:rPr>
          <w:sz w:val="24"/>
          <w:szCs w:val="24"/>
          <w:color w:val="auto"/>
        </w:rPr>
      </w:pPr>
    </w:p>
    <w:p>
      <w:pPr>
        <w:ind w:right="60" w:firstLine="408"/>
        <w:spacing w:after="0" w:line="211" w:lineRule="auto"/>
        <w:rPr>
          <w:sz w:val="20"/>
          <w:szCs w:val="20"/>
          <w:color w:val="auto"/>
        </w:rPr>
      </w:pPr>
      <w:r>
        <w:rPr>
          <w:rFonts w:ascii="Arial" w:cs="Arial" w:eastAsia="Arial" w:hAnsi="Arial"/>
          <w:sz w:val="12"/>
          <w:szCs w:val="12"/>
          <w:color w:val="auto"/>
        </w:rPr>
        <w:t>As of October 2, 2020, the aggregate market value of the registrant’s common stock held by non-affiliates of the registrant was approximately $457 million, based on the closing price of the registrant’s common stock on the Nasdaq Global Select Market of $12.00 per share. The registrant has elected to use October 2, 2020 as the calculation date, which was the first day our common stock was publicly traded, because as of April 30, 2020 (the last business day of the registrant’s most recently completed second fiscal quarter) the registrant was a privately-held concern.</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2"/>
          <w:szCs w:val="12"/>
          <w:color w:val="auto"/>
        </w:rPr>
        <w:t>As of January 18, 2021, the registrant had 70,550,922 shares of common stock at $0.001 par value outstanding.</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12"/>
          <w:szCs w:val="12"/>
          <w:b w:val="1"/>
          <w:bCs w:val="1"/>
          <w:color w:val="auto"/>
        </w:rPr>
        <w:t>DOCUMENTS INCORPORATED BY REFERENCE</w:t>
      </w:r>
    </w:p>
    <w:p>
      <w:pPr>
        <w:spacing w:after="0" w:line="38" w:lineRule="exact"/>
        <w:rPr>
          <w:sz w:val="24"/>
          <w:szCs w:val="24"/>
          <w:color w:val="auto"/>
        </w:rPr>
      </w:pPr>
    </w:p>
    <w:p>
      <w:pPr>
        <w:ind w:right="40" w:firstLine="408"/>
        <w:spacing w:after="0" w:line="219" w:lineRule="auto"/>
        <w:rPr>
          <w:sz w:val="20"/>
          <w:szCs w:val="20"/>
          <w:color w:val="auto"/>
        </w:rPr>
      </w:pPr>
      <w:r>
        <w:rPr>
          <w:rFonts w:ascii="Arial" w:cs="Arial" w:eastAsia="Arial" w:hAnsi="Arial"/>
          <w:sz w:val="12"/>
          <w:szCs w:val="12"/>
          <w:color w:val="auto"/>
        </w:rPr>
        <w:t>Certain sections of the registrant’s definitive proxy statement for the 2021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950" w:right="35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5"/>
          <w:szCs w:val="15"/>
          <w:b w:val="1"/>
          <w:bCs w:val="1"/>
          <w:u w:val="single" w:color="auto"/>
          <w:color w:val="0563C1"/>
        </w:rPr>
      </w:pPr>
      <w:hyperlink w:anchor="page4">
        <w:r>
          <w:rPr>
            <w:rFonts w:ascii="Arial" w:cs="Arial" w:eastAsia="Arial" w:hAnsi="Arial"/>
            <w:sz w:val="15"/>
            <w:szCs w:val="15"/>
            <w:b w:val="1"/>
            <w:bCs w:val="1"/>
            <w:u w:val="single" w:color="auto"/>
            <w:color w:val="0563C1"/>
          </w:rPr>
          <w:t>PART I</w:t>
        </w:r>
      </w:hyperlink>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Item 1.</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1A.</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1B.</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2.</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3.</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4.</w:t>
      </w:r>
    </w:p>
    <w:p>
      <w:pPr>
        <w:spacing w:after="0" w:line="297" w:lineRule="exact"/>
        <w:rPr>
          <w:sz w:val="20"/>
          <w:szCs w:val="20"/>
          <w:color w:val="auto"/>
        </w:rPr>
      </w:pPr>
    </w:p>
    <w:p>
      <w:pPr>
        <w:spacing w:after="0"/>
        <w:rPr>
          <w:rFonts w:ascii="Arial" w:cs="Arial" w:eastAsia="Arial" w:hAnsi="Arial"/>
          <w:sz w:val="15"/>
          <w:szCs w:val="15"/>
          <w:b w:val="1"/>
          <w:bCs w:val="1"/>
          <w:u w:val="single" w:color="auto"/>
          <w:color w:val="0563C1"/>
        </w:rPr>
      </w:pPr>
      <w:hyperlink w:anchor="page21">
        <w:r>
          <w:rPr>
            <w:rFonts w:ascii="Arial" w:cs="Arial" w:eastAsia="Arial" w:hAnsi="Arial"/>
            <w:sz w:val="15"/>
            <w:szCs w:val="15"/>
            <w:b w:val="1"/>
            <w:bCs w:val="1"/>
            <w:u w:val="single" w:color="auto"/>
            <w:color w:val="0563C1"/>
          </w:rPr>
          <w:t>PART II</w:t>
        </w:r>
      </w:hyperlink>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Item 5.</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6.</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7.</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7A.</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8.</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9.</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9A.</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9B.</w:t>
      </w:r>
    </w:p>
    <w:p>
      <w:pPr>
        <w:spacing w:after="0" w:line="297" w:lineRule="exact"/>
        <w:rPr>
          <w:sz w:val="20"/>
          <w:szCs w:val="20"/>
          <w:color w:val="auto"/>
        </w:rPr>
      </w:pPr>
    </w:p>
    <w:p>
      <w:pPr>
        <w:spacing w:after="0"/>
        <w:rPr>
          <w:rFonts w:ascii="Arial" w:cs="Arial" w:eastAsia="Arial" w:hAnsi="Arial"/>
          <w:sz w:val="15"/>
          <w:szCs w:val="15"/>
          <w:b w:val="1"/>
          <w:bCs w:val="1"/>
          <w:u w:val="single" w:color="auto"/>
          <w:color w:val="0563C1"/>
        </w:rPr>
      </w:pPr>
      <w:hyperlink w:anchor="page36">
        <w:r>
          <w:rPr>
            <w:rFonts w:ascii="Arial" w:cs="Arial" w:eastAsia="Arial" w:hAnsi="Arial"/>
            <w:sz w:val="15"/>
            <w:szCs w:val="15"/>
            <w:b w:val="1"/>
            <w:bCs w:val="1"/>
            <w:u w:val="single" w:color="auto"/>
            <w:color w:val="0563C1"/>
          </w:rPr>
          <w:t>PART III</w:t>
        </w:r>
      </w:hyperlink>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Item 10.</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11.</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12.</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13.</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14.</w:t>
      </w:r>
    </w:p>
    <w:p>
      <w:pPr>
        <w:spacing w:after="0" w:line="297" w:lineRule="exact"/>
        <w:rPr>
          <w:sz w:val="20"/>
          <w:szCs w:val="20"/>
          <w:color w:val="auto"/>
        </w:rPr>
      </w:pPr>
    </w:p>
    <w:p>
      <w:pPr>
        <w:spacing w:after="0"/>
        <w:rPr>
          <w:rFonts w:ascii="Arial" w:cs="Arial" w:eastAsia="Arial" w:hAnsi="Arial"/>
          <w:sz w:val="14"/>
          <w:szCs w:val="14"/>
          <w:b w:val="1"/>
          <w:bCs w:val="1"/>
          <w:u w:val="single" w:color="auto"/>
          <w:color w:val="0563C1"/>
        </w:rPr>
      </w:pPr>
      <w:hyperlink w:anchor="page37">
        <w:r>
          <w:rPr>
            <w:rFonts w:ascii="Arial" w:cs="Arial" w:eastAsia="Arial" w:hAnsi="Arial"/>
            <w:sz w:val="14"/>
            <w:szCs w:val="14"/>
            <w:b w:val="1"/>
            <w:bCs w:val="1"/>
            <w:u w:val="single" w:color="auto"/>
            <w:color w:val="0563C1"/>
          </w:rPr>
          <w:t>PART IV</w:t>
        </w:r>
      </w:hyperlink>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Item 15.</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Item 16.</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400"/>
        <w:spacing w:after="0"/>
        <w:rPr>
          <w:sz w:val="20"/>
          <w:szCs w:val="20"/>
          <w:color w:val="auto"/>
        </w:rPr>
      </w:pPr>
      <w:r>
        <w:rPr>
          <w:rFonts w:ascii="Arial" w:cs="Arial" w:eastAsia="Arial" w:hAnsi="Arial"/>
          <w:sz w:val="23"/>
          <w:szCs w:val="23"/>
          <w:b w:val="1"/>
          <w:bCs w:val="1"/>
          <w:color w:val="232F8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Arial" w:cs="Arial" w:eastAsia="Arial" w:hAnsi="Arial"/>
          <w:sz w:val="23"/>
          <w:szCs w:val="23"/>
          <w:b w:val="1"/>
          <w:bCs w:val="1"/>
          <w:color w:val="232F84"/>
        </w:rPr>
        <w:t>FORM 10-K</w:t>
      </w:r>
    </w:p>
    <w:p>
      <w:pPr>
        <w:spacing w:after="0" w:line="73" w:lineRule="exact"/>
        <w:rPr>
          <w:sz w:val="20"/>
          <w:szCs w:val="20"/>
          <w:color w:val="auto"/>
        </w:rPr>
      </w:pPr>
    </w:p>
    <w:p>
      <w:pPr>
        <w:jc w:val="center"/>
        <w:ind w:right="400"/>
        <w:spacing w:after="0"/>
        <w:rPr>
          <w:sz w:val="20"/>
          <w:szCs w:val="20"/>
          <w:color w:val="auto"/>
        </w:rPr>
      </w:pPr>
      <w:r>
        <w:rPr>
          <w:rFonts w:ascii="Arial" w:cs="Arial" w:eastAsia="Arial" w:hAnsi="Arial"/>
          <w:sz w:val="23"/>
          <w:szCs w:val="23"/>
          <w:b w:val="1"/>
          <w:bCs w:val="1"/>
          <w:color w:val="232F84"/>
        </w:rPr>
        <w:t>For the Year Ended October 31, 2020</w:t>
      </w:r>
    </w:p>
    <w:p>
      <w:pPr>
        <w:spacing w:after="0" w:line="73" w:lineRule="exact"/>
        <w:rPr>
          <w:sz w:val="20"/>
          <w:szCs w:val="20"/>
          <w:color w:val="auto"/>
        </w:rPr>
      </w:pPr>
    </w:p>
    <w:p>
      <w:pPr>
        <w:jc w:val="center"/>
        <w:ind w:right="400"/>
        <w:spacing w:after="0"/>
        <w:rPr>
          <w:sz w:val="20"/>
          <w:szCs w:val="20"/>
          <w:color w:val="auto"/>
        </w:rPr>
      </w:pPr>
      <w:r>
        <w:rPr>
          <w:rFonts w:ascii="Arial" w:cs="Arial" w:eastAsia="Arial" w:hAnsi="Arial"/>
          <w:sz w:val="23"/>
          <w:szCs w:val="23"/>
          <w:b w:val="1"/>
          <w:bCs w:val="1"/>
          <w:color w:val="232F84"/>
        </w:rPr>
        <w:t>INDEX</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5"/>
          <w:szCs w:val="15"/>
          <w:u w:val="single" w:color="auto"/>
          <w:color w:val="0563C1"/>
        </w:rPr>
      </w:pPr>
      <w:hyperlink w:anchor="page5">
        <w:r>
          <w:rPr>
            <w:rFonts w:ascii="Arial" w:cs="Arial" w:eastAsia="Arial" w:hAnsi="Arial"/>
            <w:sz w:val="15"/>
            <w:szCs w:val="15"/>
            <w:u w:val="single" w:color="auto"/>
            <w:color w:val="0563C1"/>
          </w:rPr>
          <w:t>Business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8">
        <w:r>
          <w:rPr>
            <w:rFonts w:ascii="Arial" w:cs="Arial" w:eastAsia="Arial" w:hAnsi="Arial"/>
            <w:sz w:val="15"/>
            <w:szCs w:val="15"/>
            <w:u w:val="single" w:color="auto"/>
            <w:color w:val="0563C1"/>
          </w:rPr>
          <w:t>Risk Factors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20">
        <w:r>
          <w:rPr>
            <w:rFonts w:ascii="Arial" w:cs="Arial" w:eastAsia="Arial" w:hAnsi="Arial"/>
            <w:sz w:val="15"/>
            <w:szCs w:val="15"/>
            <w:u w:val="single" w:color="auto"/>
            <w:color w:val="0563C1"/>
          </w:rPr>
          <w:t>Unresolved Staff Comments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20">
        <w:r>
          <w:rPr>
            <w:rFonts w:ascii="Arial" w:cs="Arial" w:eastAsia="Arial" w:hAnsi="Arial"/>
            <w:sz w:val="15"/>
            <w:szCs w:val="15"/>
            <w:u w:val="single" w:color="auto"/>
            <w:color w:val="0563C1"/>
          </w:rPr>
          <w:t>Properties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21">
        <w:r>
          <w:rPr>
            <w:rFonts w:ascii="Arial" w:cs="Arial" w:eastAsia="Arial" w:hAnsi="Arial"/>
            <w:sz w:val="15"/>
            <w:szCs w:val="15"/>
            <w:u w:val="single" w:color="auto"/>
            <w:color w:val="0563C1"/>
          </w:rPr>
          <w:t>Legal Proceedings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21">
        <w:r>
          <w:rPr>
            <w:rFonts w:ascii="Arial" w:cs="Arial" w:eastAsia="Arial" w:hAnsi="Arial"/>
            <w:sz w:val="15"/>
            <w:szCs w:val="15"/>
            <w:u w:val="single" w:color="auto"/>
            <w:color w:val="0563C1"/>
          </w:rPr>
          <w:t>Mine Safety Disclosures</w:t>
        </w:r>
      </w:hyperlink>
    </w:p>
    <w:p>
      <w:pPr>
        <w:spacing w:after="0" w:line="200" w:lineRule="exact"/>
        <w:rPr>
          <w:sz w:val="20"/>
          <w:szCs w:val="20"/>
          <w:color w:val="auto"/>
        </w:rPr>
      </w:pPr>
    </w:p>
    <w:p>
      <w:pPr>
        <w:spacing w:after="0" w:line="327" w:lineRule="exact"/>
        <w:rPr>
          <w:sz w:val="20"/>
          <w:szCs w:val="20"/>
          <w:color w:val="auto"/>
        </w:rPr>
      </w:pPr>
    </w:p>
    <w:p>
      <w:pPr>
        <w:ind w:right="460"/>
        <w:spacing w:after="0" w:line="313" w:lineRule="auto"/>
        <w:rPr>
          <w:rFonts w:ascii="Arial" w:cs="Arial" w:eastAsia="Arial" w:hAnsi="Arial"/>
          <w:sz w:val="15"/>
          <w:szCs w:val="15"/>
          <w:u w:val="single" w:color="auto"/>
          <w:color w:val="0563C1"/>
        </w:rPr>
      </w:pPr>
      <w:hyperlink w:anchor="page22">
        <w:r>
          <w:rPr>
            <w:rFonts w:ascii="Arial" w:cs="Arial" w:eastAsia="Arial" w:hAnsi="Arial"/>
            <w:sz w:val="15"/>
            <w:szCs w:val="15"/>
            <w:u w:val="single" w:color="auto"/>
            <w:color w:val="0563C1"/>
          </w:rPr>
          <w:t>Market for Registrant’s Common Equity, Related Stockholder Matters and Issuer Purchases of Equity Securities</w:t>
        </w:r>
      </w:hyperlink>
      <w:r>
        <w:rPr>
          <w:rFonts w:ascii="Arial" w:cs="Arial" w:eastAsia="Arial" w:hAnsi="Arial"/>
          <w:sz w:val="15"/>
          <w:szCs w:val="15"/>
          <w:u w:val="single" w:color="auto"/>
          <w:color w:val="0563C1"/>
        </w:rPr>
        <w:t xml:space="preserve"> </w:t>
      </w:r>
      <w:hyperlink w:anchor="page22">
        <w:r>
          <w:rPr>
            <w:rFonts w:ascii="Arial" w:cs="Arial" w:eastAsia="Arial" w:hAnsi="Arial"/>
            <w:sz w:val="15"/>
            <w:szCs w:val="15"/>
            <w:u w:val="single" w:color="auto"/>
            <w:color w:val="0563C1"/>
          </w:rPr>
          <w:t>Selected Financial Data</w:t>
        </w:r>
      </w:hyperlink>
    </w:p>
    <w:p>
      <w:pPr>
        <w:ind w:right="1940"/>
        <w:spacing w:after="0" w:line="313" w:lineRule="auto"/>
        <w:rPr>
          <w:rFonts w:ascii="Arial" w:cs="Arial" w:eastAsia="Arial" w:hAnsi="Arial"/>
          <w:sz w:val="15"/>
          <w:szCs w:val="15"/>
          <w:u w:val="single" w:color="auto"/>
          <w:color w:val="0563C1"/>
        </w:rPr>
      </w:pPr>
      <w:hyperlink w:anchor="page23">
        <w:r>
          <w:rPr>
            <w:rFonts w:ascii="Arial" w:cs="Arial" w:eastAsia="Arial" w:hAnsi="Arial"/>
            <w:sz w:val="15"/>
            <w:szCs w:val="15"/>
            <w:u w:val="single" w:color="auto"/>
            <w:color w:val="0563C1"/>
          </w:rPr>
          <w:t>Management’s Discussion and Analysis of Financial Condition and Results of Operations</w:t>
        </w:r>
      </w:hyperlink>
      <w:r>
        <w:rPr>
          <w:rFonts w:ascii="Arial" w:cs="Arial" w:eastAsia="Arial" w:hAnsi="Arial"/>
          <w:sz w:val="15"/>
          <w:szCs w:val="15"/>
          <w:u w:val="single" w:color="auto"/>
          <w:color w:val="0563C1"/>
        </w:rPr>
        <w:t xml:space="preserve"> </w:t>
      </w:r>
      <w:hyperlink w:anchor="page34">
        <w:r>
          <w:rPr>
            <w:rFonts w:ascii="Arial" w:cs="Arial" w:eastAsia="Arial" w:hAnsi="Arial"/>
            <w:sz w:val="15"/>
            <w:szCs w:val="15"/>
            <w:u w:val="single" w:color="auto"/>
            <w:color w:val="0563C1"/>
          </w:rPr>
          <w:t>Quantitative and Qualitative Disclosures About Market Risk</w:t>
        </w:r>
      </w:hyperlink>
      <w:r>
        <w:rPr>
          <w:rFonts w:ascii="Arial" w:cs="Arial" w:eastAsia="Arial" w:hAnsi="Arial"/>
          <w:sz w:val="15"/>
          <w:szCs w:val="15"/>
          <w:u w:val="single" w:color="auto"/>
          <w:color w:val="0563C1"/>
        </w:rPr>
        <w:t xml:space="preserve"> </w:t>
      </w:r>
      <w:hyperlink w:anchor="page35">
        <w:r>
          <w:rPr>
            <w:rFonts w:ascii="Arial" w:cs="Arial" w:eastAsia="Arial" w:hAnsi="Arial"/>
            <w:sz w:val="15"/>
            <w:szCs w:val="15"/>
            <w:u w:val="single" w:color="auto"/>
            <w:color w:val="0563C1"/>
          </w:rPr>
          <w:t>Financial Statements and Supplementary Data</w:t>
        </w:r>
      </w:hyperlink>
    </w:p>
    <w:p>
      <w:pPr>
        <w:spacing w:after="0"/>
        <w:rPr>
          <w:rFonts w:ascii="Arial" w:cs="Arial" w:eastAsia="Arial" w:hAnsi="Arial"/>
          <w:sz w:val="15"/>
          <w:szCs w:val="15"/>
          <w:u w:val="single" w:color="auto"/>
          <w:color w:val="0563C1"/>
        </w:rPr>
      </w:pPr>
      <w:hyperlink w:anchor="page35">
        <w:r>
          <w:rPr>
            <w:rFonts w:ascii="Arial" w:cs="Arial" w:eastAsia="Arial" w:hAnsi="Arial"/>
            <w:sz w:val="15"/>
            <w:szCs w:val="15"/>
            <w:u w:val="single" w:color="auto"/>
            <w:color w:val="0563C1"/>
          </w:rPr>
          <w:t>Changes in and Disagreements with Accountants on Accounting and Financial Disclosure</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5">
        <w:r>
          <w:rPr>
            <w:rFonts w:ascii="Arial" w:cs="Arial" w:eastAsia="Arial" w:hAnsi="Arial"/>
            <w:sz w:val="15"/>
            <w:szCs w:val="15"/>
            <w:u w:val="single" w:color="auto"/>
            <w:color w:val="0563C1"/>
          </w:rPr>
          <w:t>Controls and Procedures</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6">
        <w:r>
          <w:rPr>
            <w:rFonts w:ascii="Arial" w:cs="Arial" w:eastAsia="Arial" w:hAnsi="Arial"/>
            <w:sz w:val="15"/>
            <w:szCs w:val="15"/>
            <w:u w:val="single" w:color="auto"/>
            <w:color w:val="0563C1"/>
          </w:rPr>
          <w:t>Other Information</w:t>
        </w:r>
      </w:hyperlink>
    </w:p>
    <w:p>
      <w:pPr>
        <w:spacing w:after="0" w:line="200" w:lineRule="exact"/>
        <w:rPr>
          <w:rFonts w:ascii="Arial" w:cs="Arial" w:eastAsia="Arial" w:hAnsi="Arial"/>
          <w:sz w:val="15"/>
          <w:szCs w:val="15"/>
          <w:u w:val="single" w:color="auto"/>
          <w:color w:val="0563C1"/>
        </w:rPr>
      </w:pPr>
    </w:p>
    <w:p>
      <w:pPr>
        <w:spacing w:after="0" w:line="327"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7">
        <w:r>
          <w:rPr>
            <w:rFonts w:ascii="Arial" w:cs="Arial" w:eastAsia="Arial" w:hAnsi="Arial"/>
            <w:sz w:val="15"/>
            <w:szCs w:val="15"/>
            <w:u w:val="single" w:color="auto"/>
            <w:color w:val="0563C1"/>
          </w:rPr>
          <w:t>Directors, Executive Officers and Corporate Governance</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7">
        <w:r>
          <w:rPr>
            <w:rFonts w:ascii="Arial" w:cs="Arial" w:eastAsia="Arial" w:hAnsi="Arial"/>
            <w:sz w:val="15"/>
            <w:szCs w:val="15"/>
            <w:u w:val="single" w:color="auto"/>
            <w:color w:val="0563C1"/>
          </w:rPr>
          <w:t>Executive Compensation</w:t>
        </w:r>
      </w:hyperlink>
    </w:p>
    <w:p>
      <w:pPr>
        <w:spacing w:after="0" w:line="52" w:lineRule="exact"/>
        <w:rPr>
          <w:rFonts w:ascii="Arial" w:cs="Arial" w:eastAsia="Arial" w:hAnsi="Arial"/>
          <w:sz w:val="15"/>
          <w:szCs w:val="15"/>
          <w:u w:val="single" w:color="auto"/>
          <w:color w:val="0563C1"/>
        </w:rPr>
      </w:pPr>
    </w:p>
    <w:p>
      <w:pPr>
        <w:ind w:right="1180"/>
        <w:spacing w:after="0" w:line="318" w:lineRule="auto"/>
        <w:rPr>
          <w:rFonts w:ascii="Arial" w:cs="Arial" w:eastAsia="Arial" w:hAnsi="Arial"/>
          <w:sz w:val="15"/>
          <w:szCs w:val="15"/>
          <w:u w:val="single" w:color="auto"/>
          <w:color w:val="0563C1"/>
        </w:rPr>
      </w:pPr>
      <w:hyperlink w:anchor="page37">
        <w:r>
          <w:rPr>
            <w:rFonts w:ascii="Arial" w:cs="Arial" w:eastAsia="Arial" w:hAnsi="Arial"/>
            <w:sz w:val="15"/>
            <w:szCs w:val="15"/>
            <w:u w:val="single" w:color="auto"/>
            <w:color w:val="0563C1"/>
          </w:rPr>
          <w:t>Security Ownership of Certain Beneficial Owners and Management and Related Stockholder Matters</w:t>
        </w:r>
      </w:hyperlink>
      <w:r>
        <w:rPr>
          <w:rFonts w:ascii="Arial" w:cs="Arial" w:eastAsia="Arial" w:hAnsi="Arial"/>
          <w:sz w:val="15"/>
          <w:szCs w:val="15"/>
          <w:u w:val="single" w:color="auto"/>
          <w:color w:val="0563C1"/>
        </w:rPr>
        <w:t xml:space="preserve"> </w:t>
      </w:r>
      <w:hyperlink w:anchor="page37">
        <w:r>
          <w:rPr>
            <w:rFonts w:ascii="Arial" w:cs="Arial" w:eastAsia="Arial" w:hAnsi="Arial"/>
            <w:sz w:val="15"/>
            <w:szCs w:val="15"/>
            <w:u w:val="single" w:color="auto"/>
            <w:color w:val="0563C1"/>
          </w:rPr>
          <w:t>Certain Relationships and Related Transactions, and Director Independence</w:t>
        </w:r>
      </w:hyperlink>
      <w:r>
        <w:rPr>
          <w:rFonts w:ascii="Arial" w:cs="Arial" w:eastAsia="Arial" w:hAnsi="Arial"/>
          <w:sz w:val="15"/>
          <w:szCs w:val="15"/>
          <w:u w:val="single" w:color="auto"/>
          <w:color w:val="0563C1"/>
        </w:rPr>
        <w:t xml:space="preserve"> </w:t>
      </w:r>
      <w:hyperlink w:anchor="page37">
        <w:r>
          <w:rPr>
            <w:rFonts w:ascii="Arial" w:cs="Arial" w:eastAsia="Arial" w:hAnsi="Arial"/>
            <w:sz w:val="15"/>
            <w:szCs w:val="15"/>
            <w:u w:val="single" w:color="auto"/>
            <w:color w:val="0563C1"/>
          </w:rPr>
          <w:t>Principal Accounting Fees and Services</w:t>
        </w:r>
      </w:hyperlink>
    </w:p>
    <w:p>
      <w:pPr>
        <w:spacing w:after="0" w:line="200" w:lineRule="exact"/>
        <w:rPr>
          <w:rFonts w:ascii="Arial" w:cs="Arial" w:eastAsia="Arial" w:hAnsi="Arial"/>
          <w:sz w:val="15"/>
          <w:szCs w:val="15"/>
          <w:u w:val="single" w:color="auto"/>
          <w:color w:val="0563C1"/>
        </w:rPr>
      </w:pPr>
    </w:p>
    <w:p>
      <w:pPr>
        <w:spacing w:after="0" w:line="264"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8">
        <w:r>
          <w:rPr>
            <w:rFonts w:ascii="Arial" w:cs="Arial" w:eastAsia="Arial" w:hAnsi="Arial"/>
            <w:sz w:val="15"/>
            <w:szCs w:val="15"/>
            <w:u w:val="single" w:color="auto"/>
            <w:color w:val="0563C1"/>
          </w:rPr>
          <w:t>Exhibits, Financial Statement Schedules</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9">
        <w:r>
          <w:rPr>
            <w:rFonts w:ascii="Arial" w:cs="Arial" w:eastAsia="Arial" w:hAnsi="Arial"/>
            <w:sz w:val="15"/>
            <w:szCs w:val="15"/>
            <w:u w:val="single" w:color="auto"/>
            <w:color w:val="0563C1"/>
          </w:rPr>
          <w:t>Form 10-K Summary</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0563C1"/>
        </w:rPr>
      </w:pPr>
      <w:hyperlink w:anchor="page39">
        <w:r>
          <w:rPr>
            <w:rFonts w:ascii="Arial" w:cs="Arial" w:eastAsia="Arial" w:hAnsi="Arial"/>
            <w:sz w:val="15"/>
            <w:szCs w:val="15"/>
            <w:u w:val="single" w:color="auto"/>
            <w:color w:val="0563C1"/>
          </w:rPr>
          <w:t>Signatures</w:t>
        </w:r>
      </w:hyperlink>
    </w:p>
    <w:p>
      <w:pPr>
        <w:spacing w:after="0" w:line="20" w:lineRule="exact"/>
        <w:rPr>
          <w:rFonts w:ascii="Arial" w:cs="Arial" w:eastAsia="Arial" w:hAnsi="Arial"/>
          <w:sz w:val="15"/>
          <w:szCs w:val="15"/>
          <w:u w:val="single" w:color="auto"/>
          <w:color w:val="0563C1"/>
        </w:rPr>
      </w:pPr>
      <w:r>
        <w:rPr>
          <w:rFonts w:ascii="Arial" w:cs="Arial" w:eastAsia="Arial" w:hAnsi="Arial"/>
          <w:sz w:val="15"/>
          <w:szCs w:val="15"/>
          <w:u w:val="single" w:color="auto"/>
          <w:color w:val="0563C1"/>
        </w:rPr>
        <w:br w:type="column"/>
      </w: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00" w:lineRule="exact"/>
        <w:rPr>
          <w:rFonts w:ascii="Arial" w:cs="Arial" w:eastAsia="Arial" w:hAnsi="Arial"/>
          <w:sz w:val="15"/>
          <w:szCs w:val="15"/>
          <w:u w:val="single" w:color="auto"/>
          <w:color w:val="0563C1"/>
        </w:rPr>
      </w:pPr>
    </w:p>
    <w:p>
      <w:pPr>
        <w:spacing w:after="0" w:line="233" w:lineRule="exact"/>
        <w:rPr>
          <w:rFonts w:ascii="Arial" w:cs="Arial" w:eastAsia="Arial" w:hAnsi="Arial"/>
          <w:sz w:val="15"/>
          <w:szCs w:val="15"/>
          <w:u w:val="single" w:color="auto"/>
          <w:color w:val="0563C1"/>
        </w:rPr>
      </w:pPr>
    </w:p>
    <w:p>
      <w:pPr>
        <w:jc w:val="right"/>
        <w:spacing w:after="0"/>
        <w:rPr>
          <w:rFonts w:ascii="Arial" w:cs="Arial" w:eastAsia="Arial" w:hAnsi="Arial"/>
          <w:sz w:val="15"/>
          <w:szCs w:val="15"/>
          <w:u w:val="single" w:color="auto"/>
          <w:color w:val="auto"/>
        </w:rPr>
      </w:pPr>
      <w:hyperlink w:anchor="page5">
        <w:r>
          <w:rPr>
            <w:rFonts w:ascii="Arial" w:cs="Arial" w:eastAsia="Arial" w:hAnsi="Arial"/>
            <w:sz w:val="15"/>
            <w:szCs w:val="15"/>
            <w:u w:val="single" w:color="auto"/>
            <w:color w:val="auto"/>
          </w:rPr>
          <w:t>1</w:t>
        </w:r>
      </w:hyperlink>
    </w:p>
    <w:p>
      <w:pPr>
        <w:spacing w:after="0" w:line="65" w:lineRule="exact"/>
        <w:rPr>
          <w:rFonts w:ascii="Arial" w:cs="Arial" w:eastAsia="Arial" w:hAnsi="Arial"/>
          <w:sz w:val="15"/>
          <w:szCs w:val="15"/>
          <w:u w:val="single" w:color="auto"/>
          <w:color w:val="0563C1"/>
        </w:rPr>
      </w:pPr>
    </w:p>
    <w:p>
      <w:pPr>
        <w:jc w:val="right"/>
        <w:spacing w:after="0"/>
        <w:rPr>
          <w:rFonts w:ascii="Arial" w:cs="Arial" w:eastAsia="Arial" w:hAnsi="Arial"/>
          <w:sz w:val="15"/>
          <w:szCs w:val="15"/>
          <w:u w:val="single" w:color="auto"/>
          <w:color w:val="auto"/>
        </w:rPr>
      </w:pPr>
      <w:hyperlink w:anchor="page8">
        <w:r>
          <w:rPr>
            <w:rFonts w:ascii="Arial" w:cs="Arial" w:eastAsia="Arial" w:hAnsi="Arial"/>
            <w:sz w:val="15"/>
            <w:szCs w:val="15"/>
            <w:u w:val="single" w:color="auto"/>
            <w:color w:val="auto"/>
          </w:rPr>
          <w:t>4</w:t>
        </w:r>
      </w:hyperlink>
    </w:p>
    <w:p>
      <w:pPr>
        <w:spacing w:after="0" w:line="40"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0">
        <w:r>
          <w:rPr>
            <w:rFonts w:ascii="Arial" w:cs="Arial" w:eastAsia="Arial" w:hAnsi="Arial"/>
            <w:sz w:val="15"/>
            <w:szCs w:val="15"/>
            <w:u w:val="single" w:color="auto"/>
            <w:color w:val="auto"/>
          </w:rPr>
          <w:t>16</w:t>
        </w:r>
      </w:hyperlink>
    </w:p>
    <w:p>
      <w:pPr>
        <w:spacing w:after="0" w:line="65"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0">
        <w:r>
          <w:rPr>
            <w:rFonts w:ascii="Arial" w:cs="Arial" w:eastAsia="Arial" w:hAnsi="Arial"/>
            <w:sz w:val="15"/>
            <w:szCs w:val="15"/>
            <w:u w:val="single" w:color="auto"/>
            <w:color w:val="auto"/>
          </w:rPr>
          <w:t>17</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1">
        <w:r>
          <w:rPr>
            <w:rFonts w:ascii="Arial" w:cs="Arial" w:eastAsia="Arial" w:hAnsi="Arial"/>
            <w:sz w:val="15"/>
            <w:szCs w:val="15"/>
            <w:u w:val="single" w:color="auto"/>
            <w:color w:val="auto"/>
          </w:rPr>
          <w:t>17</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1">
        <w:r>
          <w:rPr>
            <w:rFonts w:ascii="Arial" w:cs="Arial" w:eastAsia="Arial" w:hAnsi="Arial"/>
            <w:sz w:val="15"/>
            <w:szCs w:val="15"/>
            <w:u w:val="single" w:color="auto"/>
            <w:color w:val="auto"/>
          </w:rPr>
          <w:t>17</w:t>
        </w:r>
      </w:hyperlink>
    </w:p>
    <w:p>
      <w:pPr>
        <w:spacing w:after="0" w:line="200" w:lineRule="exact"/>
        <w:rPr>
          <w:rFonts w:ascii="Arial" w:cs="Arial" w:eastAsia="Arial" w:hAnsi="Arial"/>
          <w:sz w:val="15"/>
          <w:szCs w:val="15"/>
          <w:u w:val="single" w:color="auto"/>
          <w:color w:val="0563C1"/>
        </w:rPr>
      </w:pPr>
    </w:p>
    <w:p>
      <w:pPr>
        <w:spacing w:after="0" w:line="327"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2">
        <w:r>
          <w:rPr>
            <w:rFonts w:ascii="Arial" w:cs="Arial" w:eastAsia="Arial" w:hAnsi="Arial"/>
            <w:sz w:val="15"/>
            <w:szCs w:val="15"/>
            <w:u w:val="single" w:color="auto"/>
            <w:color w:val="auto"/>
          </w:rPr>
          <w:t>18</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2">
        <w:r>
          <w:rPr>
            <w:rFonts w:ascii="Arial" w:cs="Arial" w:eastAsia="Arial" w:hAnsi="Arial"/>
            <w:sz w:val="15"/>
            <w:szCs w:val="15"/>
            <w:u w:val="single" w:color="auto"/>
            <w:color w:val="auto"/>
          </w:rPr>
          <w:t>19</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23">
        <w:r>
          <w:rPr>
            <w:rFonts w:ascii="Arial" w:cs="Arial" w:eastAsia="Arial" w:hAnsi="Arial"/>
            <w:sz w:val="15"/>
            <w:szCs w:val="15"/>
            <w:u w:val="single" w:color="auto"/>
            <w:color w:val="auto"/>
          </w:rPr>
          <w:t>19</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4">
        <w:r>
          <w:rPr>
            <w:rFonts w:ascii="Arial" w:cs="Arial" w:eastAsia="Arial" w:hAnsi="Arial"/>
            <w:sz w:val="15"/>
            <w:szCs w:val="15"/>
            <w:u w:val="single" w:color="auto"/>
            <w:color w:val="auto"/>
          </w:rPr>
          <w:t>31</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5">
        <w:r>
          <w:rPr>
            <w:rFonts w:ascii="Arial" w:cs="Arial" w:eastAsia="Arial" w:hAnsi="Arial"/>
            <w:sz w:val="15"/>
            <w:szCs w:val="15"/>
            <w:u w:val="single" w:color="auto"/>
            <w:color w:val="auto"/>
          </w:rPr>
          <w:t>31</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5">
        <w:r>
          <w:rPr>
            <w:rFonts w:ascii="Arial" w:cs="Arial" w:eastAsia="Arial" w:hAnsi="Arial"/>
            <w:sz w:val="15"/>
            <w:szCs w:val="15"/>
            <w:u w:val="single" w:color="auto"/>
            <w:color w:val="auto"/>
          </w:rPr>
          <w:t>31</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5">
        <w:r>
          <w:rPr>
            <w:rFonts w:ascii="Arial" w:cs="Arial" w:eastAsia="Arial" w:hAnsi="Arial"/>
            <w:sz w:val="15"/>
            <w:szCs w:val="15"/>
            <w:u w:val="single" w:color="auto"/>
            <w:color w:val="auto"/>
          </w:rPr>
          <w:t>31</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6">
        <w:r>
          <w:rPr>
            <w:rFonts w:ascii="Arial" w:cs="Arial" w:eastAsia="Arial" w:hAnsi="Arial"/>
            <w:sz w:val="15"/>
            <w:szCs w:val="15"/>
            <w:u w:val="single" w:color="auto"/>
            <w:color w:val="auto"/>
          </w:rPr>
          <w:t>32</w:t>
        </w:r>
      </w:hyperlink>
    </w:p>
    <w:p>
      <w:pPr>
        <w:spacing w:after="0" w:line="200" w:lineRule="exact"/>
        <w:rPr>
          <w:rFonts w:ascii="Arial" w:cs="Arial" w:eastAsia="Arial" w:hAnsi="Arial"/>
          <w:sz w:val="15"/>
          <w:szCs w:val="15"/>
          <w:u w:val="single" w:color="auto"/>
          <w:color w:val="0563C1"/>
        </w:rPr>
      </w:pPr>
    </w:p>
    <w:p>
      <w:pPr>
        <w:spacing w:after="0" w:line="327"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7">
        <w:r>
          <w:rPr>
            <w:rFonts w:ascii="Arial" w:cs="Arial" w:eastAsia="Arial" w:hAnsi="Arial"/>
            <w:sz w:val="15"/>
            <w:szCs w:val="15"/>
            <w:u w:val="single" w:color="auto"/>
            <w:color w:val="auto"/>
          </w:rPr>
          <w:t>33</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7">
        <w:r>
          <w:rPr>
            <w:rFonts w:ascii="Arial" w:cs="Arial" w:eastAsia="Arial" w:hAnsi="Arial"/>
            <w:sz w:val="15"/>
            <w:szCs w:val="15"/>
            <w:u w:val="single" w:color="auto"/>
            <w:color w:val="auto"/>
          </w:rPr>
          <w:t>33</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7">
        <w:r>
          <w:rPr>
            <w:rFonts w:ascii="Arial" w:cs="Arial" w:eastAsia="Arial" w:hAnsi="Arial"/>
            <w:sz w:val="15"/>
            <w:szCs w:val="15"/>
            <w:u w:val="single" w:color="auto"/>
            <w:color w:val="auto"/>
          </w:rPr>
          <w:t>33</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7">
        <w:r>
          <w:rPr>
            <w:rFonts w:ascii="Arial" w:cs="Arial" w:eastAsia="Arial" w:hAnsi="Arial"/>
            <w:sz w:val="15"/>
            <w:szCs w:val="15"/>
            <w:u w:val="single" w:color="auto"/>
            <w:color w:val="auto"/>
          </w:rPr>
          <w:t>33</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7">
        <w:r>
          <w:rPr>
            <w:rFonts w:ascii="Arial" w:cs="Arial" w:eastAsia="Arial" w:hAnsi="Arial"/>
            <w:sz w:val="15"/>
            <w:szCs w:val="15"/>
            <w:u w:val="single" w:color="auto"/>
            <w:color w:val="auto"/>
          </w:rPr>
          <w:t>33</w:t>
        </w:r>
      </w:hyperlink>
    </w:p>
    <w:p>
      <w:pPr>
        <w:spacing w:after="0" w:line="200" w:lineRule="exact"/>
        <w:rPr>
          <w:rFonts w:ascii="Arial" w:cs="Arial" w:eastAsia="Arial" w:hAnsi="Arial"/>
          <w:sz w:val="15"/>
          <w:szCs w:val="15"/>
          <w:u w:val="single" w:color="auto"/>
          <w:color w:val="0563C1"/>
        </w:rPr>
      </w:pPr>
    </w:p>
    <w:p>
      <w:pPr>
        <w:spacing w:after="0" w:line="327"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8">
        <w:r>
          <w:rPr>
            <w:rFonts w:ascii="Arial" w:cs="Arial" w:eastAsia="Arial" w:hAnsi="Arial"/>
            <w:sz w:val="15"/>
            <w:szCs w:val="15"/>
            <w:u w:val="single" w:color="auto"/>
            <w:color w:val="auto"/>
          </w:rPr>
          <w:t>34</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9">
        <w:r>
          <w:rPr>
            <w:rFonts w:ascii="Arial" w:cs="Arial" w:eastAsia="Arial" w:hAnsi="Arial"/>
            <w:sz w:val="15"/>
            <w:szCs w:val="15"/>
            <w:u w:val="single" w:color="auto"/>
            <w:color w:val="auto"/>
          </w:rPr>
          <w:t>35</w:t>
        </w:r>
      </w:hyperlink>
    </w:p>
    <w:p>
      <w:pPr>
        <w:spacing w:after="0" w:line="52" w:lineRule="exact"/>
        <w:rPr>
          <w:rFonts w:ascii="Arial" w:cs="Arial" w:eastAsia="Arial" w:hAnsi="Arial"/>
          <w:sz w:val="15"/>
          <w:szCs w:val="15"/>
          <w:u w:val="single" w:color="auto"/>
          <w:color w:val="0563C1"/>
        </w:rPr>
      </w:pPr>
    </w:p>
    <w:p>
      <w:pPr>
        <w:spacing w:after="0"/>
        <w:rPr>
          <w:rFonts w:ascii="Arial" w:cs="Arial" w:eastAsia="Arial" w:hAnsi="Arial"/>
          <w:sz w:val="15"/>
          <w:szCs w:val="15"/>
          <w:u w:val="single" w:color="auto"/>
          <w:color w:val="auto"/>
        </w:rPr>
      </w:pPr>
      <w:hyperlink w:anchor="page39">
        <w:r>
          <w:rPr>
            <w:rFonts w:ascii="Arial" w:cs="Arial" w:eastAsia="Arial" w:hAnsi="Arial"/>
            <w:sz w:val="15"/>
            <w:szCs w:val="15"/>
            <w:u w:val="single" w:color="auto"/>
            <w:color w:val="auto"/>
          </w:rPr>
          <w:t>36</w:t>
        </w:r>
      </w:hyperlink>
    </w:p>
    <w:p>
      <w:pPr>
        <w:sectPr>
          <w:pgSz w:w="11900" w:h="16838" w:orient="portrait"/>
          <w:cols w:equalWidth="0" w:num="3">
            <w:col w:w="580" w:space="700"/>
            <w:col w:w="7840" w:space="720"/>
            <w:col w:w="180"/>
          </w:cols>
          <w:pgMar w:left="940" w:top="175" w:right="939" w:bottom="1440" w:gutter="0" w:footer="0" w:header="0"/>
        </w:sectPr>
      </w:pPr>
    </w:p>
    <w:bookmarkStart w:id="2" w:name="page3"/>
    <w:bookmarkEnd w:id="2"/>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232F84"/>
        </w:rPr>
        <w:t>FORWARD LOOKING STATEMENTS</w:t>
      </w:r>
    </w:p>
    <w:p>
      <w:pPr>
        <w:spacing w:after="0" w:line="227"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92" w:lineRule="exact"/>
        <w:rPr>
          <w:sz w:val="20"/>
          <w:szCs w:val="20"/>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generate revenues is limited by the annual supply of avocados and our ability to purchase or grow additional avocados.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significant portion of our revenues are derived from a relatively small number of customers.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Mexican and Peruvian economic, political and societal conditions may have an adverse impact on our business.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earnings are sensitive to seasonal factors and fluctuations in market prices of avocados.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and our growers are subject to the risks that are inherent in farming, including weather and price fluctuations.</w:t>
      </w:r>
    </w:p>
    <w:p>
      <w:pPr>
        <w:spacing w:after="0" w:line="202" w:lineRule="exact"/>
        <w:rPr>
          <w:rFonts w:ascii="Arial" w:cs="Arial" w:eastAsia="Arial" w:hAnsi="Arial"/>
          <w:sz w:val="15"/>
          <w:szCs w:val="15"/>
          <w:color w:val="auto"/>
        </w:rPr>
      </w:pPr>
    </w:p>
    <w:p>
      <w:pPr>
        <w:ind w:left="1200" w:hanging="300"/>
        <w:spacing w:after="0" w:line="253" w:lineRule="auto"/>
        <w:tabs>
          <w:tab w:leader="none" w:pos="1177" w:val="left"/>
        </w:tabs>
        <w:numPr>
          <w:ilvl w:val="0"/>
          <w:numId w:val="3"/>
        </w:numPr>
        <w:rPr>
          <w:rFonts w:ascii="Arial" w:cs="Arial" w:eastAsia="Arial" w:hAnsi="Arial"/>
          <w:sz w:val="15"/>
          <w:szCs w:val="15"/>
          <w:color w:val="auto"/>
        </w:rPr>
      </w:pPr>
      <w:r>
        <w:rPr>
          <w:rFonts w:ascii="Arial" w:cs="Arial" w:eastAsia="Arial" w:hAnsi="Arial"/>
          <w:sz w:val="15"/>
          <w:szCs w:val="15"/>
          <w:color w:val="auto"/>
        </w:rPr>
        <w:t>Food safety events, including instances of food-borne illness involving avocados, could create negative publicity for our customers and adversely affect sales and operating results.</w:t>
      </w:r>
    </w:p>
    <w:p>
      <w:pPr>
        <w:spacing w:after="0" w:line="186" w:lineRule="exact"/>
        <w:rPr>
          <w:rFonts w:ascii="Arial" w:cs="Arial" w:eastAsia="Arial" w:hAnsi="Arial"/>
          <w:sz w:val="15"/>
          <w:szCs w:val="15"/>
          <w:color w:val="auto"/>
        </w:rPr>
      </w:pPr>
    </w:p>
    <w:p>
      <w:pPr>
        <w:ind w:left="1200" w:right="20" w:hanging="300"/>
        <w:spacing w:after="0" w:line="253" w:lineRule="auto"/>
        <w:tabs>
          <w:tab w:leader="none" w:pos="1177"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are subject to United States Department of Agriculture (“USDA”) and Food and Drug Administration (“FDA”) regulations that govern the importation of foreign avocados into the United States.</w:t>
      </w:r>
    </w:p>
    <w:p>
      <w:pPr>
        <w:spacing w:after="0" w:line="186"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to U.S. trade policy, tariff and import/export regulations may adversely affect our operating results.</w:t>
      </w:r>
    </w:p>
    <w:p>
      <w:pPr>
        <w:spacing w:after="0" w:line="202" w:lineRule="exact"/>
        <w:rPr>
          <w:rFonts w:ascii="Arial" w:cs="Arial" w:eastAsia="Arial" w:hAnsi="Arial"/>
          <w:sz w:val="15"/>
          <w:szCs w:val="15"/>
          <w:color w:val="auto"/>
        </w:rPr>
      </w:pPr>
    </w:p>
    <w:p>
      <w:pPr>
        <w:ind w:left="1200" w:right="320" w:hanging="300"/>
        <w:spacing w:after="0" w:line="253" w:lineRule="auto"/>
        <w:tabs>
          <w:tab w:leader="none" w:pos="1177"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are subject to domestic and international health and safety laws, which may restrict our operations, result in operational delays or increase our operating costs and adversely affect our financial results of operations.</w:t>
      </w:r>
    </w:p>
    <w:p>
      <w:pPr>
        <w:spacing w:after="0" w:line="186" w:lineRule="exact"/>
        <w:rPr>
          <w:rFonts w:ascii="Arial" w:cs="Arial" w:eastAsia="Arial" w:hAnsi="Arial"/>
          <w:sz w:val="15"/>
          <w:szCs w:val="15"/>
          <w:color w:val="auto"/>
        </w:rPr>
      </w:pPr>
    </w:p>
    <w:p>
      <w:pPr>
        <w:ind w:left="1200" w:right="80" w:hanging="300"/>
        <w:spacing w:after="0" w:line="248" w:lineRule="auto"/>
        <w:tabs>
          <w:tab w:leader="none" w:pos="1177"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190" w:lineRule="exact"/>
        <w:rPr>
          <w:rFonts w:ascii="Arial" w:cs="Arial" w:eastAsia="Arial" w:hAnsi="Arial"/>
          <w:sz w:val="15"/>
          <w:szCs w:val="15"/>
          <w:color w:val="auto"/>
        </w:rPr>
      </w:pPr>
    </w:p>
    <w:p>
      <w:pPr>
        <w:ind w:left="1200" w:right="120" w:hanging="300"/>
        <w:spacing w:after="0" w:line="253" w:lineRule="auto"/>
        <w:tabs>
          <w:tab w:leader="none" w:pos="1177"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depend on our infrastructure to have sufficient capacity to handle our business needs, and failure to optimize our supply chain or disruption of our supply chain could have an adverse effect on our business, financial condition and results of operations.</w:t>
      </w:r>
    </w:p>
    <w:p>
      <w:pPr>
        <w:spacing w:after="0" w:line="186" w:lineRule="exact"/>
        <w:rPr>
          <w:rFonts w:ascii="Arial" w:cs="Arial" w:eastAsia="Arial" w:hAnsi="Arial"/>
          <w:sz w:val="15"/>
          <w:szCs w:val="15"/>
          <w:color w:val="auto"/>
        </w:rPr>
      </w:pPr>
    </w:p>
    <w:p>
      <w:pPr>
        <w:ind w:left="1180" w:hanging="28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and factors listed under “Risk Factors” and elsewhere in this report.</w:t>
      </w:r>
    </w:p>
    <w:p>
      <w:pPr>
        <w:spacing w:after="0" w:line="202"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ind w:right="60" w:firstLine="600"/>
        <w:spacing w:after="0" w:line="246"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3" w:lineRule="exact"/>
        <w:rPr>
          <w:sz w:val="20"/>
          <w:szCs w:val="20"/>
          <w:color w:val="auto"/>
        </w:rPr>
      </w:pPr>
    </w:p>
    <w:p>
      <w:pPr>
        <w:jc w:val="both"/>
        <w:ind w:right="100" w:firstLine="600"/>
        <w:spacing w:after="0" w:line="248" w:lineRule="auto"/>
        <w:rPr>
          <w:sz w:val="20"/>
          <w:szCs w:val="20"/>
          <w:color w:val="auto"/>
        </w:rPr>
      </w:pPr>
      <w:r>
        <w:rPr>
          <w:rFonts w:ascii="Arial" w:cs="Arial" w:eastAsia="Arial" w:hAnsi="Arial"/>
          <w:sz w:val="15"/>
          <w:szCs w:val="15"/>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ectPr>
          <w:pgSz w:w="11900" w:h="16838" w:orient="portrait"/>
          <w:cols w:equalWidth="0" w:num="1">
            <w:col w:w="11180"/>
          </w:cols>
          <w:pgMar w:left="320" w:top="1440" w:right="399" w:bottom="1440" w:gutter="0" w:footer="0" w:header="0"/>
        </w:sectPr>
      </w:pPr>
    </w:p>
    <w:bookmarkStart w:id="3" w:name="page4"/>
    <w:bookmarkEnd w:id="3"/>
    <w:p>
      <w:pPr>
        <w:spacing w:after="0" w:line="102" w:lineRule="exact"/>
        <w:rPr>
          <w:sz w:val="20"/>
          <w:szCs w:val="20"/>
          <w:color w:val="auto"/>
        </w:rPr>
      </w:pPr>
    </w:p>
    <w:p>
      <w:pPr>
        <w:ind w:right="300" w:firstLine="600"/>
        <w:spacing w:after="0" w:line="288"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6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This annual report also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0" w:lineRule="exact"/>
        <w:rPr>
          <w:sz w:val="20"/>
          <w:szCs w:val="20"/>
          <w:color w:val="auto"/>
        </w:rPr>
      </w:pPr>
    </w:p>
    <w:p>
      <w:pPr>
        <w:ind w:right="260" w:firstLine="600"/>
        <w:spacing w:after="0" w:line="248" w:lineRule="auto"/>
        <w:rPr>
          <w:sz w:val="20"/>
          <w:szCs w:val="20"/>
          <w:color w:val="auto"/>
        </w:rPr>
      </w:pPr>
      <w:r>
        <w:rPr>
          <w:rFonts w:ascii="Arial" w:cs="Arial" w:eastAsia="Arial" w:hAnsi="Arial"/>
          <w:sz w:val="15"/>
          <w:szCs w:val="15"/>
          <w:color w:val="auto"/>
        </w:rPr>
        <w:t>We maintain a website at www.worldsfinestavocados.com,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3"/>
          <w:szCs w:val="23"/>
          <w:b w:val="1"/>
          <w:bCs w:val="1"/>
          <w:color w:val="232F84"/>
        </w:rPr>
        <w:t>PART I</w:t>
      </w:r>
    </w:p>
    <w:p>
      <w:pPr>
        <w:spacing w:after="0" w:line="210" w:lineRule="exact"/>
        <w:rPr>
          <w:sz w:val="20"/>
          <w:szCs w:val="20"/>
          <w:color w:val="auto"/>
        </w:rPr>
      </w:pPr>
    </w:p>
    <w:p>
      <w:pPr>
        <w:spacing w:after="0"/>
        <w:tabs>
          <w:tab w:leader="none" w:pos="1300" w:val="left"/>
        </w:tabs>
        <w:rPr>
          <w:sz w:val="20"/>
          <w:szCs w:val="20"/>
          <w:color w:val="auto"/>
        </w:rPr>
      </w:pPr>
      <w:r>
        <w:rPr>
          <w:rFonts w:ascii="Arial" w:cs="Arial" w:eastAsia="Arial" w:hAnsi="Arial"/>
          <w:sz w:val="23"/>
          <w:szCs w:val="23"/>
          <w:b w:val="1"/>
          <w:bCs w:val="1"/>
          <w:color w:val="232F84"/>
        </w:rPr>
        <w:t>Item 1.</w:t>
      </w:r>
      <w:r>
        <w:rPr>
          <w:sz w:val="20"/>
          <w:szCs w:val="20"/>
          <w:color w:val="auto"/>
        </w:rPr>
        <w:tab/>
      </w:r>
      <w:r>
        <w:rPr>
          <w:rFonts w:ascii="Arial" w:cs="Arial" w:eastAsia="Arial" w:hAnsi="Arial"/>
          <w:sz w:val="23"/>
          <w:szCs w:val="23"/>
          <w:b w:val="1"/>
          <w:bCs w:val="1"/>
          <w:color w:val="232F84"/>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Overview</w:t>
      </w:r>
    </w:p>
    <w:p>
      <w:pPr>
        <w:spacing w:after="0" w:line="227"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Mission Produce, Inc. (“Mission Produce” or the “Company,” “Registrant,” or “Issuer,” and generally referred to as “we” or “us”) is a world leader in sourcing, producing and distributing fresh avocados, serving retail, wholesale and foodservice customers. In October 2020 we completed our initial public offering (“IPO”) of common stock, in which we sold 7,450,000 shares at a public offering price of $12.00 per share. Net proceeds were $78.1 million, after deducting underwriting discounts and commissions of $6.3 million and issuance costs of $5.0 million, paid by the Company.</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have two operating segments which are also reporting segments:</w:t>
      </w:r>
    </w:p>
    <w:p>
      <w:pPr>
        <w:spacing w:after="0" w:line="184" w:lineRule="exact"/>
        <w:rPr>
          <w:sz w:val="20"/>
          <w:szCs w:val="20"/>
          <w:color w:val="auto"/>
        </w:rPr>
      </w:pPr>
    </w:p>
    <w:p>
      <w:pPr>
        <w:ind w:left="1180" w:hanging="280"/>
        <w:spacing w:after="0"/>
        <w:tabs>
          <w:tab w:leader="none" w:pos="1180" w:val="left"/>
        </w:tabs>
        <w:numPr>
          <w:ilvl w:val="0"/>
          <w:numId w:val="4"/>
        </w:numPr>
        <w:rPr>
          <w:rFonts w:ascii="Arial" w:cs="Arial" w:eastAsia="Arial" w:hAnsi="Arial"/>
          <w:sz w:val="15"/>
          <w:szCs w:val="15"/>
          <w:b w:val="1"/>
          <w:bCs w:val="1"/>
          <w:i w:val="1"/>
          <w:iCs w:val="1"/>
          <w:color w:val="232F84"/>
        </w:rPr>
      </w:pPr>
      <w:r>
        <w:rPr>
          <w:rFonts w:ascii="Arial" w:cs="Arial" w:eastAsia="Arial" w:hAnsi="Arial"/>
          <w:sz w:val="15"/>
          <w:szCs w:val="15"/>
          <w:b w:val="1"/>
          <w:bCs w:val="1"/>
          <w:i w:val="1"/>
          <w:iCs w:val="1"/>
          <w:color w:val="232F84"/>
        </w:rPr>
        <w:t xml:space="preserve">Marketing and Distribution </w:t>
      </w:r>
      <w:r>
        <w:rPr>
          <w:rFonts w:ascii="Arial" w:cs="Arial" w:eastAsia="Arial" w:hAnsi="Arial"/>
          <w:sz w:val="15"/>
          <w:szCs w:val="15"/>
          <w:color w:val="000000"/>
        </w:rPr>
        <w:t>sources fruit primarily from growers and then distributes fruit through our global distribution network;</w:t>
      </w:r>
    </w:p>
    <w:p>
      <w:pPr>
        <w:spacing w:after="0" w:line="202" w:lineRule="exact"/>
        <w:rPr>
          <w:rFonts w:ascii="Arial" w:cs="Arial" w:eastAsia="Arial" w:hAnsi="Arial"/>
          <w:sz w:val="15"/>
          <w:szCs w:val="15"/>
          <w:b w:val="1"/>
          <w:bCs w:val="1"/>
          <w:i w:val="1"/>
          <w:iCs w:val="1"/>
          <w:color w:val="232F84"/>
        </w:rPr>
      </w:pPr>
    </w:p>
    <w:p>
      <w:pPr>
        <w:ind w:left="1200" w:right="460" w:hanging="300"/>
        <w:spacing w:after="0" w:line="315" w:lineRule="auto"/>
        <w:tabs>
          <w:tab w:leader="none" w:pos="1177" w:val="left"/>
        </w:tabs>
        <w:numPr>
          <w:ilvl w:val="0"/>
          <w:numId w:val="4"/>
        </w:numPr>
        <w:rPr>
          <w:rFonts w:ascii="Arial" w:cs="Arial" w:eastAsia="Arial" w:hAnsi="Arial"/>
          <w:sz w:val="14"/>
          <w:szCs w:val="14"/>
          <w:b w:val="1"/>
          <w:bCs w:val="1"/>
          <w:i w:val="1"/>
          <w:iCs w:val="1"/>
          <w:color w:val="232F84"/>
        </w:rPr>
      </w:pPr>
      <w:r>
        <w:rPr>
          <w:rFonts w:ascii="Arial" w:cs="Arial" w:eastAsia="Arial" w:hAnsi="Arial"/>
          <w:sz w:val="14"/>
          <w:szCs w:val="14"/>
          <w:b w:val="1"/>
          <w:bCs w:val="1"/>
          <w:i w:val="1"/>
          <w:iCs w:val="1"/>
          <w:color w:val="232F84"/>
        </w:rPr>
        <w:t xml:space="preserve">International Farming </w:t>
      </w:r>
      <w:r>
        <w:rPr>
          <w:rFonts w:ascii="Arial" w:cs="Arial" w:eastAsia="Arial" w:hAnsi="Arial"/>
          <w:sz w:val="14"/>
          <w:szCs w:val="14"/>
          <w:color w:val="000000"/>
        </w:rPr>
        <w:t>owns and operates avocado orchards principally located in Peru, that supply our Marketing and Distribution segment with</w:t>
      </w:r>
      <w:r>
        <w:rPr>
          <w:rFonts w:ascii="Arial" w:cs="Arial" w:eastAsia="Arial" w:hAnsi="Arial"/>
          <w:sz w:val="14"/>
          <w:szCs w:val="14"/>
          <w:b w:val="1"/>
          <w:bCs w:val="1"/>
          <w:i w:val="1"/>
          <w:iCs w:val="1"/>
          <w:color w:val="232F84"/>
        </w:rPr>
        <w:t xml:space="preserve"> </w:t>
      </w:r>
      <w:r>
        <w:rPr>
          <w:rFonts w:ascii="Arial" w:cs="Arial" w:eastAsia="Arial" w:hAnsi="Arial"/>
          <w:sz w:val="14"/>
          <w:szCs w:val="14"/>
          <w:color w:val="000000"/>
        </w:rPr>
        <w:t>avocados. Substantially all of the avocados produced by our International Farming segment are sold to our Marketing and Distribution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5713730" cy="1460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3730" cy="146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Products and services</w:t>
      </w:r>
    </w:p>
    <w:p>
      <w:pPr>
        <w:spacing w:after="0" w:line="220"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We source, produce, pack and distribute avocados. The avocados we sell are primarily of the Hass variety. We sort and pack avocados and match their specifications to respective customer requirements. We sell both pre-ripe and ripened avocados, and with our network of ripening facilities, we can adjust the level of ripeness to the needs of our customers. Our custom ripening programs provide customers with the option of ordering avocados at five different stages of ripeness – hard, preconditioned, breaking, firm-ripe and ripe – which are delivered on specifically tailored schedules according to stage of ripeness.</w:t>
      </w:r>
    </w:p>
    <w:p>
      <w:pPr>
        <w:spacing w:after="0" w:line="193" w:lineRule="exact"/>
        <w:rPr>
          <w:sz w:val="20"/>
          <w:szCs w:val="20"/>
          <w:color w:val="auto"/>
        </w:rPr>
      </w:pPr>
    </w:p>
    <w:p>
      <w:pPr>
        <w:ind w:right="300" w:firstLine="600"/>
        <w:spacing w:after="0" w:line="245" w:lineRule="auto"/>
        <w:rPr>
          <w:sz w:val="20"/>
          <w:szCs w:val="20"/>
          <w:color w:val="auto"/>
        </w:rPr>
      </w:pPr>
      <w:r>
        <w:rPr>
          <w:rFonts w:ascii="Arial" w:cs="Arial" w:eastAsia="Arial" w:hAnsi="Arial"/>
          <w:sz w:val="15"/>
          <w:szCs w:val="15"/>
          <w:color w:val="auto"/>
        </w:rPr>
        <w:t>We also provide value-added services including ripening, bagging, custom packing and logistical management. In addition, we provide our customers with merchandising and promotional support, insights on market trends and hands-on training to assist with their retail sales of our avocados. For example, we operate category management, merchandising and packaging programs, such as our “Avocado Intel,” “Minis,” “Emeralds in the Rough,” “Ready,” “Size Minded,” and shelf-life extension programs, to promote the sale of avocados that might otherwise be underutilized, to identify ready-to-eat and various size avocados for consumers and to increase shelf life.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Customers</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We primarily serve retail, wholesale and foodservice customers. We focus on delivering quality avocados on time and within customer specifications. Owning and farming our own avocado orchards also helps to mitigate potential disruptions across our third-party grower supply relationships. We forecast avocado sourcing costs for the season for our own production, which enables us to enter into fixed price contracts with customers for a season without bearing pricing risk from spot market purchases. We do not have long-term contracts with our customers and focus instead on building strong, long-term relationships based on product quality and specifications, on-time delivery and customer support and service.</w:t>
      </w: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413" w:right="339" w:bottom="1440" w:gutter="0" w:footer="0" w:header="0"/>
        </w:sectPr>
      </w:pPr>
    </w:p>
    <w:bookmarkStart w:id="5" w:name="page6"/>
    <w:bookmarkEnd w:id="5"/>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Supply chain and distribution network</w:t>
      </w:r>
    </w:p>
    <w:p>
      <w:pPr>
        <w:spacing w:after="0" w:line="220" w:lineRule="exact"/>
        <w:rPr>
          <w:sz w:val="20"/>
          <w:szCs w:val="20"/>
          <w:color w:val="auto"/>
        </w:rPr>
      </w:pPr>
    </w:p>
    <w:p>
      <w:pPr>
        <w:ind w:right="60" w:firstLine="600"/>
        <w:spacing w:after="0" w:line="244" w:lineRule="auto"/>
        <w:rPr>
          <w:sz w:val="20"/>
          <w:szCs w:val="20"/>
          <w:color w:val="auto"/>
        </w:rPr>
      </w:pPr>
      <w:r>
        <w:rPr>
          <w:rFonts w:ascii="Arial" w:cs="Arial" w:eastAsia="Arial" w:hAnsi="Arial"/>
          <w:sz w:val="15"/>
          <w:szCs w:val="15"/>
          <w:color w:val="auto"/>
        </w:rPr>
        <w:t>We have developed a sophisticated global distribution network to transport avocados efficiently from our supply sources, to our packing facilities and distribution centers, and to our end-customers around the world. Proximity to growers enables us to develop stronger relationships, control the logistics of the supply chain from tree to packing, and export fruit from the country of origin faster. Most avocados we source are delivered to one of our four packing houses (two in Mexico, one in Peru, and one in California). At the packing houses, including our co-packers in Mexico, our avocados are sorted and packed for transportation to forward distribution centers globally. We manage transportation logistics across truck, ocean, air and rail platforms to bring product from their source to end markets. Our network of distribution facilities puts us in close proximity to our customers, allowing us to better provide the fruit on time and to specification, and to adapt to changing customer volume and ripeness needs. Within the United States, our distribution network enables the delivery of avocados within approximately eight hours or less. In Europe, we have a distribution center in the Netherlands through which we service our European customer base. Through our investment in Mr. Avocado, we have gained distribution access to retail customers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Competition</w:t>
      </w:r>
    </w:p>
    <w:p>
      <w:pPr>
        <w:spacing w:after="0" w:line="227"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We compete based on a variety of factors, including the appearance, taste, size, shelf life and overall quality of our products, price and distribution terms, the timeliness of our deliveries to customers and the availability of our products. The avocado and fresh produce business is highly competitive, and the effect of competition is intensified because our products are perishable. Competition in the sale of avocados that we sell comes from competing producers and distributors. We also compete with smaller packers and marketers.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Resources</w:t>
      </w:r>
    </w:p>
    <w:p>
      <w:pPr>
        <w:spacing w:after="0" w:line="227" w:lineRule="exact"/>
        <w:rPr>
          <w:sz w:val="20"/>
          <w:szCs w:val="20"/>
          <w:color w:val="auto"/>
        </w:rPr>
      </w:pPr>
    </w:p>
    <w:p>
      <w:pPr>
        <w:ind w:right="40" w:firstLine="600"/>
        <w:spacing w:after="0" w:line="248" w:lineRule="auto"/>
        <w:rPr>
          <w:sz w:val="20"/>
          <w:szCs w:val="20"/>
          <w:color w:val="auto"/>
        </w:rPr>
      </w:pPr>
      <w:r>
        <w:rPr>
          <w:rFonts w:ascii="Arial" w:cs="Arial" w:eastAsia="Arial" w:hAnsi="Arial"/>
          <w:sz w:val="15"/>
          <w:szCs w:val="15"/>
          <w:color w:val="auto"/>
        </w:rPr>
        <w:t>We source avocados primarily from Mexico, California, and Peru, as well as Colombia, Guatemala and Chile. Our diverse sourcing network mitigates the impact of potential geographical or grower-specific supply disruptions and optimizes our ability to fulfill year-round global demand. We do not have exclusive sourcing contracts with growers.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Third-party growers</w:t>
      </w:r>
    </w:p>
    <w:p>
      <w:pPr>
        <w:spacing w:after="0" w:line="220" w:lineRule="exact"/>
        <w:rPr>
          <w:sz w:val="20"/>
          <w:szCs w:val="20"/>
          <w:color w:val="auto"/>
        </w:rPr>
      </w:pPr>
    </w:p>
    <w:p>
      <w:pPr>
        <w:ind w:right="560" w:firstLine="600"/>
        <w:spacing w:after="0" w:line="253" w:lineRule="auto"/>
        <w:rPr>
          <w:sz w:val="20"/>
          <w:szCs w:val="20"/>
          <w:color w:val="auto"/>
        </w:rPr>
      </w:pPr>
      <w:r>
        <w:rPr>
          <w:rFonts w:ascii="Arial" w:cs="Arial" w:eastAsia="Arial" w:hAnsi="Arial"/>
          <w:sz w:val="15"/>
          <w:szCs w:val="15"/>
          <w:color w:val="auto"/>
        </w:rPr>
        <w:t>We have relationships with thousands of third-party growers. Our large scale and long track record of working with growers contributes to strong existing relationships and facilitates new relationships with third-party growers.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Farming</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In addition to purchasing avocados from third-party growers, we grow avocados on owned or leased land to further diversify our sourcing network and provide additional control over our supply. In Peru, we own farmland with developed orchards that are in various stages of maturity as well as undeveloped land that we intend to plant in future years. In fiscal year 2020, we have secured farmland under long term leases in Guatemala that we have begun to develop. We also invest in a joint venture in Colombia that owns land that is under development. After planting, our avocado trees begin to produce avocados in approximately three years and reach full production in approximately five to seven years, depending on location.</w:t>
      </w:r>
    </w:p>
    <w:p>
      <w:pPr>
        <w:spacing w:after="0" w:line="194" w:lineRule="exact"/>
        <w:rPr>
          <w:sz w:val="20"/>
          <w:szCs w:val="20"/>
          <w:color w:val="auto"/>
        </w:rPr>
      </w:pPr>
    </w:p>
    <w:p>
      <w:pPr>
        <w:jc w:val="both"/>
        <w:ind w:right="100" w:firstLine="600"/>
        <w:spacing w:after="0" w:line="246" w:lineRule="auto"/>
        <w:rPr>
          <w:sz w:val="20"/>
          <w:szCs w:val="20"/>
          <w:color w:val="auto"/>
        </w:rPr>
      </w:pPr>
      <w:r>
        <w:rPr>
          <w:rFonts w:ascii="Arial" w:cs="Arial" w:eastAsia="Arial" w:hAnsi="Arial"/>
          <w:sz w:val="15"/>
          <w:szCs w:val="15"/>
          <w:color w:val="auto"/>
        </w:rPr>
        <w:t>We are also involved in the farming of other products on a limited scale. We have planted mango orchards in Peru to enable us to realize synergies from labor and facility management during the avocado off-season. We have also invested in a blueberry farming joint venture that enables us to utilize owned land on which it was not economically feasible to farm avocados. While we do not market blueberries, our investment in Moruga further allows us to leverage labor and facility investments in Peru.</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Research and development</w:t>
      </w:r>
    </w:p>
    <w:p>
      <w:pPr>
        <w:spacing w:after="0" w:line="220" w:lineRule="exact"/>
        <w:rPr>
          <w:sz w:val="20"/>
          <w:szCs w:val="20"/>
          <w:color w:val="auto"/>
        </w:rPr>
      </w:pPr>
    </w:p>
    <w:p>
      <w:pPr>
        <w:ind w:right="240" w:firstLine="600"/>
        <w:spacing w:after="0" w:line="245" w:lineRule="auto"/>
        <w:rPr>
          <w:sz w:val="20"/>
          <w:szCs w:val="20"/>
          <w:color w:val="auto"/>
        </w:rPr>
      </w:pPr>
      <w:r>
        <w:rPr>
          <w:rFonts w:ascii="Arial" w:cs="Arial" w:eastAsia="Arial" w:hAnsi="Arial"/>
          <w:sz w:val="15"/>
          <w:szCs w:val="15"/>
          <w:color w:val="auto"/>
        </w:rPr>
        <w:t>We have a dedicated research and development department focused on finding new ways to innovate across our value chain. For example, we were the first company to utilize ripening centers for avocados in the national distribution process, a practice that has since been adopted by other companies in the industry. More recently, we introduced the use of hydrocoolers early in the supply chain to quickly remove heat from avocados. This practice extends the shelf life of our avocados, enabling us to transport avocados longer distances. In fiscal year 2020, we launched a post-harvest innovation, featuring a quarter-sized biodegradable and food-safe packaging insert that blocks ethylene receptors to extend the shelf-life of fruit, helping our retail and foodservice customers reduce shrink and waste.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Total research and development expense was $0.4 million, $0.5 million, and $0.3 million for the years ended October 31, 2020, 2019, and 2018, respectively.</w:t>
      </w:r>
    </w:p>
    <w:p>
      <w:pPr>
        <w:spacing w:after="0" w:line="200" w:lineRule="exact"/>
        <w:rPr>
          <w:sz w:val="20"/>
          <w:szCs w:val="20"/>
          <w:color w:val="auto"/>
        </w:rPr>
      </w:pPr>
    </w:p>
    <w:p>
      <w:pPr>
        <w:spacing w:after="0" w:line="227"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Intellectual property</w:t>
      </w:r>
    </w:p>
    <w:p>
      <w:pPr>
        <w:spacing w:after="0" w:line="220" w:lineRule="exact"/>
        <w:rPr>
          <w:sz w:val="20"/>
          <w:szCs w:val="20"/>
          <w:color w:val="auto"/>
        </w:rPr>
      </w:pPr>
    </w:p>
    <w:p>
      <w:pPr>
        <w:ind w:right="160" w:firstLine="600"/>
        <w:spacing w:after="0" w:line="253" w:lineRule="auto"/>
        <w:rPr>
          <w:sz w:val="20"/>
          <w:szCs w:val="20"/>
          <w:color w:val="auto"/>
        </w:rPr>
      </w:pPr>
      <w:r>
        <w:rPr>
          <w:rFonts w:ascii="Arial" w:cs="Arial" w:eastAsia="Arial" w:hAnsi="Arial"/>
          <w:sz w:val="15"/>
          <w:szCs w:val="15"/>
          <w:color w:val="auto"/>
        </w:rPr>
        <w:t>Our intellectual property includes the federally registered trademark Mission Produce and related brand names. We do not have any patents or other material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Seasonality</w:t>
      </w:r>
    </w:p>
    <w:p>
      <w:pPr>
        <w:spacing w:after="0" w:line="227"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 total sales and sales price of avocados fluctuates throughout the year due to variations in the demand and supply of avocados based on geographic location as well as events, like the Big Game, Cinco de Mayo and Fourth of July. For example, in California and Peru, the production of avocados peaks between May and August, whereas in Mexico production peaks between December and March. Although these geographical differences may lead to fluctuations in the purchase price of avocados, our diverse geographical avocado growth and production capabilities help us mitigate volatility in our access to supply of avocados. As a result of the volumes sourced from our farming operations in Peru, we have in recent years realized a greater portion of our net sales and gross profit during the third and fourth quarters of our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Employees</w:t>
      </w:r>
    </w:p>
    <w:p>
      <w:pPr>
        <w:spacing w:after="0" w:line="227"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As of October 31, 2020, we had approximately 2,500 employees located worldwide, 1,500 of which were located in Peru, 700 of which were located in Mexico, and 300 of which were located in the United States. Due to the cyclical nature of avocado production, we also hire temporary and seasonal workers on our farms in Peru and packing houses in the U.S. to meet our needs.</w:t>
      </w:r>
    </w:p>
    <w:p>
      <w:pPr>
        <w:spacing w:after="0" w:line="190"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We focus on conducting our business with honesty, respect and loyalty. Whether it be through water conservation, increasing use of renewable energy sources, providing meals, transportation and on-site healthcare to our employees in Peru or sponsoring higher-level education for our employees in the U.S., we are committed to operating in a socially responsible and environmentally sustainable manner. Our corporate culture embodies these values and, as a result, we believe we have a highly motivated and skilled work force that is committed 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Regulation and Industry Associations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business is impacted by environmental, health and safety, government procurement, anti-bribery and other government regulations and requirements.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Below is a summary of some of the significant regulations that impact our business.</w:t>
      </w:r>
    </w:p>
    <w:p>
      <w:pPr>
        <w:spacing w:after="0" w:line="202"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As an agricultural producer and marketer of consumable products, our operations are subject to extensive regulation by various federal government agencies, including the FDA, the USDA and the Federal Trade Commission (“FTC”), as well as state and local agencies, with respect to product attributes, packing,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health and safety regulations, including those issued under the Occupational Safety and Health Act (“OSHA”). Our packing facilities and products are subject to periodic inspection by federal, state and local authorities, including the California State Department of Food and Agriculture (“CFDA”), which oversees weights &amp; measures compliance at our California packing facilities. All of our US facilities are also in compliance with the FDA’s Food Safety Modernization Act (“FSMA”). In addition, our operations in Mexico are subject to Mexican regulations and our operations in Peru are subject to Peruvian regulations.</w:t>
      </w:r>
    </w:p>
    <w:p>
      <w:pPr>
        <w:spacing w:after="0" w:line="197" w:lineRule="exact"/>
        <w:rPr>
          <w:sz w:val="20"/>
          <w:szCs w:val="20"/>
          <w:color w:val="auto"/>
        </w:rPr>
      </w:pPr>
    </w:p>
    <w:p>
      <w:pPr>
        <w:ind w:right="260" w:firstLine="600"/>
        <w:spacing w:after="0" w:line="253" w:lineRule="auto"/>
        <w:rPr>
          <w:sz w:val="20"/>
          <w:szCs w:val="20"/>
          <w:color w:val="auto"/>
        </w:rPr>
      </w:pPr>
      <w:r>
        <w:rPr>
          <w:rFonts w:ascii="Arial" w:cs="Arial" w:eastAsia="Arial" w:hAnsi="Arial"/>
          <w:sz w:val="15"/>
          <w:szCs w:val="15"/>
          <w:color w:val="auto"/>
        </w:rPr>
        <w:t>The agricultural products sold and marketed by us are subject to additional specific government acts or regulations, including the Hass Avocado Promotion, Research and Information Act of 2000 for our avocados.</w:t>
      </w:r>
    </w:p>
    <w:p>
      <w:pPr>
        <w:spacing w:after="0" w:line="186" w:lineRule="exact"/>
        <w:rPr>
          <w:sz w:val="20"/>
          <w:szCs w:val="20"/>
          <w:color w:val="auto"/>
        </w:rPr>
      </w:pPr>
    </w:p>
    <w:p>
      <w:pPr>
        <w:ind w:right="40" w:firstLine="600"/>
        <w:spacing w:after="0" w:line="248" w:lineRule="auto"/>
        <w:rPr>
          <w:sz w:val="20"/>
          <w:szCs w:val="20"/>
          <w:color w:val="auto"/>
        </w:rPr>
      </w:pPr>
      <w:r>
        <w:rPr>
          <w:rFonts w:ascii="Arial" w:cs="Arial" w:eastAsia="Arial" w:hAnsi="Arial"/>
          <w:sz w:val="15"/>
          <w:szCs w:val="15"/>
          <w:color w:val="auto"/>
        </w:rPr>
        <w:t>We are subject to numerous federal, state, local and foreign environmental laws and regulations. These laws and regulations govern, among other matters, the treatment, handling, storage, use and disposal of, and exposure to, hazardous materials and waste, including herbicides, fertilizers, pesticides and other agricultural products, the remediation of contaminated properties and climate change.</w:t>
      </w:r>
    </w:p>
    <w:p>
      <w:pPr>
        <w:spacing w:after="0" w:line="19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In the U.S., the Hass Avocado Board was established by the USDA to promote the sale of Hass variety avocados. This board provides a basis for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Similarly, Avocados from Mexico (“AFM”) was formed in 2013 as the marketing arm of the Mexican Hass Avocados Importers Association (“MHAIA”) and the Association of Growers and Packers of Avocados From Mexico (“APEAM”).</w:t>
      </w:r>
    </w:p>
    <w:p>
      <w:pPr>
        <w:spacing w:after="0" w:line="193" w:lineRule="exact"/>
        <w:rPr>
          <w:sz w:val="20"/>
          <w:szCs w:val="20"/>
          <w:color w:val="auto"/>
        </w:rPr>
      </w:pPr>
    </w:p>
    <w:p>
      <w:pPr>
        <w:ind w:right="120" w:firstLine="600"/>
        <w:spacing w:after="0" w:line="253" w:lineRule="auto"/>
        <w:rPr>
          <w:sz w:val="20"/>
          <w:szCs w:val="20"/>
          <w:color w:val="auto"/>
        </w:rPr>
      </w:pPr>
      <w:r>
        <w:rPr>
          <w:rFonts w:ascii="Arial" w:cs="Arial" w:eastAsia="Arial" w:hAnsi="Arial"/>
          <w:sz w:val="15"/>
          <w:szCs w:val="15"/>
          <w:color w:val="auto"/>
        </w:rPr>
        <w:t>We seek to comply at all times with all such laws and regulations and to obtain any necessary permits and licenses, and we are not aware of any instances of material non-compliance.</w:t>
      </w: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160"/>
          </w:cols>
          <w:pgMar w:left="320" w:top="1440" w:right="419" w:bottom="1440" w:gutter="0" w:footer="0" w:header="0"/>
        </w:sectPr>
      </w:pPr>
    </w:p>
    <w:bookmarkStart w:id="7" w:name="page8"/>
    <w:bookmarkEnd w:id="7"/>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Available Information</w:t>
      </w:r>
    </w:p>
    <w:p>
      <w:pPr>
        <w:spacing w:after="0" w:line="227" w:lineRule="exact"/>
        <w:rPr>
          <w:sz w:val="20"/>
          <w:szCs w:val="20"/>
          <w:color w:val="auto"/>
        </w:rPr>
      </w:pPr>
    </w:p>
    <w:p>
      <w:pPr>
        <w:ind w:right="540" w:firstLine="600"/>
        <w:spacing w:after="0" w:line="253" w:lineRule="auto"/>
        <w:rPr>
          <w:sz w:val="20"/>
          <w:szCs w:val="20"/>
          <w:color w:val="auto"/>
        </w:rPr>
      </w:pPr>
      <w:r>
        <w:rPr>
          <w:rFonts w:ascii="Arial" w:cs="Arial" w:eastAsia="Arial" w:hAnsi="Arial"/>
          <w:sz w:val="15"/>
          <w:szCs w:val="15"/>
          <w:color w:val="auto"/>
        </w:rPr>
        <w:t>Our corporate headquarters are located at 2500 East Vineyard Avenue, Suite 300, and our telephone number is (805) 981-3650. Our internet address is www.worldsfinestavocados.com. The information on or that can be accessed through our website is not incorporated by reference in this report.</w:t>
      </w:r>
    </w:p>
    <w:p>
      <w:pPr>
        <w:spacing w:after="0" w:line="186" w:lineRule="exact"/>
        <w:rPr>
          <w:sz w:val="20"/>
          <w:szCs w:val="20"/>
          <w:color w:val="auto"/>
        </w:rPr>
      </w:pPr>
    </w:p>
    <w:p>
      <w:pPr>
        <w:ind w:right="180" w:firstLine="600"/>
        <w:spacing w:after="0" w:line="248" w:lineRule="auto"/>
        <w:rPr>
          <w:sz w:val="20"/>
          <w:szCs w:val="20"/>
          <w:color w:val="auto"/>
        </w:rPr>
      </w:pPr>
      <w:r>
        <w:rPr>
          <w:rFonts w:ascii="Arial" w:cs="Arial" w:eastAsia="Arial" w:hAnsi="Arial"/>
          <w:sz w:val="15"/>
          <w:szCs w:val="15"/>
          <w:color w:val="auto"/>
        </w:rPr>
        <w:t>We make available free of charge certain reports and amendments that we file with the SEC, such as our annual reports on Form 10-K, quarterly reports on Form 10-Q, current reports on Form 8-K, our directors’ and officers’ Section 16 reports, as soon as reasonably practicable after filing or furnishing such materials to the SEC on the “Investor relations” section of our website. They are also available free of charge on the SEC’s website at www.sec.gov.</w:t>
      </w:r>
    </w:p>
    <w:p>
      <w:pPr>
        <w:spacing w:after="0" w:line="200" w:lineRule="exact"/>
        <w:rPr>
          <w:sz w:val="20"/>
          <w:szCs w:val="20"/>
          <w:color w:val="auto"/>
        </w:rPr>
      </w:pPr>
    </w:p>
    <w:p>
      <w:pPr>
        <w:spacing w:after="0" w:line="312"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b w:val="1"/>
          <w:bCs w:val="1"/>
          <w:color w:val="232F84"/>
        </w:rPr>
        <w:t>Item 1A.</w:t>
      </w:r>
      <w:r>
        <w:rPr>
          <w:sz w:val="20"/>
          <w:szCs w:val="20"/>
          <w:color w:val="auto"/>
        </w:rPr>
        <w:tab/>
      </w:r>
      <w:r>
        <w:rPr>
          <w:rFonts w:ascii="Arial" w:cs="Arial" w:eastAsia="Arial" w:hAnsi="Arial"/>
          <w:sz w:val="23"/>
          <w:szCs w:val="23"/>
          <w:b w:val="1"/>
          <w:bCs w:val="1"/>
          <w:color w:val="232F84"/>
        </w:rPr>
        <w:t>Risk Factors</w:t>
      </w:r>
    </w:p>
    <w:p>
      <w:pPr>
        <w:spacing w:after="0" w:line="239"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Risk Factors Summary</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principal risks that could adversely affect our business, operations and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Risks Related to Our Business</w:t>
      </w:r>
    </w:p>
    <w:p>
      <w:pPr>
        <w:spacing w:after="0" w:line="170" w:lineRule="exact"/>
        <w:rPr>
          <w:sz w:val="20"/>
          <w:szCs w:val="20"/>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generate revenues is limited by the annual supply of avocados and our ability to purchase or grow additional avocados.</w:t>
      </w:r>
    </w:p>
    <w:p>
      <w:pPr>
        <w:spacing w:after="0" w:line="152" w:lineRule="exact"/>
        <w:rPr>
          <w:rFonts w:ascii="Arial" w:cs="Arial" w:eastAsia="Arial" w:hAnsi="Arial"/>
          <w:sz w:val="15"/>
          <w:szCs w:val="15"/>
          <w:color w:val="auto"/>
        </w:rPr>
      </w:pPr>
    </w:p>
    <w:p>
      <w:pPr>
        <w:ind w:left="600" w:right="400" w:hanging="300"/>
        <w:spacing w:after="0" w:line="253" w:lineRule="auto"/>
        <w:tabs>
          <w:tab w:leader="none" w:pos="577"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loss of one or more of our largest customers, or a reduction in the level of purchases made by these customers, could negatively impact our sales and profits.</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are subject to the risks of doing business internationally.</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Mexican economic, political and societal conditions may have an adverse impact on our business.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Peruvian economic and political conditions may have an adverse impact on our business.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earnings are sensitive to fluctuations in market prices of avocados.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are subject to increasing competition that may adversely affect our operating results.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and our growers are subject to the risks that are inherent in farming.</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Due to the seasonality of the business, our revenue and operating results may vary from quarter to quarter and year to year.</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performance may be impacted by general economic conditions or an economic downturn.</w:t>
      </w:r>
    </w:p>
    <w:p>
      <w:pPr>
        <w:spacing w:after="0" w:line="152" w:lineRule="exact"/>
        <w:rPr>
          <w:rFonts w:ascii="Arial" w:cs="Arial" w:eastAsia="Arial" w:hAnsi="Arial"/>
          <w:sz w:val="15"/>
          <w:szCs w:val="15"/>
          <w:color w:val="auto"/>
        </w:rPr>
      </w:pPr>
    </w:p>
    <w:p>
      <w:pPr>
        <w:ind w:left="600" w:right="40" w:hanging="300"/>
        <w:spacing w:after="0" w:line="253" w:lineRule="auto"/>
        <w:tabs>
          <w:tab w:leader="none" w:pos="577"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ongoing COVID-19 pandemic, restrictions intended to prevent its spread and resulting worldwide economic conditions could adversely impact our business, financial condition and results of operations.</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Increases in costs of commodities or other products we use in our business, such as fuel, packing, and paper, could adversely affect our operating results.</w:t>
      </w:r>
    </w:p>
    <w:p>
      <w:pPr>
        <w:spacing w:after="0" w:line="152" w:lineRule="exact"/>
        <w:rPr>
          <w:rFonts w:ascii="Arial" w:cs="Arial" w:eastAsia="Arial" w:hAnsi="Arial"/>
          <w:sz w:val="15"/>
          <w:szCs w:val="15"/>
          <w:color w:val="auto"/>
        </w:rPr>
      </w:pPr>
    </w:p>
    <w:p>
      <w:pPr>
        <w:ind w:left="600" w:right="240" w:hanging="300"/>
        <w:spacing w:after="0" w:line="253" w:lineRule="auto"/>
        <w:tabs>
          <w:tab w:leader="none" w:pos="577" w:val="left"/>
        </w:tabs>
        <w:numPr>
          <w:ilvl w:val="0"/>
          <w:numId w:val="5"/>
        </w:numPr>
        <w:rPr>
          <w:rFonts w:ascii="Arial" w:cs="Arial" w:eastAsia="Arial" w:hAnsi="Arial"/>
          <w:sz w:val="15"/>
          <w:szCs w:val="15"/>
          <w:color w:val="auto"/>
        </w:rPr>
      </w:pPr>
      <w:r>
        <w:rPr>
          <w:rFonts w:ascii="Arial" w:cs="Arial" w:eastAsia="Arial" w:hAnsi="Arial"/>
          <w:sz w:val="15"/>
          <w:szCs w:val="15"/>
          <w:color w:val="auto"/>
        </w:rPr>
        <w:t>Food safety events, including instances of food-borne illness involving avocados, could create negative publicity for our customers and adversely affect sales and operating results.</w:t>
      </w:r>
    </w:p>
    <w:p>
      <w:pPr>
        <w:spacing w:after="0" w:line="136" w:lineRule="exact"/>
        <w:rPr>
          <w:rFonts w:ascii="Arial" w:cs="Arial" w:eastAsia="Arial" w:hAnsi="Arial"/>
          <w:sz w:val="15"/>
          <w:szCs w:val="15"/>
          <w:color w:val="auto"/>
        </w:rPr>
      </w:pPr>
    </w:p>
    <w:p>
      <w:pPr>
        <w:ind w:left="600" w:hanging="300"/>
        <w:spacing w:after="0" w:line="253" w:lineRule="auto"/>
        <w:tabs>
          <w:tab w:leader="none" w:pos="577" w:val="left"/>
        </w:tabs>
        <w:numPr>
          <w:ilvl w:val="0"/>
          <w:numId w:val="5"/>
        </w:numPr>
        <w:rPr>
          <w:rFonts w:ascii="Arial" w:cs="Arial" w:eastAsia="Arial" w:hAnsi="Arial"/>
          <w:sz w:val="15"/>
          <w:szCs w:val="15"/>
          <w:color w:val="auto"/>
        </w:rPr>
      </w:pPr>
      <w:r>
        <w:rPr>
          <w:rFonts w:ascii="Arial" w:cs="Arial" w:eastAsia="Arial" w:hAnsi="Arial"/>
          <w:sz w:val="15"/>
          <w:szCs w:val="15"/>
          <w:color w:val="auto"/>
        </w:rPr>
        <w:t>A recall of our products could have a material adverse effect on our business. In addition, we may be subject to significant liability claims should the consumption of any of our products cause injury, illness or death.</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are subject to possible changing USDA and FDA regulations that govern the importation of foreign avocados into the United States.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to U.S. trade policy, tariff and import/export regulations may adversely affect our operating results.</w:t>
      </w:r>
    </w:p>
    <w:p>
      <w:pPr>
        <w:spacing w:after="0" w:line="200" w:lineRule="exact"/>
        <w:rPr>
          <w:sz w:val="20"/>
          <w:szCs w:val="20"/>
          <w:color w:val="auto"/>
        </w:rPr>
      </w:pPr>
    </w:p>
    <w:p>
      <w:pPr>
        <w:spacing w:after="0" w:line="227"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52" w:lineRule="exact"/>
        <w:rPr>
          <w:sz w:val="20"/>
          <w:szCs w:val="20"/>
          <w:color w:val="auto"/>
        </w:rPr>
      </w:pPr>
    </w:p>
    <w:p>
      <w:pPr>
        <w:ind w:left="600" w:right="4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subject to health and safety laws, which may restrict our operations, result in operational delays or increase our operating costs and adversely affect our financial results of operations.</w:t>
      </w:r>
    </w:p>
    <w:p>
      <w:pPr>
        <w:spacing w:after="0" w:line="136" w:lineRule="exact"/>
        <w:rPr>
          <w:rFonts w:ascii="Arial" w:cs="Arial" w:eastAsia="Arial" w:hAnsi="Arial"/>
          <w:sz w:val="15"/>
          <w:szCs w:val="15"/>
          <w:color w:val="auto"/>
        </w:rPr>
      </w:pPr>
    </w:p>
    <w:p>
      <w:pPr>
        <w:ind w:left="600" w:right="8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acquisition of other businesses could pose risks to our financial condition and results.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depend on our infrastructure to have sufficient capacity to handle our business needs.</w:t>
      </w:r>
    </w:p>
    <w:p>
      <w:pPr>
        <w:spacing w:after="0" w:line="152" w:lineRule="exact"/>
        <w:rPr>
          <w:rFonts w:ascii="Arial" w:cs="Arial" w:eastAsia="Arial" w:hAnsi="Arial"/>
          <w:sz w:val="15"/>
          <w:szCs w:val="15"/>
          <w:color w:val="auto"/>
        </w:rPr>
      </w:pPr>
    </w:p>
    <w:p>
      <w:pPr>
        <w:ind w:left="580" w:hanging="28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optimize our supply chain or disruption of our supply chain could have an adverse effect on our business, financial condition and results of operations.</w:t>
      </w:r>
    </w:p>
    <w:p>
      <w:pPr>
        <w:spacing w:after="0" w:line="152" w:lineRule="exact"/>
        <w:rPr>
          <w:rFonts w:ascii="Arial" w:cs="Arial" w:eastAsia="Arial" w:hAnsi="Arial"/>
          <w:sz w:val="15"/>
          <w:szCs w:val="15"/>
          <w:color w:val="auto"/>
        </w:rPr>
      </w:pPr>
    </w:p>
    <w:p>
      <w:pPr>
        <w:ind w:left="60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serve our customers is a function of reliable and cost-effective transportation. Disruption of the supply of these services and/or significant increases in the cost of these services could impact our operating income.</w:t>
      </w:r>
    </w:p>
    <w:p>
      <w:pPr>
        <w:spacing w:after="0" w:line="136" w:lineRule="exact"/>
        <w:rPr>
          <w:rFonts w:ascii="Arial" w:cs="Arial" w:eastAsia="Arial" w:hAnsi="Arial"/>
          <w:sz w:val="15"/>
          <w:szCs w:val="15"/>
          <w:color w:val="auto"/>
        </w:rPr>
      </w:pPr>
    </w:p>
    <w:p>
      <w:pPr>
        <w:ind w:left="600" w:right="2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depend on our key personnel and if we lose the services of any of these individuals, or fail to attract and retain additional key personnel, we may not be able to implement our business strategy or operate our business effectively.</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operation of our facilities depends on adequate supply of labor and good labor relations with our employees.</w:t>
      </w:r>
    </w:p>
    <w:p>
      <w:pPr>
        <w:spacing w:after="0" w:line="152" w:lineRule="exact"/>
        <w:rPr>
          <w:rFonts w:ascii="Arial" w:cs="Arial" w:eastAsia="Arial" w:hAnsi="Arial"/>
          <w:sz w:val="15"/>
          <w:szCs w:val="15"/>
          <w:color w:val="auto"/>
        </w:rPr>
      </w:pPr>
    </w:p>
    <w:p>
      <w:pPr>
        <w:ind w:left="600" w:right="220" w:hanging="300"/>
        <w:spacing w:after="0" w:line="288" w:lineRule="auto"/>
        <w:tabs>
          <w:tab w:leader="none" w:pos="577" w:val="left"/>
        </w:tabs>
        <w:numPr>
          <w:ilvl w:val="0"/>
          <w:numId w:val="6"/>
        </w:numPr>
        <w:rPr>
          <w:rFonts w:ascii="Arial" w:cs="Arial" w:eastAsia="Arial" w:hAnsi="Arial"/>
          <w:sz w:val="14"/>
          <w:szCs w:val="14"/>
          <w:color w:val="auto"/>
        </w:rPr>
      </w:pPr>
      <w:r>
        <w:rPr>
          <w:rFonts w:ascii="Arial" w:cs="Arial" w:eastAsia="Arial" w:hAnsi="Arial"/>
          <w:sz w:val="14"/>
          <w:szCs w:val="14"/>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13" w:lineRule="exact"/>
        <w:rPr>
          <w:rFonts w:ascii="Arial" w:cs="Arial" w:eastAsia="Arial" w:hAnsi="Arial"/>
          <w:sz w:val="14"/>
          <w:szCs w:val="14"/>
          <w:color w:val="auto"/>
        </w:rPr>
      </w:pPr>
    </w:p>
    <w:p>
      <w:pPr>
        <w:ind w:left="600" w:right="38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136" w:lineRule="exact"/>
        <w:rPr>
          <w:rFonts w:ascii="Arial" w:cs="Arial" w:eastAsia="Arial" w:hAnsi="Arial"/>
          <w:sz w:val="15"/>
          <w:szCs w:val="15"/>
          <w:color w:val="auto"/>
        </w:rPr>
      </w:pPr>
    </w:p>
    <w:p>
      <w:pPr>
        <w:ind w:left="600" w:right="560" w:hanging="300"/>
        <w:spacing w:after="0" w:line="253" w:lineRule="auto"/>
        <w:tabs>
          <w:tab w:leader="none" w:pos="577"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on a strong and trusted brand, and any failure to maintain, protect, and enhance our brand would have an adverse impact on our business.</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could be subject to changes in tax rates, the adoption of new U.S. or international tax legislation or exposure to additional tax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Risks Related to Our Common Stock</w:t>
      </w:r>
    </w:p>
    <w:p>
      <w:pPr>
        <w:spacing w:after="0" w:line="170" w:lineRule="exact"/>
        <w:rPr>
          <w:sz w:val="20"/>
          <w:szCs w:val="20"/>
          <w:color w:val="auto"/>
        </w:rPr>
      </w:pPr>
    </w:p>
    <w:p>
      <w:pPr>
        <w:ind w:left="580" w:hanging="280"/>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active, liquid and orderly market for our common stock may not be maintained.</w:t>
      </w:r>
    </w:p>
    <w:p>
      <w:pPr>
        <w:spacing w:after="0" w:line="152" w:lineRule="exact"/>
        <w:rPr>
          <w:rFonts w:ascii="Arial" w:cs="Arial" w:eastAsia="Arial" w:hAnsi="Arial"/>
          <w:sz w:val="15"/>
          <w:szCs w:val="15"/>
          <w:color w:val="auto"/>
        </w:rPr>
      </w:pPr>
    </w:p>
    <w:p>
      <w:pPr>
        <w:ind w:left="600" w:right="18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trading price of the shares of our common stock has been, and is likely to continue to be, highly volatile, and purchasers of our common stock could incur substantial losses.</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failure to meet the continued listing requirements of the Nasdaq could result in a delisting of our common stock.</w:t>
      </w:r>
    </w:p>
    <w:p>
      <w:pPr>
        <w:spacing w:after="0" w:line="152" w:lineRule="exact"/>
        <w:rPr>
          <w:rFonts w:ascii="Arial" w:cs="Arial" w:eastAsia="Arial" w:hAnsi="Arial"/>
          <w:sz w:val="15"/>
          <w:szCs w:val="15"/>
          <w:color w:val="auto"/>
        </w:rPr>
      </w:pPr>
    </w:p>
    <w:p>
      <w:pPr>
        <w:ind w:left="600" w:right="64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136" w:lineRule="exact"/>
        <w:rPr>
          <w:rFonts w:ascii="Arial" w:cs="Arial" w:eastAsia="Arial" w:hAnsi="Arial"/>
          <w:sz w:val="15"/>
          <w:szCs w:val="15"/>
          <w:color w:val="auto"/>
        </w:rPr>
      </w:pPr>
    </w:p>
    <w:p>
      <w:pPr>
        <w:ind w:left="580" w:hanging="280"/>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Because we may not pay any cash dividends on our capital stock in the foreseeable future, capital appreciation, if any, may be your sole source of gain.</w:t>
      </w:r>
    </w:p>
    <w:p>
      <w:pPr>
        <w:spacing w:after="0" w:line="152" w:lineRule="exact"/>
        <w:rPr>
          <w:rFonts w:ascii="Arial" w:cs="Arial" w:eastAsia="Arial" w:hAnsi="Arial"/>
          <w:sz w:val="15"/>
          <w:szCs w:val="15"/>
          <w:color w:val="auto"/>
        </w:rPr>
      </w:pPr>
    </w:p>
    <w:p>
      <w:pPr>
        <w:ind w:left="600" w:right="4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36" w:lineRule="exact"/>
        <w:rPr>
          <w:rFonts w:ascii="Arial" w:cs="Arial" w:eastAsia="Arial" w:hAnsi="Arial"/>
          <w:sz w:val="15"/>
          <w:szCs w:val="15"/>
          <w:color w:val="auto"/>
        </w:rPr>
      </w:pPr>
    </w:p>
    <w:p>
      <w:pPr>
        <w:ind w:left="600" w:right="22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an emerging growth company, and the reduced disclosure requirements applicable to emerging growth companies may make our common stock less attractive to investors.</w:t>
      </w:r>
    </w:p>
    <w:p>
      <w:pPr>
        <w:spacing w:after="0" w:line="136" w:lineRule="exact"/>
        <w:rPr>
          <w:rFonts w:ascii="Arial" w:cs="Arial" w:eastAsia="Arial" w:hAnsi="Arial"/>
          <w:sz w:val="15"/>
          <w:szCs w:val="15"/>
          <w:color w:val="auto"/>
        </w:rPr>
      </w:pPr>
    </w:p>
    <w:p>
      <w:pPr>
        <w:ind w:left="600" w:right="38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incur significant costs as a result of operating as a public company, and our management will be required to devote substantial time to new compliance initiatives.</w:t>
      </w:r>
    </w:p>
    <w:p>
      <w:pPr>
        <w:spacing w:after="0" w:line="136" w:lineRule="exact"/>
        <w:rPr>
          <w:rFonts w:ascii="Arial" w:cs="Arial" w:eastAsia="Arial" w:hAnsi="Arial"/>
          <w:sz w:val="15"/>
          <w:szCs w:val="15"/>
          <w:color w:val="auto"/>
        </w:rPr>
      </w:pPr>
    </w:p>
    <w:p>
      <w:pPr>
        <w:ind w:left="600" w:right="26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securities or industry analysts do not publish research or reports or publish unfavorable research or reports about our business, our stock price and trading volume could decline.</w:t>
      </w:r>
    </w:p>
    <w:p>
      <w:pPr>
        <w:spacing w:after="0" w:line="136" w:lineRule="exact"/>
        <w:rPr>
          <w:rFonts w:ascii="Arial" w:cs="Arial" w:eastAsia="Arial" w:hAnsi="Arial"/>
          <w:sz w:val="15"/>
          <w:szCs w:val="15"/>
          <w:color w:val="auto"/>
        </w:rPr>
      </w:pPr>
    </w:p>
    <w:p>
      <w:pPr>
        <w:ind w:left="600" w:right="560" w:hanging="300"/>
        <w:spacing w:after="0" w:line="253" w:lineRule="auto"/>
        <w:tabs>
          <w:tab w:leader="none" w:pos="577"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00"/>
          </w:cols>
          <w:pgMar w:left="320" w:top="1440" w:right="379" w:bottom="1440" w:gutter="0" w:footer="0" w:header="0"/>
        </w:sectPr>
      </w:pPr>
    </w:p>
    <w:bookmarkStart w:id="9" w:name="page10"/>
    <w:bookmarkEnd w:id="9"/>
    <w:p>
      <w:pPr>
        <w:spacing w:after="0" w:line="52" w:lineRule="exact"/>
        <w:rPr>
          <w:sz w:val="20"/>
          <w:szCs w:val="20"/>
          <w:color w:val="auto"/>
        </w:rPr>
      </w:pPr>
    </w:p>
    <w:p>
      <w:pPr>
        <w:ind w:left="600" w:right="820" w:hanging="300"/>
        <w:spacing w:after="0" w:line="253" w:lineRule="auto"/>
        <w:tabs>
          <w:tab w:leader="none" w:pos="577"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Provisions in our charter documents and under Delaware law could discourage a takeover that stockholders may consider favorable and may lead to entrenchment of management.</w:t>
      </w:r>
    </w:p>
    <w:p>
      <w:pPr>
        <w:spacing w:after="0" w:line="136" w:lineRule="exact"/>
        <w:rPr>
          <w:rFonts w:ascii="Arial" w:cs="Arial" w:eastAsia="Arial" w:hAnsi="Arial"/>
          <w:sz w:val="15"/>
          <w:szCs w:val="15"/>
          <w:color w:val="auto"/>
        </w:rPr>
      </w:pPr>
    </w:p>
    <w:p>
      <w:pPr>
        <w:ind w:left="600" w:right="60" w:hanging="300"/>
        <w:spacing w:after="0" w:line="248" w:lineRule="auto"/>
        <w:tabs>
          <w:tab w:leader="none" w:pos="577"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amended and restated certificate of incorporation provides that the Court of Chancery (“Chancery Court”)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Risks Related to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Our ability to generate revenues is limited by the annual supply of avocados and our ability to purchase or grow additional avocados.</w:t>
      </w:r>
    </w:p>
    <w:p>
      <w:pPr>
        <w:spacing w:after="0" w:line="220" w:lineRule="exact"/>
        <w:rPr>
          <w:sz w:val="20"/>
          <w:szCs w:val="20"/>
          <w:color w:val="auto"/>
        </w:rPr>
      </w:pPr>
    </w:p>
    <w:p>
      <w:pPr>
        <w:ind w:right="100" w:firstLine="600"/>
        <w:spacing w:after="0" w:line="244" w:lineRule="auto"/>
        <w:rPr>
          <w:sz w:val="20"/>
          <w:szCs w:val="20"/>
          <w:color w:val="auto"/>
        </w:rPr>
      </w:pPr>
      <w:r>
        <w:rPr>
          <w:rFonts w:ascii="Arial" w:cs="Arial" w:eastAsia="Arial" w:hAnsi="Arial"/>
          <w:sz w:val="15"/>
          <w:szCs w:val="15"/>
          <w:color w:val="auto"/>
        </w:rPr>
        <w:t>Our ability to distribute avocados is currently limited by our ability to acquire supply from third-party growers and to produce on our own farms. With a limited number of avocado trees on our farms and on the farms from which we purchase, our ability to replace supply from third parties and adapt to any changes in demand of our product may be limited. If we are unable to purchase sufficient volumes from third-party growers or demand for our products were to increase in the future, we would need additional production capacity, which may take time, whether by purchasing additional products from third-party suppliers or by waiting for our younger avocado trees to bear fruit. These purchases may expose us to increases in short-term costs and additional production may expose us to additional long-term operating costs. If supply were to decrease dramatically in the future, whether as a result of damage to farms, inclement weather, drought or labor problems, we may not be able to purchase sufficient fruit or the prices would dramatically increase. The impact of the limited supply could decrease our revenues or increase our costs of goods sold, which would harm our business and financial results.</w:t>
      </w:r>
    </w:p>
    <w:p>
      <w:pPr>
        <w:spacing w:after="0" w:line="179"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b w:val="1"/>
          <w:bCs w:val="1"/>
          <w:i w:val="1"/>
          <w:iCs w:val="1"/>
          <w:color w:val="232F84"/>
        </w:rPr>
        <w:t>The loss of one or more of our largest customers, or a reduction in the level of purchases made by these customers, could negatively impact our sales and profits.</w:t>
      </w:r>
    </w:p>
    <w:p>
      <w:pPr>
        <w:spacing w:after="0" w:line="168" w:lineRule="exact"/>
        <w:rPr>
          <w:sz w:val="20"/>
          <w:szCs w:val="20"/>
          <w:color w:val="auto"/>
        </w:rPr>
      </w:pPr>
    </w:p>
    <w:p>
      <w:pPr>
        <w:ind w:right="80" w:firstLine="600"/>
        <w:spacing w:after="0" w:line="244" w:lineRule="auto"/>
        <w:rPr>
          <w:sz w:val="20"/>
          <w:szCs w:val="20"/>
          <w:color w:val="auto"/>
        </w:rPr>
      </w:pPr>
      <w:r>
        <w:rPr>
          <w:rFonts w:ascii="Arial" w:cs="Arial" w:eastAsia="Arial" w:hAnsi="Arial"/>
          <w:sz w:val="15"/>
          <w:szCs w:val="15"/>
          <w:color w:val="auto"/>
        </w:rPr>
        <w:t>Sales to our top 10 customers amounted to approximately 64%, 60%, and 57% of our net sales in the years ended October 31, 2020, 2019, and 2018, respectively.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suppliers from which they purchase,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We are subject to the risks of doing business internationally.</w:t>
      </w:r>
    </w:p>
    <w:p>
      <w:pPr>
        <w:spacing w:after="0" w:line="220"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We conduct a substantial amount of business with growers and customers who are located outside the United States. We purchase avocados from growers and packers in Mexico and other countries, own or lease thousands of acres and operate packing facilities in Peru, have farming joint ventures in Colombia and sell fresh avocados and processed avocado products to foreign customers. We also continually explore sourcing, distribution and sales opportunities in additional countries. We are also subject to regulations and taxes imposed by governments of the countries in which we operate. Significant changes to these government regulations and to assessments by tax authorities can have a negative impact on our operations and operating results.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current international operations are subject to a number of inherent risks, including:</w:t>
      </w:r>
    </w:p>
    <w:p>
      <w:pPr>
        <w:spacing w:after="0" w:line="202" w:lineRule="exact"/>
        <w:rPr>
          <w:sz w:val="20"/>
          <w:szCs w:val="20"/>
          <w:color w:val="auto"/>
        </w:rPr>
      </w:pPr>
    </w:p>
    <w:p>
      <w:pPr>
        <w:ind w:left="1180" w:hanging="280"/>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Local economic and political conditions, including local corruption or disruptions in supply, labor, transportation and trading;</w:t>
      </w:r>
    </w:p>
    <w:p>
      <w:pPr>
        <w:spacing w:after="0" w:line="202" w:lineRule="exact"/>
        <w:rPr>
          <w:rFonts w:ascii="Arial" w:cs="Arial" w:eastAsia="Arial" w:hAnsi="Arial"/>
          <w:sz w:val="15"/>
          <w:szCs w:val="15"/>
          <w:color w:val="auto"/>
        </w:rPr>
      </w:pPr>
    </w:p>
    <w:p>
      <w:pPr>
        <w:ind w:left="1200" w:right="320" w:hanging="300"/>
        <w:spacing w:after="0" w:line="253" w:lineRule="auto"/>
        <w:tabs>
          <w:tab w:leader="none" w:pos="1177"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Restrictive U.S. and foreign governmental actions, such as restrictions on transfers of funds and trade protection measures, including import/export duties and quotas and customs duties and tariffs;</w:t>
      </w:r>
    </w:p>
    <w:p>
      <w:pPr>
        <w:spacing w:after="0" w:line="186" w:lineRule="exact"/>
        <w:rPr>
          <w:rFonts w:ascii="Arial" w:cs="Arial" w:eastAsia="Arial" w:hAnsi="Arial"/>
          <w:sz w:val="15"/>
          <w:szCs w:val="15"/>
          <w:color w:val="auto"/>
        </w:rPr>
      </w:pPr>
    </w:p>
    <w:p>
      <w:pPr>
        <w:ind w:left="1180" w:hanging="280"/>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legal or regulatory requirements affecting foreign investment, taxes, imports and exports; and</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Currency fluctuations that could affect our results of operations.</w:t>
      </w:r>
    </w:p>
    <w:p>
      <w:pPr>
        <w:spacing w:after="0" w:line="202"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Moreover, our business is also impacted by the negotiation and implementation of free trade agreements between the United States and other countries, particularly in Mexico, which is the largest source of our supply of avocados. Such agreements can reduce barriers to international trade and thus the cost of conducting business internationally, including the cost of purchasing avocados. For instance, the United States recently ratified a new trilateral trade agreement with the governments of Canada and Mexico, known as the United States-Mexico-Canada Agreement (“USMCA”) to replace the North American Free Trade Agreement (“NAFTA”). If any of the three countries withdraws from the USMCA, our cost of doing business within the three countries could increase.</w:t>
      </w: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Mexican economic, political and societal conditions may have an adverse impact on our business.</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Mexico is the largest source of our supply of avocados, and our business is affected by developments in that country. Shipments from Mexico to the United States are dependent on the border remaining open to imports, which has closed from time to time. In addition, security institutions in Mexico are under significant stress as a result of organized crime and gang and drug-related violence, which also could affect avocado production and shipments. This situation creates potential risks that could affect a large part of our sourcing in Mexico and would harm our operations if it impacts our facilities or personnel. In addition, Mexican growers strike from time to time to obtain higher prices for their avocados. We cannot provide any assurance that economic conditions or political developments, including any changes to economic policies or the adoption of other reforms proposed by existing or future administrations, in or affecting Mexico will not have a material adverse effect on market conditions or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Peruvian economic and political conditions may have an adverse impact on our business.</w:t>
      </w:r>
    </w:p>
    <w:p>
      <w:pPr>
        <w:spacing w:after="0" w:line="220"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A significant part of our farming operations are conducted in Peru. Accordingly, our business, financial condition or results of operations could be affected by changes in economic or other policies of the Peruvian government or other political, regulatory or economic developments in the country. During the past several decades, Peru has had a succession of regimes with differing policies and programs. Past governments have frequently intervened in the nation’s economy and social structure. Among other actions, past governments have imposed controls on prices, exchange rates and local and foreign investments, as well as limitations on imports, have restricted the ability of companies to dismiss employees and have prohibited the remittance of profits to foreign investors.</w:t>
      </w:r>
    </w:p>
    <w:p>
      <w:pPr>
        <w:spacing w:after="0" w:line="194"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In 2018, Peru experienced heightened political instability derived from various currently ongoing investigations into allegations of money laundering and corruption linked to the “Operation Car Wash” investigation that was initiated by Brazilian authorities. Because we have significant operations in Peru, we cannot provide any assurance that political developments and economic conditions, including any changes to economic policies or the adoption of other reforms proposed by existing or future administrations, in Peru and/or other factors will not have a material adverse effect on market conditions, prices of our securities, our ability to obtain financing and our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Our earnings are sensitive to fluctuations in market prices of avocados.</w:t>
      </w:r>
    </w:p>
    <w:p>
      <w:pPr>
        <w:spacing w:after="0" w:line="220" w:lineRule="exact"/>
        <w:rPr>
          <w:sz w:val="20"/>
          <w:szCs w:val="20"/>
          <w:color w:val="auto"/>
        </w:rPr>
      </w:pPr>
    </w:p>
    <w:p>
      <w:pPr>
        <w:jc w:val="both"/>
        <w:ind w:right="180" w:firstLine="600"/>
        <w:spacing w:after="0" w:line="248" w:lineRule="auto"/>
        <w:rPr>
          <w:sz w:val="20"/>
          <w:szCs w:val="20"/>
          <w:color w:val="auto"/>
        </w:rPr>
      </w:pPr>
      <w:r>
        <w:rPr>
          <w:rFonts w:ascii="Arial" w:cs="Arial" w:eastAsia="Arial" w:hAnsi="Arial"/>
          <w:sz w:val="15"/>
          <w:szCs w:val="15"/>
          <w:color w:val="auto"/>
        </w:rPr>
        <w:t>The pricing of avocados depends on supply, and excess supply can lead to price competition in our industry. Growing conditions in various parts of the world, particularly weather conditions such as windstorms, floods, droughts, wildfires and freezes, as well as diseases and pests, are primary factors affecting market prices because of their influence on the supply and quality of product.</w:t>
      </w:r>
    </w:p>
    <w:p>
      <w:pPr>
        <w:spacing w:after="0" w:line="190" w:lineRule="exact"/>
        <w:rPr>
          <w:sz w:val="20"/>
          <w:szCs w:val="20"/>
          <w:color w:val="auto"/>
        </w:rPr>
      </w:pPr>
    </w:p>
    <w:p>
      <w:pPr>
        <w:ind w:right="380" w:firstLine="600"/>
        <w:spacing w:after="0" w:line="253" w:lineRule="auto"/>
        <w:rPr>
          <w:sz w:val="20"/>
          <w:szCs w:val="20"/>
          <w:color w:val="auto"/>
        </w:rPr>
      </w:pPr>
      <w:r>
        <w:rPr>
          <w:rFonts w:ascii="Arial" w:cs="Arial" w:eastAsia="Arial" w:hAnsi="Arial"/>
          <w:sz w:val="15"/>
          <w:szCs w:val="15"/>
          <w:color w:val="auto"/>
        </w:rPr>
        <w:t>Pricing also depends on quality. Fresh produce is highly perishable and generally must be brought to market and sold soon after harvest. The selling price received depends on the availability and quality offered by us to customers and available in the market generally.</w:t>
      </w:r>
    </w:p>
    <w:p>
      <w:pPr>
        <w:spacing w:after="0" w:line="186"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Pricing also depends on demand, and consumer preferences for particular food products are subject to fluctuations over time. Shifts in consumer preferences that can impact demand at any given time can result from a number of factors, including dietary trends, attention to particular nutritional aspects, concerns regarding the health effects of particular products, attention given to product sourcing practices and general public perception of food safety risks. Consumer demand for our products also may be impacted by any public commentary that consumers may make regarding our products, as well as by changes in the level of advertising or promotional support that we employ or that are employed by relevant industry groups or third parties. If consumer preferences trend negatively with respect to avocados, our sales volumes may decline as a result.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We are subject to increasing competition that may adversely affect our operating results.</w:t>
      </w:r>
    </w:p>
    <w:p>
      <w:pPr>
        <w:spacing w:after="0" w:line="220" w:lineRule="exact"/>
        <w:rPr>
          <w:sz w:val="20"/>
          <w:szCs w:val="20"/>
          <w:color w:val="auto"/>
        </w:rPr>
      </w:pPr>
    </w:p>
    <w:p>
      <w:pPr>
        <w:ind w:right="240" w:firstLine="600"/>
        <w:spacing w:after="0" w:line="245" w:lineRule="auto"/>
        <w:rPr>
          <w:sz w:val="20"/>
          <w:szCs w:val="20"/>
          <w:color w:val="auto"/>
        </w:rPr>
      </w:pPr>
      <w:r>
        <w:rPr>
          <w:rFonts w:ascii="Arial" w:cs="Arial" w:eastAsia="Arial" w:hAnsi="Arial"/>
          <w:sz w:val="15"/>
          <w:szCs w:val="15"/>
          <w:color w:val="auto"/>
        </w:rPr>
        <w:t>The market for avocados and processed avocado products is highly competitive. Competition for the purchase of avocados from suppliers and the sale of avocados to distributors primarily comes from other avocado distributors. If we are unable to consistently pay growers a competitive price for their avocados, these growers may choose to have their avocados marketed by alternate distributors. If we are unable to offer attractive prices or consistent supply to retail and wholesale customers, they may choose to purchase from other companies. Such competition may adversely affect our volumes and prices, which would harm our business and results of operations.</w:t>
      </w: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180"/>
          </w:cols>
          <w:pgMar w:left="320" w:top="1440" w:right="399" w:bottom="1440" w:gutter="0" w:footer="0" w:header="0"/>
        </w:sectPr>
      </w:pPr>
    </w:p>
    <w:bookmarkStart w:id="11" w:name="page12"/>
    <w:bookmarkEnd w:id="11"/>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We and our growers are subject to the risks that are inherent in farming.</w:t>
      </w:r>
    </w:p>
    <w:p>
      <w:pPr>
        <w:spacing w:after="0" w:line="220" w:lineRule="exact"/>
        <w:rPr>
          <w:sz w:val="20"/>
          <w:szCs w:val="20"/>
          <w:color w:val="auto"/>
        </w:rPr>
      </w:pPr>
    </w:p>
    <w:p>
      <w:pPr>
        <w:ind w:right="440" w:firstLine="600"/>
        <w:spacing w:after="0" w:line="248" w:lineRule="auto"/>
        <w:rPr>
          <w:sz w:val="20"/>
          <w:szCs w:val="20"/>
          <w:color w:val="auto"/>
        </w:rPr>
      </w:pPr>
      <w:r>
        <w:rPr>
          <w:rFonts w:ascii="Arial" w:cs="Arial" w:eastAsia="Arial" w:hAnsi="Arial"/>
          <w:sz w:val="15"/>
          <w:szCs w:val="15"/>
          <w:color w:val="auto"/>
        </w:rPr>
        <w:t>Our results of operations may be adversely affected by numerous factors over which we have little or no control and that are inherent in farming, including reductions in the market prices for our products, adverse weather including drought, high winds, earthquakes and wildfires. Growing conditions, pest and disease problems and new government regulations regarding farming and the marketing of agricultural products.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Due to the seasonality of the business, our revenue and operating results may vary from quarter to quarter and year to year.</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earnings may be affected by seasonal factors, including:</w:t>
      </w:r>
    </w:p>
    <w:p>
      <w:pPr>
        <w:spacing w:after="0" w:line="202" w:lineRule="exact"/>
        <w:rPr>
          <w:sz w:val="20"/>
          <w:szCs w:val="20"/>
          <w:color w:val="auto"/>
        </w:rPr>
      </w:pPr>
    </w:p>
    <w:p>
      <w:pPr>
        <w:ind w:left="1180" w:hanging="280"/>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availability, quality and price of fruit;</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timing and effects of ripening and perishability;</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ability to process perishable raw materials in a timely manner;</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fixed overhead costs during off-season months at our farms; and</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slight impacts on consumer demand based on seasonal and holiday timing.</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particular, our farming operations in Peru are affected by seasonal factors, as the harvest in Peru is generally concentrated in the third and fourth fiscal</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quarters.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Our performance may be impacted by general economic conditions or an economic downturn.</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74"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b w:val="1"/>
          <w:bCs w:val="1"/>
          <w:i w:val="1"/>
          <w:iCs w:val="1"/>
          <w:color w:val="232F84"/>
        </w:rPr>
        <w:t>The ongoing COVID-19 pandemic, restrictions intended to prevent its spread and resulting worldwide economic conditions could adversely impact our business, financial condition and results of operations.</w:t>
      </w:r>
    </w:p>
    <w:p>
      <w:pPr>
        <w:spacing w:after="0" w:line="168"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The ongoing COVID-19 pandemic, and restrictions intended to prevent its spread, have already had a significant adverse impact on economic conditions around the world in 2020, including the United States and the geographic markets in which we operate or sell our products. The impact of the COVID-19 pandemic continues to evolve. While we have experienced minimal disruption to our overall business and have not experienced a significant loss of demand for our products during the pandemic, continued economic deterioration in the markets in which our products are sold, including unemployment, reductions in disposable income, declining consumer confidence, and perception of our products as non-essential, could result in future declines in the demand for our products. Going forward, the extent to which COVID-19 may impact our business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97" w:lineRule="exact"/>
        <w:rPr>
          <w:sz w:val="20"/>
          <w:szCs w:val="20"/>
          <w:color w:val="auto"/>
        </w:rPr>
      </w:pPr>
    </w:p>
    <w:p>
      <w:pPr>
        <w:ind w:right="140" w:firstLine="600"/>
        <w:spacing w:after="0" w:line="245" w:lineRule="auto"/>
        <w:rPr>
          <w:sz w:val="20"/>
          <w:szCs w:val="20"/>
          <w:color w:val="auto"/>
        </w:rPr>
      </w:pPr>
      <w:r>
        <w:rPr>
          <w:rFonts w:ascii="Arial" w:cs="Arial" w:eastAsia="Arial" w:hAnsi="Arial"/>
          <w:sz w:val="15"/>
          <w:szCs w:val="15"/>
          <w:color w:val="auto"/>
        </w:rPr>
        <w:t>Should the coronavirus continue to spread, our business operations could be delayed or interrupted. For instance, if COVID-19 spreads to our headquarters in Oxnard, California, the domestic or international farms from which we source or our shipping and packing facilities, we may experience a decrease in labor availability from our employees. Current and potential government-imposed travel restrictions could also affect our supply and distribution chain. The spread of COVID-19 throughout the world has also created global economic uncertainty, which may cause potential customers and avocado consumers to closely monitor their costs and reduce their spending budget. Any of the foregoing could materially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Increases in costs of commodities or other products we use in our business, such as fuel, packing, and paper, could adversely affect our operating results.</w:t>
      </w:r>
    </w:p>
    <w:p>
      <w:pPr>
        <w:spacing w:after="0" w:line="220"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The price of various products that we use in the growth, shipping or distribution of avocados can significantly affect our costs. Fuel and transportation cost is a significant component of the price of much of the produce that we purchase from growers, and there can be no assurance that we will be able to pass on to our customers the increased costs we incur in these respects.</w:t>
      </w:r>
    </w:p>
    <w:p>
      <w:pPr>
        <w:spacing w:after="0" w:line="200" w:lineRule="exact"/>
        <w:rPr>
          <w:sz w:val="20"/>
          <w:szCs w:val="20"/>
          <w:color w:val="auto"/>
        </w:rPr>
      </w:pPr>
    </w:p>
    <w:p>
      <w:pPr>
        <w:spacing w:after="0" w:line="21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02" w:lineRule="exact"/>
        <w:rPr>
          <w:sz w:val="20"/>
          <w:szCs w:val="20"/>
          <w:color w:val="auto"/>
        </w:rPr>
      </w:pPr>
    </w:p>
    <w:p>
      <w:pPr>
        <w:ind w:right="200" w:firstLine="600"/>
        <w:spacing w:after="0" w:line="253" w:lineRule="auto"/>
        <w:rPr>
          <w:sz w:val="20"/>
          <w:szCs w:val="20"/>
          <w:color w:val="auto"/>
        </w:rPr>
      </w:pPr>
      <w:r>
        <w:rPr>
          <w:rFonts w:ascii="Arial" w:cs="Arial" w:eastAsia="Arial" w:hAnsi="Arial"/>
          <w:sz w:val="15"/>
          <w:szCs w:val="15"/>
          <w:color w:val="auto"/>
        </w:rPr>
        <w:t>The cost of paper is also significant to us because most of our products are packed in cardboard boxes. If the price of paper increases and we are not able to effectively pass these price increases along to our customers, then our operating income will decrease.</w:t>
      </w:r>
    </w:p>
    <w:p>
      <w:pPr>
        <w:spacing w:after="0" w:line="168"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b w:val="1"/>
          <w:bCs w:val="1"/>
          <w:i w:val="1"/>
          <w:iCs w:val="1"/>
          <w:color w:val="232F84"/>
        </w:rPr>
        <w:t>Food safety events, including instances of food-borne illness involving avocados, could create negative publicity for our customers and adversely affect sales and operating results.</w:t>
      </w:r>
    </w:p>
    <w:p>
      <w:pPr>
        <w:spacing w:after="0" w:line="168"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Food safety is a top priority, and we dedicate substantial resources to ensure that our customers enjoy safe, quality products. However, food safety events, including instances of food-borne illness, have occurred with avocados in the past, and could occur in the future. Food safety events at customers, whether or not they involve avocados, could adversely affect sales of those customers. In addition, customers who purchase our avocados for their food products could experience negative publicity, or experience a significant increase in food costs if there are food safety events. If such customers experience a decline in sales as a result of such food safety event, our results of operations may be adversely affected.</w:t>
      </w:r>
    </w:p>
    <w:p>
      <w:pPr>
        <w:spacing w:after="0" w:line="176"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i w:val="1"/>
          <w:iCs w:val="1"/>
          <w:color w:val="232F84"/>
        </w:rPr>
        <w:t>A recall of our products could have a material adverse effect on our business. In addition, we may be subject to significant liability claims should the consumption of any of our products cause injury, illness or death.</w:t>
      </w:r>
    </w:p>
    <w:p>
      <w:pPr>
        <w:spacing w:after="0" w:line="168"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75"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b w:val="1"/>
          <w:bCs w:val="1"/>
          <w:i w:val="1"/>
          <w:iCs w:val="1"/>
          <w:color w:val="232F84"/>
        </w:rPr>
        <w:t>We are subject to possible changing United States Department of Agriculture and Food and Drug Administration regulations that govern the importation of foreign avocados into the United States.</w:t>
      </w:r>
    </w:p>
    <w:p>
      <w:pPr>
        <w:spacing w:after="0" w:line="168"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color w:val="auto"/>
        </w:rPr>
        <w:t>The USDA has established, and continues to modify, regulations governing the importation of avocados into the United States, and also limits the countries from which avocados may be imported.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93" w:lineRule="exact"/>
        <w:rPr>
          <w:sz w:val="20"/>
          <w:szCs w:val="20"/>
          <w:color w:val="auto"/>
        </w:rPr>
      </w:pPr>
    </w:p>
    <w:p>
      <w:pPr>
        <w:ind w:right="40" w:firstLine="600"/>
        <w:spacing w:after="0" w:line="248" w:lineRule="auto"/>
        <w:rPr>
          <w:sz w:val="20"/>
          <w:szCs w:val="20"/>
          <w:color w:val="auto"/>
        </w:rPr>
      </w:pPr>
      <w:r>
        <w:rPr>
          <w:rFonts w:ascii="Arial" w:cs="Arial" w:eastAsia="Arial" w:hAnsi="Arial"/>
          <w:sz w:val="15"/>
          <w:szCs w:val="15"/>
          <w:color w:val="auto"/>
        </w:rPr>
        <w:t>The FDA establishes, and continues to modify, regulations governing the distribution of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Changes to U.S. trade policy, tariff and import/export regulations may adversely affect our operating results.</w:t>
      </w:r>
    </w:p>
    <w:p>
      <w:pPr>
        <w:spacing w:after="0" w:line="220"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presidential administration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spacing w:after="0" w:line="194"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As a result of policy changes and government proposals of the U.S. presidential administration,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w:t>
      </w:r>
    </w:p>
    <w:p>
      <w:pPr>
        <w:spacing w:after="0" w:line="175"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b w:val="1"/>
          <w:bCs w:val="1"/>
          <w:i w:val="1"/>
          <w:iCs w:val="1"/>
          <w:color w:val="232F84"/>
        </w:rPr>
        <w:t>We are subject to health and safety laws, which may restrict our operations, result in operational delays or increase our operating costs and adversely affect our financial results of operations.</w:t>
      </w:r>
    </w:p>
    <w:p>
      <w:pPr>
        <w:spacing w:after="0" w:line="168"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We are required to comply with health and safety laws and regulations in the United States, Peru and Mexico where our operations are subject to periodic inspections by the relevant governmental authorities. These laws and regulations govern, among others, health and safety work place conditions, including high risk labor and the handling, storage and disposal of chemical and other hazardous substances. Compliance with these laws and regulations and new or existing regulations that may be applicable to us in the future could increase our operating costs and adversely affect our financial results of operations and cash flows.</w:t>
      </w:r>
    </w:p>
    <w:p>
      <w:pPr>
        <w:spacing w:after="0" w:line="200" w:lineRule="exact"/>
        <w:rPr>
          <w:sz w:val="20"/>
          <w:szCs w:val="20"/>
          <w:color w:val="auto"/>
        </w:rPr>
      </w:pPr>
    </w:p>
    <w:p>
      <w:pPr>
        <w:spacing w:after="0" w:line="218"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20"/>
          </w:cols>
          <w:pgMar w:left="320" w:top="1440" w:right="359" w:bottom="1440" w:gutter="0" w:footer="0" w:header="0"/>
        </w:sectPr>
      </w:pPr>
    </w:p>
    <w:bookmarkStart w:id="13" w:name="page14"/>
    <w:bookmarkEnd w:id="13"/>
    <w:p>
      <w:pPr>
        <w:spacing w:after="0" w:line="84"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b w:val="1"/>
          <w:bCs w:val="1"/>
          <w:i w:val="1"/>
          <w:iCs w:val="1"/>
          <w:color w:val="232F84"/>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145"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We are subject to a variety of federal, state, local and foreign laws and regulations relating to environmental matters. In particular, our business depends on the use of herbicides, fertilizers, pesticides and other agricultural products and the use and disposal of these products in some jurisdictions are subject to regulation by various agencies. These laws and regulations may require that only certified or professional users apply the product or that certain products only be used in certain types of locations. These laws and regulations may also require users to post notices on properties at which products have been or will be applied, notification to individuals in the vicinity that products will be applied in the future, or labeling of certain products or may restrict or ban the use of certain products. We can give no assurance that we can prevent violations of these or other laws and regulations from occurring. If we fail to comply with these laws and regulations, we could be subject to, among other things, substantial penalties or fines, partial or complete cessation of our operations or a ban on the sale of part or all of our products in a jurisdiction. Even if we are able to comply with all such laws and regulations and obtain all necessary registrations and licenses, we cannot assure you that the herbicides, fertilizers, pesticides or other products we apply, or the manner in which we apply them, will not be alleged to cause injury to the environment, people or animals, or that such products will not be restricted or banned in certain circumstances. A decision by a regulatory agency to significantly restrict the use of or ban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U.S. Environmental Protection Agency, or EPA, undertakes a series of regulatory actions relating to the evaluation and use of pesticides in the food industry. Similarly, in the EU, Regulation (EC) No. 1107/2009, which became effective on June 14, 2011, fundamentally changed the pesticide approval process from the current risk base to hazard criteria based on the intrinsic properties of the substance. Actions regarding the availability and use of herbicides, fertilizers, pesticides and other agricultural products, the costs of compliance, consequences of non-compliance, remediation costs and liabilities, unfavorable public perceptions of such products or products liability lawsuits could have a material adverse effect on our business, results of operations, financial position, cash flows and reputation.</w:t>
      </w:r>
    </w:p>
    <w:p>
      <w:pPr>
        <w:spacing w:after="0" w:line="193"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There has been a broad range of proposed and promulgated state, national, local and international regulation aimed at reducing the effects of climate change. Such regulations apply or could apply in countries where we conduct operations or have interests or could conduct operations or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such regulation could have a material effect on our business, results of operations, financial position or capital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The acquisition of other businesses could pose risks to our financial condition and results.</w:t>
      </w:r>
    </w:p>
    <w:p>
      <w:pPr>
        <w:spacing w:after="0" w:line="220"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We intend to review acquisition and investment prospects that would complement our business. While we are not currently a party to any definitive agreement with respect to any acquisitions, we may acquire other businesses or accounts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We may also not be able to achieve an attractive return on our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We depend on our infrastructure to have sufficient capacity to handle our business needs.</w:t>
      </w:r>
    </w:p>
    <w:p>
      <w:pPr>
        <w:spacing w:after="0" w:line="220" w:lineRule="exact"/>
        <w:rPr>
          <w:sz w:val="20"/>
          <w:szCs w:val="20"/>
          <w:color w:val="auto"/>
        </w:rPr>
      </w:pPr>
    </w:p>
    <w:p>
      <w:pPr>
        <w:ind w:right="220" w:firstLine="600"/>
        <w:spacing w:after="0" w:line="246" w:lineRule="auto"/>
        <w:rPr>
          <w:sz w:val="20"/>
          <w:szCs w:val="20"/>
          <w:color w:val="auto"/>
        </w:rPr>
      </w:pPr>
      <w:r>
        <w:rPr>
          <w:rFonts w:ascii="Arial" w:cs="Arial" w:eastAsia="Arial" w:hAnsi="Arial"/>
          <w:sz w:val="15"/>
          <w:szCs w:val="15"/>
          <w:color w:val="auto"/>
        </w:rPr>
        <w:t>We have an infrastructure that supports our production and distribution, but if we lose machinery or facilities due to natural disasters or mechanical failure, we may not be able to operate at a sufficient capacity to meet our needs. We will also continue to make investments in existing and new facilities to meet our needs. Any inability to have sufficient facilities, or loss or failure of facilities, could have a material adverse effect on our business, which could impact our results of operations and our financial condition.</w:t>
      </w:r>
    </w:p>
    <w:p>
      <w:pPr>
        <w:spacing w:after="0" w:line="175"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b w:val="1"/>
          <w:bCs w:val="1"/>
          <w:i w:val="1"/>
          <w:iCs w:val="1"/>
          <w:color w:val="232F84"/>
        </w:rPr>
        <w:t>Failure to optimize our supply chain or disruption of our supply chain could have an adverse effect on our business, financial condition and results of operations.</w:t>
      </w:r>
    </w:p>
    <w:p>
      <w:pPr>
        <w:spacing w:after="0" w:line="168" w:lineRule="exact"/>
        <w:rPr>
          <w:sz w:val="20"/>
          <w:szCs w:val="20"/>
          <w:color w:val="auto"/>
        </w:rPr>
      </w:pPr>
    </w:p>
    <w:p>
      <w:pPr>
        <w:ind w:right="160" w:firstLine="600"/>
        <w:spacing w:after="0" w:line="246" w:lineRule="auto"/>
        <w:rPr>
          <w:sz w:val="20"/>
          <w:szCs w:val="20"/>
          <w:color w:val="auto"/>
        </w:rPr>
      </w:pPr>
      <w:r>
        <w:rPr>
          <w:rFonts w:ascii="Arial" w:cs="Arial" w:eastAsia="Arial" w:hAnsi="Arial"/>
          <w:sz w:val="15"/>
          <w:szCs w:val="15"/>
          <w:color w:val="auto"/>
        </w:rPr>
        <w:t>Our ability to make, move and sell products in coordination with our suppliers is critical to our success. Our inability to maintain sufficient internal production capacity or our inability to enter into co-packing agreements on terms that are beneficial to the Company could have an adverse effect on our business. Failure to adequately handle increasing production costs and complexity, turnover of personnel, or production capability and efficiency issues could materially impact our ability to cost effectively produce our products and meet customer demand.</w:t>
      </w:r>
    </w:p>
    <w:p>
      <w:pPr>
        <w:spacing w:after="0" w:line="193"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Additionally, damage or disruption to our collective production or distribution capabilities resulting from weather, any potential effects of climate change, natural disaster, disease, crop spoilage, fire or explosion, terrorism, pandemics, strikes, repairs or enhancements at our facilities, or other reasons, could impair our ability to produce or sell our products. Failure to take adequate steps to mitigate the likelihood or potential impact</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02" w:lineRule="exact"/>
        <w:rPr>
          <w:sz w:val="20"/>
          <w:szCs w:val="20"/>
          <w:color w:val="auto"/>
        </w:rPr>
      </w:pPr>
    </w:p>
    <w:p>
      <w:pPr>
        <w:ind w:right="360"/>
        <w:spacing w:after="0" w:line="253" w:lineRule="auto"/>
        <w:rPr>
          <w:sz w:val="20"/>
          <w:szCs w:val="20"/>
          <w:color w:val="auto"/>
        </w:rPr>
      </w:pPr>
      <w:r>
        <w:rPr>
          <w:rFonts w:ascii="Arial" w:cs="Arial" w:eastAsia="Arial" w:hAnsi="Arial"/>
          <w:sz w:val="15"/>
          <w:szCs w:val="15"/>
          <w:color w:val="auto"/>
        </w:rPr>
        <w:t>of such events, or to effectively manage such events if they occur, could adversely affect our business, financial condition and results of operations, and may require additional resources to restore our supply chain.</w:t>
      </w:r>
    </w:p>
    <w:p>
      <w:pPr>
        <w:spacing w:after="0" w:line="168"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b w:val="1"/>
          <w:bCs w:val="1"/>
          <w:i w:val="1"/>
          <w:iCs w:val="1"/>
          <w:color w:val="232F84"/>
        </w:rPr>
        <w:t>Our ability to serve our customers is a function of reliable and cost-effective transportation. Disruption of the supply of these services and/or significant increases in the cost of these services could impact our operating income.</w:t>
      </w:r>
    </w:p>
    <w:p>
      <w:pPr>
        <w:spacing w:after="0" w:line="168"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We use multiple forms of transportation to bring our products to market. They include sea, truck and air-cargo. Transportation costs include ship and truck operating expenses, using chartered refrigerated ships and trucks and container equipment related costs.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ability to serve our customers and consumers and could have an adverse effect on our financial performance.</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b w:val="1"/>
          <w:bCs w:val="1"/>
          <w:i w:val="1"/>
          <w:iCs w:val="1"/>
          <w:color w:val="232F84"/>
        </w:rPr>
        <w:t>We depend on our key personnel and if we lose the services of any of these individuals, or fail to attract and retain additional key personnel, we may not be able to implement our business strategy or operate our business effectively.</w:t>
      </w:r>
    </w:p>
    <w:p>
      <w:pPr>
        <w:spacing w:after="0" w:line="168" w:lineRule="exact"/>
        <w:rPr>
          <w:sz w:val="20"/>
          <w:szCs w:val="20"/>
          <w:color w:val="auto"/>
        </w:rPr>
      </w:pPr>
    </w:p>
    <w:p>
      <w:pPr>
        <w:ind w:right="180" w:firstLine="600"/>
        <w:spacing w:after="0" w:line="246" w:lineRule="auto"/>
        <w:rPr>
          <w:sz w:val="20"/>
          <w:szCs w:val="20"/>
          <w:color w:val="auto"/>
        </w:rPr>
      </w:pPr>
      <w:r>
        <w:rPr>
          <w:rFonts w:ascii="Arial" w:cs="Arial" w:eastAsia="Arial" w:hAnsi="Arial"/>
          <w:sz w:val="15"/>
          <w:szCs w:val="15"/>
          <w:color w:val="auto"/>
        </w:rPr>
        <w:t>Our future success largely depends on the contributions of our management team, including Stephen Barnard, our CEO. We believe that these individuals’ expertise and knowledge about our industry and their respective fields and their relationships with other individuals in our industry are critical factors to our continued growth and success. The loss of the services of any member of our senior management team could have a material adverse effect on our business and prospects. Our success also depends upon our ability to attract and retain additional qualified sales, marketing and other personnel.</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The operation of our facilities depends on adequate supply of labor and good labor relations with our employees.</w:t>
      </w:r>
    </w:p>
    <w:p>
      <w:pPr>
        <w:spacing w:after="0" w:line="220" w:lineRule="exact"/>
        <w:rPr>
          <w:sz w:val="20"/>
          <w:szCs w:val="20"/>
          <w:color w:val="auto"/>
        </w:rPr>
      </w:pPr>
    </w:p>
    <w:p>
      <w:pPr>
        <w:ind w:right="120" w:firstLine="600"/>
        <w:spacing w:after="0" w:line="253" w:lineRule="auto"/>
        <w:rPr>
          <w:sz w:val="20"/>
          <w:szCs w:val="20"/>
          <w:color w:val="auto"/>
        </w:rPr>
      </w:pPr>
      <w:r>
        <w:rPr>
          <w:rFonts w:ascii="Arial" w:cs="Arial" w:eastAsia="Arial" w:hAnsi="Arial"/>
          <w:sz w:val="15"/>
          <w:szCs w:val="15"/>
          <w:color w:val="auto"/>
        </w:rPr>
        <w:t>Our employees are essential to our operations and our ability to farm, package and/or deliver our products. If we are unable to attract and retain enough skilled personnel at a reasonable cost, our results may be negatively affected.</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i w:val="1"/>
          <w:iCs w:val="1"/>
          <w:color w:val="232F84"/>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68" w:lineRule="exact"/>
        <w:rPr>
          <w:sz w:val="20"/>
          <w:szCs w:val="20"/>
          <w:color w:val="auto"/>
        </w:rPr>
      </w:pPr>
    </w:p>
    <w:p>
      <w:pPr>
        <w:ind w:right="20" w:firstLine="600"/>
        <w:spacing w:after="0" w:line="244" w:lineRule="auto"/>
        <w:rPr>
          <w:sz w:val="20"/>
          <w:szCs w:val="20"/>
          <w:color w:val="auto"/>
        </w:rPr>
      </w:pPr>
      <w:r>
        <w:rPr>
          <w:rFonts w:ascii="Arial" w:cs="Arial" w:eastAsia="Arial" w:hAnsi="Arial"/>
          <w:sz w:val="15"/>
          <w:szCs w:val="15"/>
          <w:color w:val="auto"/>
        </w:rPr>
        <w:t>Our internal computer systems and those of our current and any future partners, contractors and consultants are vulnerable to damage from cyber-attacks, computer viruses, unauthorized access, natural disasters, terrorism, war and telecommunication and electrical failures. System failures, accidents or security breaches can cause interruptions in our operations and can result in a material disruption of our business operations. Experienced computer programmers and hackers may be able to penetrate our information technology security and misappropriate or compromise our confidential information or that of third parties, create system disruptions or cause shutdowns, or develop and deploy viruses, worms, and other malicious software programs that attack our programs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production, distribution or other critical functions.</w:t>
      </w:r>
    </w:p>
    <w:p>
      <w:pPr>
        <w:spacing w:after="0" w:line="196"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Portions of our information technology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Any delayed sales, lower profit or lost customers resulting from these disruptions could adversely affect our financial results, stock price and reputation.</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b w:val="1"/>
          <w:bCs w:val="1"/>
          <w:i w:val="1"/>
          <w:iCs w:val="1"/>
          <w:color w:val="232F84"/>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168"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In the ordinary course of business, we collect, store, process and transmit confidential business information and certain personal information relating to customers, employees and suppliers. 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w:t>
      </w: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have a material adverse effect on our business, financial condition, results of operations or prospects. Ongoing efforts to comply with evolving laws and regulations may be costly and require ongoing modifications to our policies, procedures and systems.</w:t>
      </w:r>
    </w:p>
    <w:p>
      <w:pPr>
        <w:spacing w:after="0" w:line="186"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Data privacy remains an evolving landscape at both the domestic and international level, with new regulations coming into effect. For example, in June 2018 the State of California enacted the California Consumer Privacy Act of 2018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In addition, in the European Economic Area, or EEA, and the United Kingdom we are subject to the General Data Protection Regulation, or GDPR, which went into effect in May 2018 and which imposes stringent data privacy and security requirements on companies in relation to the processing of personal data.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96"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74" w:lineRule="exact"/>
        <w:rPr>
          <w:sz w:val="20"/>
          <w:szCs w:val="20"/>
          <w:color w:val="auto"/>
        </w:rPr>
      </w:pPr>
    </w:p>
    <w:p>
      <w:pPr>
        <w:ind w:right="420"/>
        <w:spacing w:after="0" w:line="278" w:lineRule="auto"/>
        <w:rPr>
          <w:sz w:val="20"/>
          <w:szCs w:val="20"/>
          <w:color w:val="auto"/>
        </w:rPr>
      </w:pPr>
      <w:r>
        <w:rPr>
          <w:rFonts w:ascii="Arial" w:cs="Arial" w:eastAsia="Arial" w:hAnsi="Arial"/>
          <w:sz w:val="15"/>
          <w:szCs w:val="15"/>
          <w:b w:val="1"/>
          <w:bCs w:val="1"/>
          <w:i w:val="1"/>
          <w:iCs w:val="1"/>
          <w:color w:val="232F84"/>
        </w:rPr>
        <w:t>Our business depends on a strong and trusted brand, and any failure to maintain, protect, and enhance our brand would have an adverse impact on our business.</w:t>
      </w:r>
    </w:p>
    <w:p>
      <w:pPr>
        <w:spacing w:after="0" w:line="168" w:lineRule="exact"/>
        <w:rPr>
          <w:sz w:val="20"/>
          <w:szCs w:val="20"/>
          <w:color w:val="auto"/>
        </w:rPr>
      </w:pPr>
    </w:p>
    <w:p>
      <w:pPr>
        <w:ind w:right="140" w:firstLine="600"/>
        <w:spacing w:after="0" w:line="248" w:lineRule="auto"/>
        <w:rPr>
          <w:sz w:val="20"/>
          <w:szCs w:val="20"/>
          <w:color w:val="auto"/>
        </w:rPr>
      </w:pPr>
      <w:r>
        <w:rPr>
          <w:rFonts w:ascii="Arial" w:cs="Arial" w:eastAsia="Arial" w:hAnsi="Arial"/>
          <w:sz w:val="15"/>
          <w:szCs w:val="15"/>
          <w:color w:val="auto"/>
        </w:rPr>
        <w:t>Consumer and institutional recognition of the Mission Produce trademark and related brands and the association of these brands with our sourcing, production and distribution of fresh avocados are an integral part of our business. The occurrence of any events or rumors that cause consumers and/or institutions to no longer associate these brands with our products and services may materially adversely affect the value of our brand names and demand for our products and services.</w:t>
      </w:r>
    </w:p>
    <w:p>
      <w:pPr>
        <w:spacing w:after="0" w:line="190"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In addition, one registered trademark that we own has been opposed and the registered or unregistered trademarks or trade names that we own or may own in the future may be challenged, infringed, declared generic, or determined to be infringing on or dilutive of other marks. We may not be able to protect our rights in these trademarks and trade names, which we need in order to build name recognition with potential customers.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technologies and products.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We could be subject to changes in tax rates, the adoption of new U.S. or international tax legislation or exposure to additional tax liabilities.</w:t>
      </w:r>
    </w:p>
    <w:p>
      <w:pPr>
        <w:spacing w:after="0" w:line="220"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We are subject to taxes in the U.S., Mexico, Peru and other countries.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On December 30, 2020, Peru enacted tax law repealing current tax law which provided benefits to agribusiness entities. The new law will subject us to higher Peruvian corporate income tax rates than our current rate of 15% as follows: 20% for calendar years 2023 to 2024, 25% for calendar years 2025 to 2027, and 29.5% thereafter.</w:t>
      </w:r>
    </w:p>
    <w:p>
      <w:pPr>
        <w:spacing w:after="0" w:line="194"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We are also subject to the examination of our tax returns and other tax matters by the U.S. Internal Revenue Service (“IRS”), the Servicio de Administracion Tributaria in Mexico (“SAT”), the Superintendencia Nacional de Administración Tributaria in Peru (“SUNAT”) and other tax authorities. We regularly assess the likelihood of an adverse outcome resulting from these examinations to determine the adequacy of its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Risks Related to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An active, liquid and orderly market for our common stock may not be maintained.</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Prior to our IPO, there had been no public market for our common stock. Our common stock only recently began trading on Nasdaq, but we can provide no assurance that we will be able to maintain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76"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b w:val="1"/>
          <w:bCs w:val="1"/>
          <w:i w:val="1"/>
          <w:iCs w:val="1"/>
          <w:color w:val="232F84"/>
        </w:rPr>
        <w:t>The trading price of the shares of our common stock has been, and is likely to continue to be, highly volatile, and purchasers of our common stock could incur substantial losses.</w:t>
      </w:r>
    </w:p>
    <w:p>
      <w:pPr>
        <w:spacing w:after="0" w:line="168"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Our stock price has been and is likely to continue to be volatile. The stock market has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Our failure to meet the continued listing requirements of the Nasdaq could result in a delisting of our common stock.</w:t>
      </w:r>
    </w:p>
    <w:p>
      <w:pPr>
        <w:spacing w:after="0" w:line="220"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b w:val="1"/>
          <w:bCs w:val="1"/>
          <w:i w:val="1"/>
          <w:iCs w:val="1"/>
          <w:color w:val="232F84"/>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executive officers, directors and greater than 5% stockholders, in the aggregate, own approximately 46% of our outstanding common stock as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October 31, 2020. Furthermore, many of our current directors were appointed by our principal stockholders. As a result, such persons or their appointees to our Board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Directors, acting together, have the ability to control or significantly influence all matters submitted to our Board of Directors or stockholders for approval, including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appointment of our management, the election and removal of directors and approval of any significant transaction, as well as our management and business affairs. This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concentration of ownership may have the effect of delaying, deferring or preventing a change in control, impeding a merger, consolidation, takeover or other business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combination involving us, or discouraging a potential acquirer from making a tender offer or otherwise attempting to obtain control of our business, even if such 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transaction would benefit other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Because we may not pay any cash dividends on our capital stock in the foreseeable future, capital appreciation, if any, may be your sole source of gain.</w:t>
      </w:r>
    </w:p>
    <w:p>
      <w:pPr>
        <w:spacing w:after="0" w:line="220" w:lineRule="exact"/>
        <w:rPr>
          <w:sz w:val="20"/>
          <w:szCs w:val="20"/>
          <w:color w:val="auto"/>
        </w:rPr>
      </w:pPr>
    </w:p>
    <w:p>
      <w:pPr>
        <w:ind w:right="180" w:firstLine="600"/>
        <w:spacing w:after="0" w:line="246" w:lineRule="auto"/>
        <w:rPr>
          <w:sz w:val="20"/>
          <w:szCs w:val="20"/>
          <w:color w:val="auto"/>
        </w:rPr>
      </w:pPr>
      <w:r>
        <w:rPr>
          <w:rFonts w:ascii="Arial" w:cs="Arial" w:eastAsia="Arial" w:hAnsi="Arial"/>
          <w:sz w:val="15"/>
          <w:szCs w:val="15"/>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Any return to stockholders will therefore be limited to the appreciation of their stock. Shares of our common stock may not appreciate in value or even maintain the price at which stockholders have purchased their shares.</w:t>
      </w:r>
    </w:p>
    <w:p>
      <w:pPr>
        <w:spacing w:after="0" w:line="175"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i w:val="1"/>
          <w:iCs w:val="1"/>
          <w:color w:val="232F84"/>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68"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these sales may occur, could result in a decrease in the market price of our common stock. We had 70,550,922 shares of common stock outstanding as of October 31, 2020. In connection with our IPO, 59,975,922 shares are currently restricted as a result of securities laws or 180-day lock-up agreements (which may be waived, with or without notice, by BofA Securities, Inc. and J.P. Morgan Securities LLC but will be able to be sold beginning 180 days after the IPO, unless held by one of our affiliates, in which case the resale of those securities will be subject to volume limitations under Rule 144 of the Securities Act of 1933, as amended. We also intend to register all shares of common stock that we may issue under our equity compensation plans. Once we register these shares, they can be freely sold in the public market, subject to volume limitations applicable to affiliates and the lock-up agreements referred to above.</w:t>
      </w: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84"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b w:val="1"/>
          <w:bCs w:val="1"/>
          <w:i w:val="1"/>
          <w:iCs w:val="1"/>
          <w:color w:val="232F84"/>
        </w:rPr>
        <w:t>We are an emerging growth company, and the reduced disclosure and other procedural requirements applicable to emerging growth companies may make our common stock less attractive to investors.</w:t>
      </w:r>
    </w:p>
    <w:p>
      <w:pPr>
        <w:spacing w:after="0" w:line="168"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We are an emerging growth company, as defined in the Jumpstart Our Business Startups Act of 2012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3" w:lineRule="exact"/>
        <w:rPr>
          <w:sz w:val="20"/>
          <w:szCs w:val="20"/>
          <w:color w:val="auto"/>
        </w:rPr>
      </w:pPr>
    </w:p>
    <w:p>
      <w:pPr>
        <w:ind w:left="1200" w:right="160" w:hanging="300"/>
        <w:spacing w:after="0" w:line="253" w:lineRule="auto"/>
        <w:tabs>
          <w:tab w:leader="none" w:pos="1177"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 pursuant to the Sarbanes-Oxley Act;</w:t>
      </w:r>
    </w:p>
    <w:p>
      <w:pPr>
        <w:spacing w:after="0" w:line="186" w:lineRule="exact"/>
        <w:rPr>
          <w:rFonts w:ascii="Arial" w:cs="Arial" w:eastAsia="Arial" w:hAnsi="Arial"/>
          <w:sz w:val="15"/>
          <w:szCs w:val="15"/>
          <w:color w:val="auto"/>
        </w:rPr>
      </w:pPr>
    </w:p>
    <w:p>
      <w:pPr>
        <w:ind w:left="1200" w:right="40" w:hanging="300"/>
        <w:spacing w:after="0" w:line="248" w:lineRule="auto"/>
        <w:tabs>
          <w:tab w:leader="none" w:pos="1177"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90" w:lineRule="exact"/>
        <w:rPr>
          <w:rFonts w:ascii="Arial" w:cs="Arial" w:eastAsia="Arial" w:hAnsi="Arial"/>
          <w:sz w:val="15"/>
          <w:szCs w:val="15"/>
          <w:color w:val="auto"/>
        </w:rPr>
      </w:pPr>
    </w:p>
    <w:p>
      <w:pPr>
        <w:ind w:left="1180" w:hanging="280"/>
        <w:spacing w:after="0"/>
        <w:tabs>
          <w:tab w:leader="none" w:pos="1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02" w:lineRule="exact"/>
        <w:rPr>
          <w:rFonts w:ascii="Arial" w:cs="Arial" w:eastAsia="Arial" w:hAnsi="Arial"/>
          <w:sz w:val="15"/>
          <w:szCs w:val="15"/>
          <w:color w:val="auto"/>
        </w:rPr>
      </w:pPr>
    </w:p>
    <w:p>
      <w:pPr>
        <w:ind w:left="1200" w:right="20" w:hanging="300"/>
        <w:spacing w:after="0" w:line="253" w:lineRule="auto"/>
        <w:tabs>
          <w:tab w:leader="none" w:pos="1177"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86"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as a result, our financial statements may not be comparable to companies that comply with public company effective dates. Investors may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76"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b w:val="1"/>
          <w:bCs w:val="1"/>
          <w:i w:val="1"/>
          <w:iCs w:val="1"/>
          <w:color w:val="232F84"/>
        </w:rPr>
        <w:t>We incur significant costs as a result of operating as a public company, and our management will be required to devote substantial time to new compliance initiatives.</w:t>
      </w:r>
    </w:p>
    <w:p>
      <w:pPr>
        <w:spacing w:after="0" w:line="168" w:lineRule="exact"/>
        <w:rPr>
          <w:sz w:val="20"/>
          <w:szCs w:val="20"/>
          <w:color w:val="auto"/>
        </w:rPr>
      </w:pPr>
    </w:p>
    <w:p>
      <w:pPr>
        <w:ind w:right="20" w:firstLine="600"/>
        <w:spacing w:after="0" w:line="264" w:lineRule="auto"/>
        <w:rPr>
          <w:sz w:val="20"/>
          <w:szCs w:val="20"/>
          <w:color w:val="auto"/>
        </w:rPr>
      </w:pPr>
      <w:r>
        <w:rPr>
          <w:rFonts w:ascii="Arial" w:cs="Arial" w:eastAsia="Arial" w:hAnsi="Arial"/>
          <w:sz w:val="14"/>
          <w:szCs w:val="14"/>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3"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We expect the rules and regulations applicable to public companies to substantially increase our legal and financial compliance costs and to make some activities more time consuming.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these rules and regulations have made it more difficult and more expensive for us to obtain director and officer liability insurance, requiring us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4" w:lineRule="exact"/>
        <w:rPr>
          <w:sz w:val="20"/>
          <w:szCs w:val="20"/>
          <w:color w:val="auto"/>
        </w:rPr>
      </w:pPr>
    </w:p>
    <w:p>
      <w:pPr>
        <w:jc w:val="both"/>
        <w:ind w:right="480"/>
        <w:spacing w:after="0" w:line="278" w:lineRule="auto"/>
        <w:rPr>
          <w:sz w:val="20"/>
          <w:szCs w:val="20"/>
          <w:color w:val="auto"/>
        </w:rPr>
      </w:pPr>
      <w:r>
        <w:rPr>
          <w:rFonts w:ascii="Arial" w:cs="Arial" w:eastAsia="Arial" w:hAnsi="Arial"/>
          <w:sz w:val="15"/>
          <w:szCs w:val="15"/>
          <w:b w:val="1"/>
          <w:bCs w:val="1"/>
          <w:i w:val="1"/>
          <w:iCs w:val="1"/>
          <w:color w:val="232F84"/>
        </w:rPr>
        <w:t>If securities or industry analysts do not publish research or reports or publish unfavorable research or reports about our business, our stock price and trading volume could decline.</w:t>
      </w:r>
    </w:p>
    <w:p>
      <w:pPr>
        <w:spacing w:after="0" w:line="131" w:lineRule="exact"/>
        <w:rPr>
          <w:sz w:val="20"/>
          <w:szCs w:val="20"/>
          <w:color w:val="auto"/>
        </w:rPr>
      </w:pPr>
    </w:p>
    <w:p>
      <w:pPr>
        <w:jc w:val="both"/>
        <w:ind w:right="460" w:firstLine="408"/>
        <w:spacing w:after="0" w:line="248" w:lineRule="auto"/>
        <w:rPr>
          <w:sz w:val="20"/>
          <w:szCs w:val="20"/>
          <w:color w:val="auto"/>
        </w:rPr>
      </w:pPr>
      <w:r>
        <w:rPr>
          <w:rFonts w:ascii="Arial" w:cs="Arial" w:eastAsia="Arial" w:hAnsi="Arial"/>
          <w:sz w:val="15"/>
          <w:szCs w:val="15"/>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64" w:lineRule="exact"/>
        <w:rPr>
          <w:sz w:val="20"/>
          <w:szCs w:val="20"/>
          <w:color w:val="auto"/>
        </w:rPr>
      </w:pPr>
    </w:p>
    <w:p>
      <w:pPr>
        <w:ind w:right="480"/>
        <w:spacing w:after="0" w:line="253" w:lineRule="auto"/>
        <w:rPr>
          <w:sz w:val="20"/>
          <w:szCs w:val="20"/>
          <w:color w:val="auto"/>
        </w:rPr>
      </w:pPr>
      <w:r>
        <w:rPr>
          <w:rFonts w:ascii="Arial" w:cs="Arial" w:eastAsia="Arial" w:hAnsi="Arial"/>
          <w:sz w:val="15"/>
          <w:szCs w:val="15"/>
          <w:color w:val="auto"/>
        </w:rPr>
        <w:t>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68"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i w:val="1"/>
          <w:iCs w:val="1"/>
          <w:color w:val="232F84"/>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68" w:lineRule="exact"/>
        <w:rPr>
          <w:sz w:val="20"/>
          <w:szCs w:val="20"/>
          <w:color w:val="auto"/>
        </w:rPr>
      </w:pPr>
    </w:p>
    <w:p>
      <w:pPr>
        <w:ind w:right="100" w:firstLine="600"/>
        <w:spacing w:after="0" w:line="265" w:lineRule="auto"/>
        <w:rPr>
          <w:sz w:val="20"/>
          <w:szCs w:val="20"/>
          <w:color w:val="auto"/>
        </w:rPr>
      </w:pPr>
      <w:r>
        <w:rPr>
          <w:rFonts w:ascii="Arial" w:cs="Arial" w:eastAsia="Arial" w:hAnsi="Arial"/>
          <w:sz w:val="14"/>
          <w:szCs w:val="14"/>
          <w:color w:val="auto"/>
        </w:rPr>
        <w:t>Pursuant to Section 404 of Sarbanes-Oxley, our management will be required to report upon the effectiveness of our internal control over financial reporting beginning with the annual report for our fiscal year ending October 31, 2021.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additional financial and management controls, reporting systems and procedures; and hired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There could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4"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i w:val="1"/>
          <w:iCs w:val="1"/>
          <w:color w:val="232F84"/>
        </w:rPr>
        <w:t>Provisions in our charter documents and under Delaware law could discourage a takeover that stockholders may consider favorable and may lead to entrenchment of management.</w:t>
      </w:r>
    </w:p>
    <w:p>
      <w:pPr>
        <w:spacing w:after="0" w:line="168"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2" w:lineRule="exact"/>
        <w:rPr>
          <w:sz w:val="20"/>
          <w:szCs w:val="20"/>
          <w:color w:val="auto"/>
        </w:rPr>
      </w:pPr>
    </w:p>
    <w:p>
      <w:pPr>
        <w:ind w:left="1200" w:right="140" w:hanging="300"/>
        <w:spacing w:after="0" w:line="248"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90" w:lineRule="exact"/>
        <w:rPr>
          <w:rFonts w:ascii="Arial" w:cs="Arial" w:eastAsia="Arial" w:hAnsi="Arial"/>
          <w:sz w:val="15"/>
          <w:szCs w:val="15"/>
          <w:color w:val="auto"/>
        </w:rPr>
      </w:pPr>
    </w:p>
    <w:p>
      <w:pPr>
        <w:ind w:left="1200" w:right="60" w:hanging="300"/>
        <w:spacing w:after="0" w:line="253"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86" w:lineRule="exact"/>
        <w:rPr>
          <w:rFonts w:ascii="Arial" w:cs="Arial" w:eastAsia="Arial" w:hAnsi="Arial"/>
          <w:sz w:val="15"/>
          <w:szCs w:val="15"/>
          <w:color w:val="auto"/>
        </w:rPr>
      </w:pPr>
    </w:p>
    <w:p>
      <w:pPr>
        <w:ind w:left="1180" w:hanging="280"/>
        <w:spacing w:after="0"/>
        <w:tabs>
          <w:tab w:leader="none" w:pos="1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stockholders may not act by written consent, which forces stockholder action to be taken at an annual or special meeting of our stockholders;</w:t>
      </w:r>
    </w:p>
    <w:p>
      <w:pPr>
        <w:spacing w:after="0" w:line="202" w:lineRule="exact"/>
        <w:rPr>
          <w:rFonts w:ascii="Arial" w:cs="Arial" w:eastAsia="Arial" w:hAnsi="Arial"/>
          <w:sz w:val="15"/>
          <w:szCs w:val="15"/>
          <w:color w:val="auto"/>
        </w:rPr>
      </w:pPr>
    </w:p>
    <w:p>
      <w:pPr>
        <w:ind w:left="1200" w:right="100" w:hanging="300"/>
        <w:spacing w:after="0" w:line="253"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special meeting of stockholders may be called only by the chairperson of our Board of Directors, our chief executive officer, president or our Board of Directors, which may delay the ability of our stockholders to force consideration of a proposal or to take action, including the removal of directors;</w:t>
      </w:r>
    </w:p>
    <w:p>
      <w:pPr>
        <w:spacing w:after="0" w:line="186" w:lineRule="exact"/>
        <w:rPr>
          <w:rFonts w:ascii="Arial" w:cs="Arial" w:eastAsia="Arial" w:hAnsi="Arial"/>
          <w:sz w:val="15"/>
          <w:szCs w:val="15"/>
          <w:color w:val="auto"/>
        </w:rPr>
      </w:pPr>
    </w:p>
    <w:p>
      <w:pPr>
        <w:ind w:left="1200" w:right="720" w:hanging="300"/>
        <w:spacing w:after="0" w:line="253"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amended and restated certificate of incorporation prohibits cumulative voting in the election of directors, which limits the ability of minority stockholders to elect director candidates;</w:t>
      </w:r>
    </w:p>
    <w:p>
      <w:pPr>
        <w:spacing w:after="0" w:line="186" w:lineRule="exact"/>
        <w:rPr>
          <w:rFonts w:ascii="Arial" w:cs="Arial" w:eastAsia="Arial" w:hAnsi="Arial"/>
          <w:sz w:val="15"/>
          <w:szCs w:val="15"/>
          <w:color w:val="auto"/>
        </w:rPr>
      </w:pPr>
    </w:p>
    <w:p>
      <w:pPr>
        <w:ind w:left="1180" w:hanging="280"/>
        <w:spacing w:after="0"/>
        <w:tabs>
          <w:tab w:leader="none" w:pos="1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Board of Directors may alter provisions of our bylaws without obtaining stockholder approval;</w:t>
      </w:r>
    </w:p>
    <w:p>
      <w:pPr>
        <w:spacing w:after="0" w:line="202" w:lineRule="exact"/>
        <w:rPr>
          <w:rFonts w:ascii="Arial" w:cs="Arial" w:eastAsia="Arial" w:hAnsi="Arial"/>
          <w:sz w:val="15"/>
          <w:szCs w:val="15"/>
          <w:color w:val="auto"/>
        </w:rPr>
      </w:pPr>
    </w:p>
    <w:p>
      <w:pPr>
        <w:ind w:left="1200" w:hanging="300"/>
        <w:spacing w:after="0" w:line="253"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86" w:lineRule="exact"/>
        <w:rPr>
          <w:rFonts w:ascii="Arial" w:cs="Arial" w:eastAsia="Arial" w:hAnsi="Arial"/>
          <w:sz w:val="15"/>
          <w:szCs w:val="15"/>
          <w:color w:val="auto"/>
        </w:rPr>
      </w:pPr>
    </w:p>
    <w:p>
      <w:pPr>
        <w:ind w:left="1200" w:right="20" w:hanging="300"/>
        <w:spacing w:after="0" w:line="253" w:lineRule="auto"/>
        <w:tabs>
          <w:tab w:leader="none" w:pos="11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stockholders must provide advance notice and additional disclosures in order to nominate individuals for election to the Board of Directors or to propose matters that can be acted upon at a stockholders’ meeting, which may discourage or deter a</w:t>
      </w: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01" w:lineRule="exact"/>
        <w:rPr>
          <w:sz w:val="20"/>
          <w:szCs w:val="20"/>
          <w:color w:val="auto"/>
        </w:rPr>
      </w:pPr>
    </w:p>
    <w:p>
      <w:pPr>
        <w:ind w:left="1200" w:right="140"/>
        <w:spacing w:after="0" w:line="253" w:lineRule="auto"/>
        <w:rPr>
          <w:sz w:val="20"/>
          <w:szCs w:val="20"/>
          <w:color w:val="auto"/>
        </w:rPr>
      </w:pPr>
      <w:r>
        <w:rPr>
          <w:rFonts w:ascii="Arial" w:cs="Arial" w:eastAsia="Arial" w:hAnsi="Arial"/>
          <w:sz w:val="15"/>
          <w:szCs w:val="15"/>
          <w:color w:val="auto"/>
        </w:rPr>
        <w:t>potential acquirer from conducting a solicitation of proxies to elect the acquirer’s own slate of directors or otherwise attempting to obtain control of our company; and</w:t>
      </w:r>
    </w:p>
    <w:p>
      <w:pPr>
        <w:spacing w:after="0" w:line="186" w:lineRule="exact"/>
        <w:rPr>
          <w:sz w:val="20"/>
          <w:szCs w:val="20"/>
          <w:color w:val="auto"/>
        </w:rPr>
      </w:pPr>
    </w:p>
    <w:p>
      <w:pPr>
        <w:ind w:left="1200" w:right="280" w:hanging="300"/>
        <w:spacing w:after="0" w:line="253" w:lineRule="auto"/>
        <w:tabs>
          <w:tab w:leader="none" w:pos="1177"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86" w:lineRule="exact"/>
        <w:rPr>
          <w:sz w:val="20"/>
          <w:szCs w:val="20"/>
          <w:color w:val="auto"/>
        </w:rPr>
      </w:pPr>
    </w:p>
    <w:p>
      <w:pPr>
        <w:ind w:right="500" w:firstLine="600"/>
        <w:spacing w:after="0" w:line="274"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b w:val="1"/>
          <w:bCs w:val="1"/>
          <w:i w:val="1"/>
          <w:iCs w:val="1"/>
          <w:color w:val="232F84"/>
        </w:rPr>
        <w:t>Our amended and restated certificate of incorporation provides that the Chancery Court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firstLine="600"/>
        <w:spacing w:after="0" w:line="243" w:lineRule="auto"/>
        <w:rPr>
          <w:sz w:val="20"/>
          <w:szCs w:val="20"/>
          <w:color w:val="auto"/>
        </w:rPr>
      </w:pPr>
      <w:r>
        <w:rPr>
          <w:rFonts w:ascii="Arial" w:cs="Arial" w:eastAsia="Arial" w:hAnsi="Arial"/>
          <w:sz w:val="15"/>
          <w:szCs w:val="15"/>
          <w:color w:val="auto"/>
        </w:rPr>
        <w:t>Our amended and restated certificate of incorporation provide that, unless we consent in writing to the selection of an alternative form,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w:t>
      </w:r>
    </w:p>
    <w:p>
      <w:pPr>
        <w:spacing w:after="0" w:line="1" w:lineRule="exact"/>
        <w:rPr>
          <w:sz w:val="20"/>
          <w:szCs w:val="20"/>
          <w:color w:val="auto"/>
        </w:rPr>
      </w:pPr>
    </w:p>
    <w:p>
      <w:pPr>
        <w:ind w:left="200" w:hanging="200"/>
        <w:spacing w:after="0"/>
        <w:tabs>
          <w:tab w:leader="none" w:pos="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action, suit or proceeding asserting a claim of breach of a fiduciary duty owed by any of our directors, officers or stockholders owed to us or our stockholders;</w:t>
      </w:r>
    </w:p>
    <w:p>
      <w:pPr>
        <w:spacing w:after="0" w:line="2" w:lineRule="exact"/>
        <w:rPr>
          <w:rFonts w:ascii="Arial" w:cs="Arial" w:eastAsia="Arial" w:hAnsi="Arial"/>
          <w:sz w:val="15"/>
          <w:szCs w:val="15"/>
          <w:color w:val="auto"/>
        </w:rPr>
      </w:pPr>
    </w:p>
    <w:p>
      <w:pPr>
        <w:ind w:right="20"/>
        <w:spacing w:after="0" w:line="245" w:lineRule="auto"/>
        <w:tabs>
          <w:tab w:leader="none" w:pos="241"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action, suit or proceeding asserting a claim against us arising pursuant to any provision of the Delaware General Corporation Law, our amended and restated certificate of incorporation or our bylaws (as either may be amended from time to time); or (iv) any action, suit or proceeding asserting a claim against us governed by the internal affairs doctrine.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w:t>
      </w:r>
    </w:p>
    <w:p>
      <w:pPr>
        <w:spacing w:after="0" w:line="194"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Notwithstanding the foregoing, the exclusive forum provision does not apply to suits brought to enforce any liability or duty created by the Exchange Act, the Securities Act or any claim for which the federal courts have exclusive jurisdiction. Our amended and restated certificate of incorporation provides that the federal district courts of the United States of America will be the exclusive forum for resolving any complaint asserting a cause of action arising under the Securities Act. If any such action is filed in a court other than a court located within the State of Delaware (a “foreign action”) in the name of any stockholder, such stockholder will be deemed to have consented to (a) the personal jurisdiction of the state and federal courts located within the State of Delaware in connection with any action brought in any such court to enforce such actions and (b) having service of process made upon such stockholder in any such action by service upon such stockholder’s counsel in the foreign action as agent for such stockholder.</w:t>
      </w:r>
    </w:p>
    <w:p>
      <w:pPr>
        <w:spacing w:after="0" w:line="192" w:lineRule="exact"/>
        <w:rPr>
          <w:sz w:val="20"/>
          <w:szCs w:val="20"/>
          <w:color w:val="auto"/>
        </w:rPr>
      </w:pPr>
    </w:p>
    <w:p>
      <w:pPr>
        <w:ind w:right="300" w:firstLine="600"/>
        <w:spacing w:after="0" w:line="246"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314"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b w:val="1"/>
          <w:bCs w:val="1"/>
          <w:color w:val="232F84"/>
        </w:rPr>
        <w:t>Item 1B.</w:t>
      </w:r>
      <w:r>
        <w:rPr>
          <w:sz w:val="20"/>
          <w:szCs w:val="20"/>
          <w:color w:val="auto"/>
        </w:rPr>
        <w:tab/>
      </w:r>
      <w:r>
        <w:rPr>
          <w:rFonts w:ascii="Arial" w:cs="Arial" w:eastAsia="Arial" w:hAnsi="Arial"/>
          <w:sz w:val="23"/>
          <w:szCs w:val="23"/>
          <w:b w:val="1"/>
          <w:bCs w:val="1"/>
          <w:color w:val="232F84"/>
        </w:rPr>
        <w:t>Unresolved Staff Comments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20"/>
          </w:cols>
          <w:pgMar w:left="320" w:top="1440" w:right="359" w:bottom="1440" w:gutter="0" w:footer="0" w:header="0"/>
        </w:sectPr>
      </w:pPr>
    </w:p>
    <w:bookmarkStart w:id="20" w:name="page21"/>
    <w:bookmarkEnd w:id="20"/>
    <w:p>
      <w:pPr>
        <w:spacing w:after="0"/>
        <w:tabs>
          <w:tab w:leader="none" w:pos="1240" w:val="left"/>
        </w:tabs>
        <w:rPr>
          <w:sz w:val="20"/>
          <w:szCs w:val="20"/>
          <w:color w:val="auto"/>
        </w:rPr>
      </w:pPr>
      <w:r>
        <w:rPr>
          <w:rFonts w:ascii="Arial" w:cs="Arial" w:eastAsia="Arial" w:hAnsi="Arial"/>
          <w:sz w:val="23"/>
          <w:szCs w:val="23"/>
          <w:b w:val="1"/>
          <w:bCs w:val="1"/>
          <w:color w:val="232F84"/>
        </w:rPr>
        <w:t>Item 2.</w:t>
      </w:r>
      <w:r>
        <w:rPr>
          <w:sz w:val="20"/>
          <w:szCs w:val="20"/>
          <w:color w:val="auto"/>
        </w:rPr>
        <w:tab/>
      </w:r>
      <w:r>
        <w:rPr>
          <w:rFonts w:ascii="Arial" w:cs="Arial" w:eastAsia="Arial" w:hAnsi="Arial"/>
          <w:sz w:val="23"/>
          <w:szCs w:val="23"/>
          <w:b w:val="1"/>
          <w:bCs w:val="1"/>
          <w:color w:val="232F84"/>
        </w:rPr>
        <w:t>Properties</w:t>
      </w:r>
    </w:p>
    <w:p>
      <w:pPr>
        <w:spacing w:after="0" w:line="239" w:lineRule="exact"/>
        <w:rPr>
          <w:sz w:val="20"/>
          <w:szCs w:val="20"/>
          <w:color w:val="auto"/>
        </w:rPr>
      </w:pPr>
    </w:p>
    <w:p>
      <w:pPr>
        <w:ind w:right="100" w:firstLine="600"/>
        <w:spacing w:after="0" w:line="248" w:lineRule="auto"/>
        <w:rPr>
          <w:sz w:val="20"/>
          <w:szCs w:val="20"/>
          <w:color w:val="auto"/>
        </w:rPr>
      </w:pPr>
      <w:r>
        <w:rPr>
          <w:rFonts w:ascii="Arial" w:cs="Arial" w:eastAsia="Arial" w:hAnsi="Arial"/>
          <w:sz w:val="15"/>
          <w:szCs w:val="15"/>
          <w:color w:val="auto"/>
        </w:rPr>
        <w:t>Our headquarters are in Oxnard, California, where we lease approximately 20,000 square feet of space. In fiscal year 2020, we leased approximately 52,000 of space at another facility, where we expect to move our headquarters to by the second quarter of fiscal year 2021, once leasehold improvements are complete. Our principal operating, distribution, and packing facilities as of October 31, 2020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00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Type</w:t>
            </w:r>
          </w:p>
        </w:tc>
        <w:tc>
          <w:tcPr>
            <w:tcW w:w="352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b w:val="1"/>
                <w:bCs w:val="1"/>
                <w:color w:val="auto"/>
              </w:rPr>
              <w:t>Approximate Square Footage</w:t>
            </w:r>
          </w:p>
        </w:tc>
        <w:tc>
          <w:tcPr>
            <w:tcW w:w="2220" w:type="dxa"/>
            <w:vAlign w:val="bottom"/>
            <w:tcBorders>
              <w:bottom w:val="single" w:sz="8" w:color="auto"/>
            </w:tcBorders>
          </w:tcPr>
          <w:p>
            <w:pPr>
              <w:jc w:val="center"/>
              <w:ind w:right="253"/>
              <w:spacing w:after="0"/>
              <w:rPr>
                <w:sz w:val="20"/>
                <w:szCs w:val="20"/>
                <w:color w:val="auto"/>
              </w:rPr>
            </w:pPr>
            <w:r>
              <w:rPr>
                <w:rFonts w:ascii="Arial" w:cs="Arial" w:eastAsia="Arial" w:hAnsi="Arial"/>
                <w:sz w:val="13"/>
                <w:szCs w:val="13"/>
                <w:b w:val="1"/>
                <w:bCs w:val="1"/>
                <w:color w:val="auto"/>
              </w:rPr>
              <w:t>Owned or Leased</w:t>
            </w:r>
          </w:p>
        </w:tc>
      </w:tr>
      <w:tr>
        <w:trPr>
          <w:trHeight w:val="197"/>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Laredo, Tex.</w:t>
            </w:r>
            <w:r>
              <w:rPr>
                <w:rFonts w:ascii="Arial" w:cs="Arial" w:eastAsia="Arial" w:hAnsi="Arial"/>
                <w:sz w:val="17"/>
                <w:szCs w:val="17"/>
                <w:color w:val="auto"/>
                <w:vertAlign w:val="superscript"/>
              </w:rPr>
              <w:t>(1)</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262,000</w:t>
            </w:r>
          </w:p>
        </w:tc>
        <w:tc>
          <w:tcPr>
            <w:tcW w:w="2220" w:type="dxa"/>
            <w:vAlign w:val="bottom"/>
            <w:shd w:val="clear" w:color="auto" w:fill="CCEEFF"/>
          </w:tcPr>
          <w:p>
            <w:pPr>
              <w:jc w:val="center"/>
              <w:ind w:right="253"/>
              <w:spacing w:after="0"/>
              <w:rPr>
                <w:sz w:val="20"/>
                <w:szCs w:val="20"/>
                <w:color w:val="auto"/>
              </w:rPr>
            </w:pPr>
            <w:r>
              <w:rPr>
                <w:rFonts w:ascii="Arial" w:cs="Arial" w:eastAsia="Arial" w:hAnsi="Arial"/>
                <w:sz w:val="13"/>
                <w:szCs w:val="13"/>
                <w:color w:val="auto"/>
              </w:rPr>
              <w:t>Owned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Chao, Peru</w:t>
            </w:r>
          </w:p>
        </w:tc>
        <w:tc>
          <w:tcPr>
            <w:tcW w:w="3000" w:type="dxa"/>
            <w:vAlign w:val="bottom"/>
          </w:tcPr>
          <w:p>
            <w:pPr>
              <w:ind w:left="1120"/>
              <w:spacing w:after="0"/>
              <w:rPr>
                <w:sz w:val="20"/>
                <w:szCs w:val="20"/>
                <w:color w:val="auto"/>
              </w:rPr>
            </w:pPr>
            <w:r>
              <w:rPr>
                <w:rFonts w:ascii="Arial" w:cs="Arial" w:eastAsia="Arial" w:hAnsi="Arial"/>
                <w:sz w:val="13"/>
                <w:szCs w:val="13"/>
                <w:color w:val="auto"/>
              </w:rPr>
              <w:t>Packing</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250,000</w:t>
            </w:r>
          </w:p>
        </w:tc>
        <w:tc>
          <w:tcPr>
            <w:tcW w:w="2220" w:type="dxa"/>
            <w:vAlign w:val="bottom"/>
          </w:tcPr>
          <w:p>
            <w:pPr>
              <w:jc w:val="center"/>
              <w:ind w:right="253"/>
              <w:spacing w:after="0"/>
              <w:rPr>
                <w:sz w:val="20"/>
                <w:szCs w:val="20"/>
                <w:color w:val="auto"/>
              </w:rPr>
            </w:pPr>
            <w:r>
              <w:rPr>
                <w:rFonts w:ascii="Arial" w:cs="Arial" w:eastAsia="Arial" w:hAnsi="Arial"/>
                <w:sz w:val="13"/>
                <w:szCs w:val="13"/>
                <w:color w:val="auto"/>
              </w:rPr>
              <w:t>Owned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Oxnard, Calif.</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 packing</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230,000</w:t>
            </w:r>
          </w:p>
        </w:tc>
        <w:tc>
          <w:tcPr>
            <w:tcW w:w="2220" w:type="dxa"/>
            <w:vAlign w:val="bottom"/>
            <w:shd w:val="clear" w:color="auto" w:fill="CCEEFF"/>
          </w:tcPr>
          <w:p>
            <w:pPr>
              <w:jc w:val="center"/>
              <w:ind w:right="253"/>
              <w:spacing w:after="0"/>
              <w:rPr>
                <w:sz w:val="20"/>
                <w:szCs w:val="20"/>
                <w:color w:val="auto"/>
              </w:rPr>
            </w:pPr>
            <w:r>
              <w:rPr>
                <w:rFonts w:ascii="Arial" w:cs="Arial" w:eastAsia="Arial" w:hAnsi="Arial"/>
                <w:sz w:val="13"/>
                <w:szCs w:val="13"/>
                <w:color w:val="auto"/>
              </w:rPr>
              <w:t>Owned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Swedesboro, N.J.</w:t>
            </w:r>
          </w:p>
        </w:tc>
        <w:tc>
          <w:tcPr>
            <w:tcW w:w="3000" w:type="dxa"/>
            <w:vAlign w:val="bottom"/>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100,000</w:t>
            </w:r>
          </w:p>
        </w:tc>
        <w:tc>
          <w:tcPr>
            <w:tcW w:w="2220" w:type="dxa"/>
            <w:vAlign w:val="bottom"/>
          </w:tcPr>
          <w:p>
            <w:pPr>
              <w:jc w:val="center"/>
              <w:ind w:right="233"/>
              <w:spacing w:after="0"/>
              <w:rPr>
                <w:sz w:val="20"/>
                <w:szCs w:val="20"/>
                <w:color w:val="auto"/>
              </w:rPr>
            </w:pPr>
            <w:r>
              <w:rPr>
                <w:rFonts w:ascii="Arial" w:cs="Arial" w:eastAsia="Arial" w:hAnsi="Arial"/>
                <w:sz w:val="13"/>
                <w:szCs w:val="13"/>
                <w:color w:val="auto"/>
              </w:rPr>
              <w:t>Leased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Uruapan, Mexico</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Packing</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90,000</w:t>
            </w:r>
          </w:p>
        </w:tc>
        <w:tc>
          <w:tcPr>
            <w:tcW w:w="2220" w:type="dxa"/>
            <w:vAlign w:val="bottom"/>
            <w:shd w:val="clear" w:color="auto" w:fill="CCEEFF"/>
          </w:tcPr>
          <w:p>
            <w:pPr>
              <w:jc w:val="center"/>
              <w:ind w:right="253"/>
              <w:spacing w:after="0"/>
              <w:rPr>
                <w:sz w:val="20"/>
                <w:szCs w:val="20"/>
                <w:color w:val="auto"/>
              </w:rPr>
            </w:pPr>
            <w:r>
              <w:rPr>
                <w:rFonts w:ascii="Arial" w:cs="Arial" w:eastAsia="Arial" w:hAnsi="Arial"/>
                <w:sz w:val="13"/>
                <w:szCs w:val="13"/>
                <w:color w:val="auto"/>
              </w:rPr>
              <w:t>Owned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Zamora, Mexico</w:t>
            </w:r>
          </w:p>
        </w:tc>
        <w:tc>
          <w:tcPr>
            <w:tcW w:w="3000" w:type="dxa"/>
            <w:vAlign w:val="bottom"/>
          </w:tcPr>
          <w:p>
            <w:pPr>
              <w:ind w:left="1120"/>
              <w:spacing w:after="0"/>
              <w:rPr>
                <w:sz w:val="20"/>
                <w:szCs w:val="20"/>
                <w:color w:val="auto"/>
              </w:rPr>
            </w:pPr>
            <w:r>
              <w:rPr>
                <w:rFonts w:ascii="Arial" w:cs="Arial" w:eastAsia="Arial" w:hAnsi="Arial"/>
                <w:sz w:val="13"/>
                <w:szCs w:val="13"/>
                <w:color w:val="auto"/>
              </w:rPr>
              <w:t>Packing</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80,000</w:t>
            </w:r>
          </w:p>
        </w:tc>
        <w:tc>
          <w:tcPr>
            <w:tcW w:w="2220" w:type="dxa"/>
            <w:vAlign w:val="bottom"/>
          </w:tcPr>
          <w:p>
            <w:pPr>
              <w:jc w:val="center"/>
              <w:ind w:right="253"/>
              <w:spacing w:after="0"/>
              <w:rPr>
                <w:sz w:val="20"/>
                <w:szCs w:val="20"/>
                <w:color w:val="auto"/>
              </w:rPr>
            </w:pPr>
            <w:r>
              <w:rPr>
                <w:rFonts w:ascii="Arial" w:cs="Arial" w:eastAsia="Arial" w:hAnsi="Arial"/>
                <w:sz w:val="13"/>
                <w:szCs w:val="13"/>
                <w:color w:val="auto"/>
              </w:rPr>
              <w:t>Owned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Portland, Or.</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58,000</w:t>
            </w:r>
          </w:p>
        </w:tc>
        <w:tc>
          <w:tcPr>
            <w:tcW w:w="2220" w:type="dxa"/>
            <w:vAlign w:val="bottom"/>
            <w:shd w:val="clear" w:color="auto" w:fill="CCEEFF"/>
          </w:tcPr>
          <w:p>
            <w:pPr>
              <w:jc w:val="center"/>
              <w:ind w:right="233"/>
              <w:spacing w:after="0"/>
              <w:rPr>
                <w:sz w:val="20"/>
                <w:szCs w:val="20"/>
                <w:color w:val="auto"/>
              </w:rPr>
            </w:pPr>
            <w:r>
              <w:rPr>
                <w:rFonts w:ascii="Arial" w:cs="Arial" w:eastAsia="Arial" w:hAnsi="Arial"/>
                <w:sz w:val="13"/>
                <w:szCs w:val="13"/>
                <w:color w:val="auto"/>
              </w:rPr>
              <w:t>Leased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Atlanta, Ga.</w:t>
            </w:r>
          </w:p>
        </w:tc>
        <w:tc>
          <w:tcPr>
            <w:tcW w:w="3000" w:type="dxa"/>
            <w:vAlign w:val="bottom"/>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54,000</w:t>
            </w:r>
          </w:p>
        </w:tc>
        <w:tc>
          <w:tcPr>
            <w:tcW w:w="2220" w:type="dxa"/>
            <w:vAlign w:val="bottom"/>
          </w:tcPr>
          <w:p>
            <w:pPr>
              <w:jc w:val="center"/>
              <w:ind w:right="233"/>
              <w:spacing w:after="0"/>
              <w:rPr>
                <w:sz w:val="20"/>
                <w:szCs w:val="20"/>
                <w:color w:val="auto"/>
              </w:rPr>
            </w:pPr>
            <w:r>
              <w:rPr>
                <w:rFonts w:ascii="Arial" w:cs="Arial" w:eastAsia="Arial" w:hAnsi="Arial"/>
                <w:sz w:val="13"/>
                <w:szCs w:val="13"/>
                <w:color w:val="auto"/>
              </w:rPr>
              <w:t>Leased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Denver, Colo.</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42,000</w:t>
            </w:r>
          </w:p>
        </w:tc>
        <w:tc>
          <w:tcPr>
            <w:tcW w:w="2220" w:type="dxa"/>
            <w:vAlign w:val="bottom"/>
            <w:shd w:val="clear" w:color="auto" w:fill="CCEEFF"/>
          </w:tcPr>
          <w:p>
            <w:pPr>
              <w:jc w:val="center"/>
              <w:ind w:right="233"/>
              <w:spacing w:after="0"/>
              <w:rPr>
                <w:sz w:val="20"/>
                <w:szCs w:val="20"/>
                <w:color w:val="auto"/>
              </w:rPr>
            </w:pPr>
            <w:r>
              <w:rPr>
                <w:rFonts w:ascii="Arial" w:cs="Arial" w:eastAsia="Arial" w:hAnsi="Arial"/>
                <w:sz w:val="13"/>
                <w:szCs w:val="13"/>
                <w:color w:val="auto"/>
              </w:rPr>
              <w:t>Leased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Chicago, Ill.</w:t>
            </w:r>
          </w:p>
        </w:tc>
        <w:tc>
          <w:tcPr>
            <w:tcW w:w="3000" w:type="dxa"/>
            <w:vAlign w:val="bottom"/>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40,000</w:t>
            </w:r>
          </w:p>
        </w:tc>
        <w:tc>
          <w:tcPr>
            <w:tcW w:w="2220" w:type="dxa"/>
            <w:vAlign w:val="bottom"/>
          </w:tcPr>
          <w:p>
            <w:pPr>
              <w:jc w:val="center"/>
              <w:ind w:right="233"/>
              <w:spacing w:after="0"/>
              <w:rPr>
                <w:sz w:val="20"/>
                <w:szCs w:val="20"/>
                <w:color w:val="auto"/>
              </w:rPr>
            </w:pPr>
            <w:r>
              <w:rPr>
                <w:rFonts w:ascii="Arial" w:cs="Arial" w:eastAsia="Arial" w:hAnsi="Arial"/>
                <w:sz w:val="13"/>
                <w:szCs w:val="13"/>
                <w:color w:val="auto"/>
              </w:rPr>
              <w:t>Leased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Calgary, Alta.</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40,000</w:t>
            </w:r>
          </w:p>
        </w:tc>
        <w:tc>
          <w:tcPr>
            <w:tcW w:w="2220" w:type="dxa"/>
            <w:vAlign w:val="bottom"/>
            <w:shd w:val="clear" w:color="auto" w:fill="CCEEFF"/>
          </w:tcPr>
          <w:p>
            <w:pPr>
              <w:jc w:val="center"/>
              <w:ind w:right="233"/>
              <w:spacing w:after="0"/>
              <w:rPr>
                <w:sz w:val="20"/>
                <w:szCs w:val="20"/>
                <w:color w:val="auto"/>
              </w:rPr>
            </w:pPr>
            <w:r>
              <w:rPr>
                <w:rFonts w:ascii="Arial" w:cs="Arial" w:eastAsia="Arial" w:hAnsi="Arial"/>
                <w:sz w:val="13"/>
                <w:szCs w:val="13"/>
                <w:color w:val="auto"/>
              </w:rPr>
              <w:t>Leased</w:t>
            </w:r>
          </w:p>
        </w:tc>
      </w:tr>
      <w:tr>
        <w:trPr>
          <w:trHeight w:val="195"/>
        </w:trPr>
        <w:tc>
          <w:tcPr>
            <w:tcW w:w="2500" w:type="dxa"/>
            <w:vAlign w:val="bottom"/>
          </w:tcPr>
          <w:p>
            <w:pPr>
              <w:ind w:left="20"/>
              <w:spacing w:after="0"/>
              <w:rPr>
                <w:sz w:val="20"/>
                <w:szCs w:val="20"/>
                <w:color w:val="auto"/>
              </w:rPr>
            </w:pPr>
            <w:r>
              <w:rPr>
                <w:rFonts w:ascii="Arial" w:cs="Arial" w:eastAsia="Arial" w:hAnsi="Arial"/>
                <w:sz w:val="13"/>
                <w:szCs w:val="13"/>
                <w:color w:val="auto"/>
              </w:rPr>
              <w:t>Dallas, Tex.</w:t>
            </w:r>
          </w:p>
        </w:tc>
        <w:tc>
          <w:tcPr>
            <w:tcW w:w="3000" w:type="dxa"/>
            <w:vAlign w:val="bottom"/>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tcPr>
          <w:p>
            <w:pPr>
              <w:jc w:val="right"/>
              <w:ind w:right="313"/>
              <w:spacing w:after="0"/>
              <w:rPr>
                <w:sz w:val="20"/>
                <w:szCs w:val="20"/>
                <w:color w:val="auto"/>
              </w:rPr>
            </w:pPr>
            <w:r>
              <w:rPr>
                <w:rFonts w:ascii="Arial" w:cs="Arial" w:eastAsia="Arial" w:hAnsi="Arial"/>
                <w:sz w:val="13"/>
                <w:szCs w:val="13"/>
                <w:color w:val="auto"/>
              </w:rPr>
              <w:t>35,000</w:t>
            </w:r>
          </w:p>
        </w:tc>
        <w:tc>
          <w:tcPr>
            <w:tcW w:w="2220" w:type="dxa"/>
            <w:vAlign w:val="bottom"/>
          </w:tcPr>
          <w:p>
            <w:pPr>
              <w:jc w:val="center"/>
              <w:ind w:right="233"/>
              <w:spacing w:after="0"/>
              <w:rPr>
                <w:sz w:val="20"/>
                <w:szCs w:val="20"/>
                <w:color w:val="auto"/>
              </w:rPr>
            </w:pPr>
            <w:r>
              <w:rPr>
                <w:rFonts w:ascii="Arial" w:cs="Arial" w:eastAsia="Arial" w:hAnsi="Arial"/>
                <w:sz w:val="13"/>
                <w:szCs w:val="13"/>
                <w:color w:val="auto"/>
              </w:rPr>
              <w:t>Leased</w:t>
            </w:r>
          </w:p>
        </w:tc>
      </w:tr>
      <w:tr>
        <w:trPr>
          <w:trHeight w:val="20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Toronto, Ont.</w:t>
            </w:r>
          </w:p>
        </w:tc>
        <w:tc>
          <w:tcPr>
            <w:tcW w:w="300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29,000</w:t>
            </w:r>
          </w:p>
        </w:tc>
        <w:tc>
          <w:tcPr>
            <w:tcW w:w="2220" w:type="dxa"/>
            <w:vAlign w:val="bottom"/>
            <w:shd w:val="clear" w:color="auto" w:fill="CCEEFF"/>
          </w:tcPr>
          <w:p>
            <w:pPr>
              <w:jc w:val="center"/>
              <w:ind w:right="233"/>
              <w:spacing w:after="0"/>
              <w:rPr>
                <w:sz w:val="20"/>
                <w:szCs w:val="20"/>
                <w:color w:val="auto"/>
              </w:rPr>
            </w:pPr>
            <w:r>
              <w:rPr>
                <w:rFonts w:ascii="Arial" w:cs="Arial" w:eastAsia="Arial" w:hAnsi="Arial"/>
                <w:sz w:val="13"/>
                <w:szCs w:val="13"/>
                <w:color w:val="auto"/>
              </w:rPr>
              <w:t>Leased</w:t>
            </w:r>
          </w:p>
        </w:tc>
      </w:tr>
      <w:tr>
        <w:trPr>
          <w:trHeight w:val="19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Breda, the Netherlands</w:t>
            </w:r>
          </w:p>
        </w:tc>
        <w:tc>
          <w:tcPr>
            <w:tcW w:w="300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Distribution</w:t>
            </w:r>
          </w:p>
        </w:tc>
        <w:tc>
          <w:tcPr>
            <w:tcW w:w="35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8,500</w:t>
            </w:r>
          </w:p>
        </w:tc>
        <w:tc>
          <w:tcPr>
            <w:tcW w:w="222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color w:val="auto"/>
              </w:rPr>
              <w:t>Leased</w:t>
            </w:r>
          </w:p>
        </w:tc>
      </w:tr>
      <w:tr>
        <w:trPr>
          <w:trHeight w:val="192"/>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000" w:type="dxa"/>
            <w:vAlign w:val="bottom"/>
            <w:tcBorders>
              <w:bottom w:val="single" w:sz="8" w:color="auto"/>
            </w:tcBorders>
            <w:shd w:val="clear" w:color="auto" w:fill="CCEEFF"/>
          </w:tcPr>
          <w:p>
            <w:pPr>
              <w:spacing w:after="0"/>
              <w:rPr>
                <w:sz w:val="16"/>
                <w:szCs w:val="16"/>
                <w:color w:val="auto"/>
              </w:rPr>
            </w:pPr>
          </w:p>
        </w:tc>
        <w:tc>
          <w:tcPr>
            <w:tcW w:w="3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1,318,500</w:t>
            </w:r>
          </w:p>
        </w:tc>
        <w:tc>
          <w:tcPr>
            <w:tcW w:w="2220" w:type="dxa"/>
            <w:vAlign w:val="bottom"/>
            <w:tcBorders>
              <w:bottom w:val="single" w:sz="8" w:color="auto"/>
            </w:tcBorders>
            <w:shd w:val="clear" w:color="auto" w:fill="CCEEFF"/>
          </w:tcPr>
          <w:p>
            <w:pPr>
              <w:spacing w:after="0"/>
              <w:rPr>
                <w:sz w:val="16"/>
                <w:szCs w:val="16"/>
                <w:color w:val="auto"/>
              </w:rPr>
            </w:pPr>
          </w:p>
        </w:tc>
      </w:tr>
    </w:tbl>
    <w:p>
      <w:pPr>
        <w:spacing w:after="0" w:line="61" w:lineRule="exact"/>
        <w:rPr>
          <w:sz w:val="20"/>
          <w:szCs w:val="20"/>
          <w:color w:val="auto"/>
        </w:rPr>
      </w:pPr>
    </w:p>
    <w:p>
      <w:pPr>
        <w:ind w:left="220" w:hanging="220"/>
        <w:spacing w:after="0"/>
        <w:tabs>
          <w:tab w:leader="none" w:pos="22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Under construction and expected to be completed in the third quarter of fiscal year 2021.</w:t>
      </w:r>
    </w:p>
    <w:p>
      <w:pPr>
        <w:spacing w:after="0" w:line="205" w:lineRule="exact"/>
        <w:rPr>
          <w:sz w:val="20"/>
          <w:szCs w:val="20"/>
          <w:color w:val="auto"/>
        </w:rPr>
      </w:pPr>
    </w:p>
    <w:p>
      <w:pPr>
        <w:ind w:right="620" w:firstLine="600"/>
        <w:spacing w:after="0" w:line="253" w:lineRule="auto"/>
        <w:rPr>
          <w:sz w:val="20"/>
          <w:szCs w:val="20"/>
          <w:color w:val="auto"/>
        </w:rPr>
      </w:pPr>
      <w:r>
        <w:rPr>
          <w:rFonts w:ascii="Arial" w:cs="Arial" w:eastAsia="Arial" w:hAnsi="Arial"/>
          <w:sz w:val="15"/>
          <w:szCs w:val="15"/>
          <w:color w:val="auto"/>
        </w:rPr>
        <w:t>The table above excludes our farming land holdings, which include approximately 10,000 acres owned in Peru and 1,300 acres leased in Guatemala. A significant portion of these land holdings either have been or will be utilized for the development of avocado orchards.</w:t>
      </w:r>
    </w:p>
    <w:p>
      <w:pPr>
        <w:spacing w:after="0" w:line="186" w:lineRule="exact"/>
        <w:rPr>
          <w:sz w:val="20"/>
          <w:szCs w:val="20"/>
          <w:color w:val="auto"/>
        </w:rPr>
      </w:pPr>
    </w:p>
    <w:p>
      <w:pPr>
        <w:ind w:right="840" w:firstLine="600"/>
        <w:spacing w:after="0" w:line="253" w:lineRule="auto"/>
        <w:rPr>
          <w:sz w:val="20"/>
          <w:szCs w:val="20"/>
          <w:color w:val="auto"/>
        </w:rPr>
      </w:pPr>
      <w:r>
        <w:rPr>
          <w:rFonts w:ascii="Arial" w:cs="Arial" w:eastAsia="Arial" w:hAnsi="Arial"/>
          <w:sz w:val="15"/>
          <w:szCs w:val="15"/>
          <w:color w:val="auto"/>
        </w:rPr>
        <w:t>We believe that our facilities are adequate to meet our current needs, and that suitable additional alternative spaces will be available in the future on commercially reasonable terms, if required. For additional information, see Note 7 of this annual report on Form 10-K.</w:t>
      </w:r>
    </w:p>
    <w:p>
      <w:pPr>
        <w:spacing w:after="0" w:line="283" w:lineRule="exact"/>
        <w:rPr>
          <w:sz w:val="20"/>
          <w:szCs w:val="20"/>
          <w:color w:val="auto"/>
        </w:rPr>
      </w:pPr>
    </w:p>
    <w:p>
      <w:pPr>
        <w:spacing w:after="0"/>
        <w:tabs>
          <w:tab w:leader="none" w:pos="1240" w:val="left"/>
        </w:tabs>
        <w:rPr>
          <w:sz w:val="20"/>
          <w:szCs w:val="20"/>
          <w:color w:val="auto"/>
        </w:rPr>
      </w:pPr>
      <w:r>
        <w:rPr>
          <w:rFonts w:ascii="Arial" w:cs="Arial" w:eastAsia="Arial" w:hAnsi="Arial"/>
          <w:sz w:val="23"/>
          <w:szCs w:val="23"/>
          <w:b w:val="1"/>
          <w:bCs w:val="1"/>
          <w:color w:val="232F84"/>
        </w:rPr>
        <w:t>Item 3.</w:t>
      </w:r>
      <w:r>
        <w:rPr>
          <w:sz w:val="20"/>
          <w:szCs w:val="20"/>
          <w:color w:val="auto"/>
        </w:rPr>
        <w:tab/>
      </w:r>
      <w:r>
        <w:rPr>
          <w:rFonts w:ascii="Arial" w:cs="Arial" w:eastAsia="Arial" w:hAnsi="Arial"/>
          <w:sz w:val="23"/>
          <w:szCs w:val="23"/>
          <w:b w:val="1"/>
          <w:bCs w:val="1"/>
          <w:color w:val="232F84"/>
        </w:rPr>
        <w:t>Legal Proceedings</w:t>
      </w:r>
    </w:p>
    <w:p>
      <w:pPr>
        <w:spacing w:after="0" w:line="239"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is involved from time to time in claims, proceedings, and litigation, including the following:</w:t>
      </w:r>
    </w:p>
    <w:p>
      <w:pPr>
        <w:spacing w:after="0" w:line="202" w:lineRule="exact"/>
        <w:rPr>
          <w:sz w:val="20"/>
          <w:szCs w:val="20"/>
          <w:color w:val="auto"/>
        </w:rPr>
      </w:pPr>
    </w:p>
    <w:p>
      <w:pPr>
        <w:ind w:right="20" w:firstLine="600"/>
        <w:spacing w:after="0" w:line="244"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We are currently seeking to consolidate the two cases and narrow the potential classes. We believe that we have not violated any wage or labor laws and are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97"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87" w:lineRule="exact"/>
        <w:rPr>
          <w:sz w:val="20"/>
          <w:szCs w:val="20"/>
          <w:color w:val="auto"/>
        </w:rPr>
      </w:pPr>
    </w:p>
    <w:p>
      <w:pPr>
        <w:spacing w:after="0"/>
        <w:tabs>
          <w:tab w:leader="none" w:pos="1240" w:val="left"/>
        </w:tabs>
        <w:rPr>
          <w:sz w:val="20"/>
          <w:szCs w:val="20"/>
          <w:color w:val="auto"/>
        </w:rPr>
      </w:pPr>
      <w:r>
        <w:rPr>
          <w:rFonts w:ascii="Arial" w:cs="Arial" w:eastAsia="Arial" w:hAnsi="Arial"/>
          <w:sz w:val="23"/>
          <w:szCs w:val="23"/>
          <w:b w:val="1"/>
          <w:bCs w:val="1"/>
          <w:color w:val="232F84"/>
        </w:rPr>
        <w:t>Item 4.</w:t>
      </w:r>
      <w:r>
        <w:rPr>
          <w:sz w:val="20"/>
          <w:szCs w:val="20"/>
          <w:color w:val="auto"/>
        </w:rPr>
        <w:tab/>
      </w:r>
      <w:r>
        <w:rPr>
          <w:rFonts w:ascii="Arial" w:cs="Arial" w:eastAsia="Arial" w:hAnsi="Arial"/>
          <w:sz w:val="23"/>
          <w:szCs w:val="23"/>
          <w:b w:val="1"/>
          <w:bCs w:val="1"/>
          <w:color w:val="232F84"/>
        </w:rPr>
        <w:t>Mine Safety Disclosures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40"/>
          </w:cols>
          <w:pgMar w:left="320" w:top="1413" w:right="339"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23"/>
          <w:szCs w:val="23"/>
          <w:b w:val="1"/>
          <w:bCs w:val="1"/>
          <w:color w:val="232F84"/>
        </w:rPr>
        <w:t>PART II</w:t>
      </w:r>
    </w:p>
    <w:p>
      <w:pPr>
        <w:spacing w:after="0" w:line="210" w:lineRule="exact"/>
        <w:rPr>
          <w:sz w:val="20"/>
          <w:szCs w:val="20"/>
          <w:color w:val="auto"/>
        </w:rPr>
      </w:pPr>
    </w:p>
    <w:p>
      <w:pPr>
        <w:ind w:right="900"/>
        <w:spacing w:after="0" w:line="289" w:lineRule="auto"/>
        <w:rPr>
          <w:sz w:val="20"/>
          <w:szCs w:val="20"/>
          <w:color w:val="auto"/>
        </w:rPr>
      </w:pPr>
      <w:r>
        <w:rPr>
          <w:rFonts w:ascii="Arial" w:cs="Arial" w:eastAsia="Arial" w:hAnsi="Arial"/>
          <w:sz w:val="23"/>
          <w:szCs w:val="23"/>
          <w:b w:val="1"/>
          <w:bCs w:val="1"/>
          <w:color w:val="232F84"/>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Market Information</w:t>
      </w:r>
    </w:p>
    <w:p>
      <w:pPr>
        <w:spacing w:after="0" w:line="227" w:lineRule="exact"/>
        <w:rPr>
          <w:sz w:val="20"/>
          <w:szCs w:val="20"/>
          <w:color w:val="auto"/>
        </w:rPr>
      </w:pPr>
    </w:p>
    <w:p>
      <w:pPr>
        <w:ind w:right="440" w:firstLine="600"/>
        <w:spacing w:after="0" w:line="253" w:lineRule="auto"/>
        <w:rPr>
          <w:sz w:val="20"/>
          <w:szCs w:val="20"/>
          <w:color w:val="auto"/>
        </w:rPr>
      </w:pPr>
      <w:r>
        <w:rPr>
          <w:rFonts w:ascii="Arial" w:cs="Arial" w:eastAsia="Arial" w:hAnsi="Arial"/>
          <w:sz w:val="15"/>
          <w:szCs w:val="15"/>
          <w:color w:val="auto"/>
        </w:rPr>
        <w:t>Our common stock has been publicly traded on the Nasdaq Global Select Market under the symbol “AVO” since our IPO on October 1, 2020, which was completed at a price to the public of $12.00 per share. Prior to our IPO, there was no public market for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Holders of Common Stock</w:t>
      </w:r>
    </w:p>
    <w:p>
      <w:pPr>
        <w:spacing w:after="0" w:line="227"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We had 92 shareholders of record of our common stock as of December 1, 2020. This number was derived from our shareholder records and does not include holders of our common stock whose shares are held in the name of various dealers, clearing agencies, banks, brokers and other fiduciaries.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Dividend Policy</w:t>
      </w:r>
    </w:p>
    <w:p>
      <w:pPr>
        <w:spacing w:after="0" w:line="227"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Securities Authorized for Issuance Under Equity Compensation Plans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Item 12 of Part III of this annual report on Form 10-K for information about our equity compensation plans which is incorporated by reference herein.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Performance Graph</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Unregistered Sales of Equity Securities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Use of Proceeds from IPO</w:t>
      </w:r>
    </w:p>
    <w:p>
      <w:pPr>
        <w:spacing w:after="0" w:line="227"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On September 30, 2020, our registration statement on Form S-1 (File No. 333-248596) was declared effective by the SEC for our IPO. At the closing of the offering on October 5, 2020, we sold 8,000,000 shares of common stock, including 1,750,000 shares sold by certain selling stockholders, at a public offering price of $12.00 per share. Also in October 2020, we sold an additional 1,200,000 shares at $12.00 per share to underwriters at their option, under the provision of the offering. We received gross proceeds of $89.4 million, which resulted in net proceeds to us of $78.1 million, after deducting underwriting discounts and commissions of $6.3 million and offering-related transaction costs of $5.0 million. The selling stockholders received gross proceeds of $21 million. None of the expenses associated with the IPO were paid to directors, officers, persons owning 10% or more of any class of equity securities, or to their associates, or to our affiliates. BofA Securities, Inc., J.P. Morgan Securities LLC and Citigroup Global Markets Inc. acted as joint book-running managers for the offering. There has been no change in our planned use of proceeds from our IPO contained in our registration statement on Form S-1/A.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Issuer Repurchases of Equity Securities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100"/>
          </w:cols>
          <w:pgMar w:left="320" w:top="1413" w:right="479" w:bottom="1440" w:gutter="0" w:footer="0" w:header="0"/>
        </w:sectPr>
      </w:pPr>
    </w:p>
    <w:bookmarkStart w:id="22" w:name="page23"/>
    <w:bookmarkEnd w:id="22"/>
    <w:p>
      <w:pPr>
        <w:spacing w:after="0"/>
        <w:tabs>
          <w:tab w:leader="none" w:pos="1240" w:val="left"/>
        </w:tabs>
        <w:rPr>
          <w:sz w:val="20"/>
          <w:szCs w:val="20"/>
          <w:color w:val="auto"/>
        </w:rPr>
      </w:pPr>
      <w:r>
        <w:rPr>
          <w:rFonts w:ascii="Arial" w:cs="Arial" w:eastAsia="Arial" w:hAnsi="Arial"/>
          <w:sz w:val="23"/>
          <w:szCs w:val="23"/>
          <w:b w:val="1"/>
          <w:bCs w:val="1"/>
          <w:color w:val="232F84"/>
        </w:rPr>
        <w:t>Item 6.</w:t>
      </w:r>
      <w:r>
        <w:rPr>
          <w:sz w:val="20"/>
          <w:szCs w:val="20"/>
          <w:color w:val="auto"/>
        </w:rPr>
        <w:tab/>
      </w:r>
      <w:r>
        <w:rPr>
          <w:rFonts w:ascii="Arial" w:cs="Arial" w:eastAsia="Arial" w:hAnsi="Arial"/>
          <w:sz w:val="23"/>
          <w:szCs w:val="23"/>
          <w:b w:val="1"/>
          <w:bCs w:val="1"/>
          <w:color w:val="232F84"/>
        </w:rPr>
        <w:t>Selected Financial Data</w:t>
      </w:r>
    </w:p>
    <w:p>
      <w:pPr>
        <w:spacing w:after="0" w:line="239" w:lineRule="exact"/>
        <w:rPr>
          <w:sz w:val="20"/>
          <w:szCs w:val="20"/>
          <w:color w:val="auto"/>
        </w:rPr>
      </w:pPr>
    </w:p>
    <w:p>
      <w:pPr>
        <w:ind w:right="100" w:firstLine="600"/>
        <w:spacing w:after="0" w:line="246" w:lineRule="auto"/>
        <w:rPr>
          <w:sz w:val="20"/>
          <w:szCs w:val="20"/>
          <w:color w:val="auto"/>
        </w:rPr>
      </w:pPr>
      <w:r>
        <w:rPr>
          <w:rFonts w:ascii="Arial" w:cs="Arial" w:eastAsia="Arial" w:hAnsi="Arial"/>
          <w:sz w:val="15"/>
          <w:szCs w:val="15"/>
          <w:color w:val="auto"/>
        </w:rPr>
        <w:t>The following tables set forth selected financial data as of, and for the periods ended on, the dates indicated. We have derived the statement of operations data from our audited financial statements included elsewhere in this annual report. You should read this data together with our financial statements and related notes and “Management’s Discussion and Analysis of Financial Condition and Results of Operations” included elsewhere in this annual report. Our historical results for any prior period are not indicative of our future results.</w:t>
      </w:r>
    </w:p>
    <w:p>
      <w:pPr>
        <w:spacing w:after="0" w:line="218" w:lineRule="exact"/>
        <w:rPr>
          <w:sz w:val="20"/>
          <w:szCs w:val="20"/>
          <w:color w:val="auto"/>
        </w:rPr>
      </w:pPr>
    </w:p>
    <w:p>
      <w:pPr>
        <w:ind w:right="140" w:firstLine="600"/>
        <w:spacing w:after="0" w:line="248" w:lineRule="auto"/>
        <w:rPr>
          <w:sz w:val="20"/>
          <w:szCs w:val="20"/>
          <w:color w:val="auto"/>
        </w:rPr>
      </w:pPr>
      <w:r>
        <w:rPr>
          <w:rFonts w:ascii="Arial" w:cs="Arial" w:eastAsia="Arial" w:hAnsi="Arial"/>
          <w:sz w:val="15"/>
          <w:szCs w:val="15"/>
          <w:color w:val="auto"/>
        </w:rPr>
        <w:t>Prior to September 21, 2018, we owned a 50% interest in Grupo Arato, during which time it was accounted for under the equity method. On September 20, 2018, we acquired the remaining 50% interest in Grupo Arato, at which time we ceased accounting for this investment under the equity method and consolidated Grupo Arato within the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Year Ended October 31,</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97"/>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for per share and per pound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CCEEFF"/>
            </w:tcBorders>
          </w:tcPr>
          <w:p>
            <w:pPr>
              <w:spacing w:after="0"/>
              <w:rPr>
                <w:sz w:val="17"/>
                <w:szCs w:val="17"/>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Income Statement Data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95"/>
        </w:trPr>
        <w:tc>
          <w:tcPr>
            <w:tcW w:w="6420" w:type="dxa"/>
            <w:vAlign w:val="bottom"/>
          </w:tcPr>
          <w:p>
            <w:pPr>
              <w:ind w:left="20"/>
              <w:spacing w:after="0"/>
              <w:rPr>
                <w:sz w:val="20"/>
                <w:szCs w:val="20"/>
                <w:color w:val="auto"/>
              </w:rPr>
            </w:pPr>
            <w:r>
              <w:rPr>
                <w:rFonts w:ascii="Arial" w:cs="Arial" w:eastAsia="Arial" w:hAnsi="Arial"/>
                <w:sz w:val="13"/>
                <w:szCs w:val="13"/>
                <w:color w:val="auto"/>
              </w:rPr>
              <w:t>Net sales</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862.3</w:t>
            </w:r>
          </w:p>
        </w:tc>
        <w:tc>
          <w:tcPr>
            <w:tcW w:w="200" w:type="dxa"/>
            <w:vAlign w:val="bottom"/>
          </w:tcPr>
          <w:p>
            <w:pPr>
              <w:spacing w:after="0"/>
              <w:rPr>
                <w:sz w:val="16"/>
                <w:szCs w:val="16"/>
                <w:color w:val="auto"/>
              </w:rPr>
            </w:pPr>
          </w:p>
        </w:tc>
        <w:tc>
          <w:tcPr>
            <w:tcW w:w="4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33"/>
              <w:spacing w:after="0"/>
              <w:rPr>
                <w:sz w:val="20"/>
                <w:szCs w:val="20"/>
                <w:color w:val="auto"/>
              </w:rPr>
            </w:pPr>
            <w:r>
              <w:rPr>
                <w:rFonts w:ascii="Arial" w:cs="Arial" w:eastAsia="Arial" w:hAnsi="Arial"/>
                <w:sz w:val="13"/>
                <w:szCs w:val="13"/>
                <w:color w:val="auto"/>
              </w:rPr>
              <w:t>883.3</w:t>
            </w:r>
          </w:p>
        </w:tc>
        <w:tc>
          <w:tcPr>
            <w:tcW w:w="4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859.9</w:t>
            </w:r>
          </w:p>
        </w:tc>
        <w:tc>
          <w:tcPr>
            <w:tcW w:w="280" w:type="dxa"/>
            <w:vAlign w:val="bottom"/>
          </w:tcPr>
          <w:p>
            <w:pPr>
              <w:spacing w:after="0"/>
              <w:rPr>
                <w:sz w:val="16"/>
                <w:szCs w:val="16"/>
                <w:color w:val="auto"/>
              </w:rPr>
            </w:pPr>
          </w:p>
        </w:tc>
      </w:tr>
      <w:tr>
        <w:trPr>
          <w:trHeight w:val="205"/>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71.7</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w w:val="90"/>
              </w:rPr>
              <w:t>(2)</w:t>
            </w:r>
          </w:p>
        </w:tc>
      </w:tr>
      <w:tr>
        <w:trPr>
          <w:trHeight w:val="195"/>
        </w:trPr>
        <w:tc>
          <w:tcPr>
            <w:tcW w:w="6420" w:type="dxa"/>
            <w:vAlign w:val="bottom"/>
          </w:tcPr>
          <w:p>
            <w:pPr>
              <w:ind w:left="20"/>
              <w:spacing w:after="0"/>
              <w:rPr>
                <w:sz w:val="20"/>
                <w:szCs w:val="20"/>
                <w:color w:val="auto"/>
              </w:rPr>
            </w:pPr>
            <w:r>
              <w:rPr>
                <w:rFonts w:ascii="Arial" w:cs="Arial" w:eastAsia="Arial" w:hAnsi="Arial"/>
                <w:sz w:val="13"/>
                <w:szCs w:val="13"/>
                <w:color w:val="auto"/>
              </w:rPr>
              <w:t>Net income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64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1.13</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80" w:type="dxa"/>
            <w:vAlign w:val="bottom"/>
            <w:shd w:val="clear" w:color="auto" w:fill="CCEEFF"/>
          </w:tcPr>
          <w:p>
            <w:pPr>
              <w:spacing w:after="0"/>
              <w:rPr>
                <w:sz w:val="17"/>
                <w:szCs w:val="17"/>
                <w:color w:val="auto"/>
              </w:rPr>
            </w:pPr>
          </w:p>
        </w:tc>
      </w:tr>
      <w:tr>
        <w:trPr>
          <w:trHeight w:val="195"/>
        </w:trPr>
        <w:tc>
          <w:tcPr>
            <w:tcW w:w="6420" w:type="dxa"/>
            <w:vAlign w:val="bottom"/>
          </w:tcPr>
          <w:p>
            <w:pPr>
              <w:ind w:left="320"/>
              <w:spacing w:after="0"/>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0.45</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233"/>
              <w:spacing w:after="0"/>
              <w:rPr>
                <w:sz w:val="20"/>
                <w:szCs w:val="20"/>
                <w:color w:val="auto"/>
              </w:rPr>
            </w:pPr>
            <w:r>
              <w:rPr>
                <w:rFonts w:ascii="Arial" w:cs="Arial" w:eastAsia="Arial" w:hAnsi="Arial"/>
                <w:sz w:val="13"/>
                <w:szCs w:val="13"/>
                <w:color w:val="auto"/>
              </w:rPr>
              <w:t>1.13</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1.37</w:t>
            </w:r>
          </w:p>
        </w:tc>
        <w:tc>
          <w:tcPr>
            <w:tcW w:w="280" w:type="dxa"/>
            <w:vAlign w:val="bottom"/>
          </w:tcPr>
          <w:p>
            <w:pPr>
              <w:spacing w:after="0"/>
              <w:rPr>
                <w:sz w:val="16"/>
                <w:szCs w:val="16"/>
                <w:color w:val="auto"/>
              </w:rPr>
            </w:pPr>
          </w:p>
        </w:tc>
      </w:tr>
      <w:tr>
        <w:trPr>
          <w:trHeight w:val="20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Dividends declared per common share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2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0.09</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280" w:type="dxa"/>
            <w:vAlign w:val="bottom"/>
            <w:shd w:val="clear" w:color="auto" w:fill="CCEEFF"/>
          </w:tcPr>
          <w:p>
            <w:pPr>
              <w:spacing w:after="0"/>
              <w:rPr>
                <w:sz w:val="17"/>
                <w:szCs w:val="17"/>
                <w:color w:val="auto"/>
              </w:rPr>
            </w:pPr>
          </w:p>
        </w:tc>
      </w:tr>
      <w:tr>
        <w:trPr>
          <w:trHeight w:val="192"/>
        </w:trPr>
        <w:tc>
          <w:tcPr>
            <w:tcW w:w="6420" w:type="dxa"/>
            <w:vAlign w:val="bottom"/>
          </w:tcPr>
          <w:p>
            <w:pPr>
              <w:ind w:left="20"/>
              <w:spacing w:after="0"/>
              <w:rPr>
                <w:sz w:val="20"/>
                <w:szCs w:val="20"/>
                <w:color w:val="auto"/>
              </w:rPr>
            </w:pPr>
            <w:r>
              <w:rPr>
                <w:rFonts w:ascii="Arial" w:cs="Arial" w:eastAsia="Arial" w:hAnsi="Arial"/>
                <w:sz w:val="13"/>
                <w:szCs w:val="13"/>
                <w:b w:val="1"/>
                <w:bCs w:val="1"/>
                <w:color w:val="auto"/>
              </w:rPr>
              <w:t>Other Information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Pounds of avocados sold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559</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80" w:type="dxa"/>
            <w:vAlign w:val="bottom"/>
            <w:shd w:val="clear" w:color="auto" w:fill="CCEEFF"/>
          </w:tcPr>
          <w:p>
            <w:pPr>
              <w:spacing w:after="0"/>
              <w:rPr>
                <w:sz w:val="17"/>
                <w:szCs w:val="17"/>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3"/>
                <w:szCs w:val="13"/>
                <w:color w:val="auto"/>
              </w:rPr>
              <w:t>Average sales price per pound</w:t>
            </w:r>
            <w:r>
              <w:rPr>
                <w:rFonts w:ascii="Arial" w:cs="Arial" w:eastAsia="Arial" w:hAnsi="Arial"/>
                <w:sz w:val="17"/>
                <w:szCs w:val="17"/>
                <w:color w:val="auto"/>
                <w:vertAlign w:val="superscript"/>
              </w:rPr>
              <w:t>(3)</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7"/>
                <w:szCs w:val="17"/>
                <w:color w:val="auto"/>
              </w:rPr>
            </w:pPr>
          </w:p>
        </w:tc>
        <w:tc>
          <w:tcPr>
            <w:tcW w:w="4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33"/>
              <w:spacing w:after="0"/>
              <w:rPr>
                <w:sz w:val="20"/>
                <w:szCs w:val="20"/>
                <w:color w:val="auto"/>
              </w:rPr>
            </w:pPr>
            <w:r>
              <w:rPr>
                <w:rFonts w:ascii="Arial" w:cs="Arial" w:eastAsia="Arial" w:hAnsi="Arial"/>
                <w:sz w:val="13"/>
                <w:szCs w:val="13"/>
                <w:color w:val="auto"/>
              </w:rPr>
              <w:t>1.56</w:t>
            </w:r>
          </w:p>
        </w:tc>
        <w:tc>
          <w:tcPr>
            <w:tcW w:w="4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1.34</w:t>
            </w:r>
          </w:p>
        </w:tc>
        <w:tc>
          <w:tcPr>
            <w:tcW w:w="280" w:type="dxa"/>
            <w:vAlign w:val="bottom"/>
          </w:tcPr>
          <w:p>
            <w:pPr>
              <w:spacing w:after="0"/>
              <w:rPr>
                <w:sz w:val="17"/>
                <w:szCs w:val="17"/>
                <w:color w:val="auto"/>
              </w:rPr>
            </w:pPr>
          </w:p>
        </w:tc>
      </w:tr>
      <w:tr>
        <w:trPr>
          <w:trHeight w:val="20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Gross profit per pound</w:t>
            </w:r>
            <w:r>
              <w:rPr>
                <w:rFonts w:ascii="Arial" w:cs="Arial" w:eastAsia="Arial" w:hAnsi="Arial"/>
                <w:sz w:val="17"/>
                <w:szCs w:val="17"/>
                <w:color w:val="auto"/>
                <w:vertAlign w:val="superscript"/>
              </w:rPr>
              <w:t>(4)</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2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0.28</w:t>
            </w:r>
          </w:p>
        </w:tc>
        <w:tc>
          <w:tcPr>
            <w:tcW w:w="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280" w:type="dxa"/>
            <w:vAlign w:val="bottom"/>
            <w:shd w:val="clear" w:color="auto" w:fill="CCEEFF"/>
          </w:tcPr>
          <w:p>
            <w:pPr>
              <w:spacing w:after="0"/>
              <w:rPr>
                <w:sz w:val="17"/>
                <w:szCs w:val="17"/>
                <w:color w:val="auto"/>
              </w:rPr>
            </w:pPr>
          </w:p>
        </w:tc>
      </w:tr>
      <w:tr>
        <w:trPr>
          <w:trHeight w:val="187"/>
        </w:trPr>
        <w:tc>
          <w:tcPr>
            <w:tcW w:w="6420" w:type="dxa"/>
            <w:vAlign w:val="bottom"/>
          </w:tcPr>
          <w:p>
            <w:pPr>
              <w:ind w:left="20"/>
              <w:spacing w:after="0"/>
              <w:rPr>
                <w:sz w:val="20"/>
                <w:szCs w:val="20"/>
                <w:color w:val="auto"/>
              </w:rPr>
            </w:pPr>
            <w:r>
              <w:rPr>
                <w:rFonts w:ascii="Arial" w:cs="Arial" w:eastAsia="Arial" w:hAnsi="Arial"/>
                <w:sz w:val="13"/>
                <w:szCs w:val="13"/>
                <w:b w:val="1"/>
                <w:bCs w:val="1"/>
                <w:color w:val="auto"/>
              </w:rPr>
              <w:t>Consolidated Balance Sheet data</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777.3</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689.4</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621.8</w:t>
            </w:r>
          </w:p>
        </w:tc>
        <w:tc>
          <w:tcPr>
            <w:tcW w:w="280" w:type="dxa"/>
            <w:vAlign w:val="bottom"/>
            <w:shd w:val="clear" w:color="auto" w:fill="CCEEFF"/>
          </w:tcPr>
          <w:p>
            <w:pPr>
              <w:spacing w:after="0"/>
              <w:rPr>
                <w:sz w:val="17"/>
                <w:szCs w:val="17"/>
                <w:color w:val="auto"/>
              </w:rPr>
            </w:pPr>
          </w:p>
        </w:tc>
      </w:tr>
      <w:tr>
        <w:trPr>
          <w:trHeight w:val="19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long-term debt and capital leases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178.6</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195.2</w:t>
            </w:r>
          </w:p>
        </w:tc>
        <w:tc>
          <w:tcPr>
            <w:tcW w:w="280" w:type="dxa"/>
            <w:vAlign w:val="bottom"/>
          </w:tcPr>
          <w:p>
            <w:pPr>
              <w:spacing w:after="0"/>
              <w:rPr>
                <w:sz w:val="16"/>
                <w:szCs w:val="16"/>
                <w:color w:val="auto"/>
              </w:rPr>
            </w:pPr>
          </w:p>
        </w:tc>
      </w:tr>
    </w:tbl>
    <w:p>
      <w:pPr>
        <w:spacing w:after="0" w:line="61" w:lineRule="exact"/>
        <w:rPr>
          <w:sz w:val="20"/>
          <w:szCs w:val="20"/>
          <w:color w:val="auto"/>
        </w:rPr>
      </w:pPr>
    </w:p>
    <w:p>
      <w:pPr>
        <w:ind w:left="160" w:hanging="160"/>
        <w:spacing w:after="0"/>
        <w:tabs>
          <w:tab w:leader="none" w:pos="16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In the second quarter of fiscal year 2020, we recognized a $21.2 million pre-tax impairment charge on our equity method investee Moruga. Refer to Note 5 for more information.</w:t>
      </w:r>
    </w:p>
    <w:p>
      <w:pPr>
        <w:spacing w:after="0" w:line="47" w:lineRule="exact"/>
        <w:rPr>
          <w:rFonts w:ascii="Arial" w:cs="Arial" w:eastAsia="Arial" w:hAnsi="Arial"/>
          <w:sz w:val="15"/>
          <w:szCs w:val="15"/>
          <w:color w:val="auto"/>
          <w:vertAlign w:val="superscript"/>
        </w:rPr>
      </w:pPr>
    </w:p>
    <w:p>
      <w:pPr>
        <w:ind w:left="160" w:hanging="160"/>
        <w:spacing w:after="0" w:line="194" w:lineRule="auto"/>
        <w:tabs>
          <w:tab w:leader="none" w:pos="16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In fiscal year 2018, we recognized a pre-tax remeasurement gain of $62 million following the acquisition of Grupo Arato. Refer to Note 4 for more information.</w:t>
      </w:r>
    </w:p>
    <w:p>
      <w:pPr>
        <w:spacing w:after="0" w:line="48" w:lineRule="exact"/>
        <w:rPr>
          <w:rFonts w:ascii="Arial" w:cs="Arial" w:eastAsia="Arial" w:hAnsi="Arial"/>
          <w:sz w:val="15"/>
          <w:szCs w:val="15"/>
          <w:color w:val="auto"/>
          <w:vertAlign w:val="superscript"/>
        </w:rPr>
      </w:pPr>
    </w:p>
    <w:p>
      <w:pPr>
        <w:ind w:left="160" w:hanging="160"/>
        <w:spacing w:after="0" w:line="194" w:lineRule="auto"/>
        <w:tabs>
          <w:tab w:leader="none" w:pos="16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Calculated by dividing net sales from our Marketing &amp; Distribution segment by the total pounds of avocados sold in the stated period.</w:t>
      </w:r>
    </w:p>
    <w:p>
      <w:pPr>
        <w:spacing w:after="0" w:line="48" w:lineRule="exact"/>
        <w:rPr>
          <w:rFonts w:ascii="Arial" w:cs="Arial" w:eastAsia="Arial" w:hAnsi="Arial"/>
          <w:sz w:val="15"/>
          <w:szCs w:val="15"/>
          <w:color w:val="auto"/>
          <w:vertAlign w:val="superscript"/>
        </w:rPr>
      </w:pPr>
    </w:p>
    <w:p>
      <w:pPr>
        <w:ind w:left="160" w:hanging="160"/>
        <w:spacing w:after="0" w:line="194" w:lineRule="auto"/>
        <w:tabs>
          <w:tab w:leader="none" w:pos="16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Calculated by dividing gross profit by the total sales volume in the stated period.</w:t>
      </w:r>
    </w:p>
    <w:p>
      <w:pPr>
        <w:spacing w:after="0" w:line="352" w:lineRule="exact"/>
        <w:rPr>
          <w:sz w:val="20"/>
          <w:szCs w:val="20"/>
          <w:color w:val="auto"/>
        </w:rPr>
      </w:pPr>
    </w:p>
    <w:p>
      <w:pPr>
        <w:spacing w:after="0"/>
        <w:tabs>
          <w:tab w:leader="none" w:pos="1240" w:val="left"/>
        </w:tabs>
        <w:rPr>
          <w:sz w:val="20"/>
          <w:szCs w:val="20"/>
          <w:color w:val="auto"/>
        </w:rPr>
      </w:pPr>
      <w:r>
        <w:rPr>
          <w:rFonts w:ascii="Arial" w:cs="Arial" w:eastAsia="Arial" w:hAnsi="Arial"/>
          <w:sz w:val="23"/>
          <w:szCs w:val="23"/>
          <w:b w:val="1"/>
          <w:bCs w:val="1"/>
          <w:color w:val="232F84"/>
        </w:rPr>
        <w:t>Item 7.</w:t>
      </w:r>
      <w:r>
        <w:rPr>
          <w:sz w:val="20"/>
          <w:szCs w:val="20"/>
          <w:color w:val="auto"/>
        </w:rPr>
        <w:tab/>
      </w:r>
      <w:r>
        <w:rPr>
          <w:rFonts w:ascii="Arial" w:cs="Arial" w:eastAsia="Arial" w:hAnsi="Arial"/>
          <w:sz w:val="23"/>
          <w:szCs w:val="23"/>
          <w:b w:val="1"/>
          <w:bCs w:val="1"/>
          <w:color w:val="232F84"/>
        </w:rPr>
        <w:t>Management’s Discussion and Analysis of Financial Condition and Results of Operations</w:t>
      </w:r>
    </w:p>
    <w:p>
      <w:pPr>
        <w:spacing w:after="0" w:line="239"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Overview</w:t>
      </w:r>
    </w:p>
    <w:p>
      <w:pPr>
        <w:spacing w:after="0" w:line="227" w:lineRule="exact"/>
        <w:rPr>
          <w:sz w:val="20"/>
          <w:szCs w:val="20"/>
          <w:color w:val="auto"/>
        </w:rPr>
      </w:pPr>
    </w:p>
    <w:p>
      <w:pPr>
        <w:ind w:right="200" w:firstLine="600"/>
        <w:spacing w:after="0" w:line="248" w:lineRule="auto"/>
        <w:rPr>
          <w:sz w:val="20"/>
          <w:szCs w:val="20"/>
          <w:color w:val="auto"/>
        </w:rPr>
      </w:pPr>
      <w:r>
        <w:rPr>
          <w:rFonts w:ascii="Arial" w:cs="Arial" w:eastAsia="Arial" w:hAnsi="Arial"/>
          <w:sz w:val="15"/>
          <w:szCs w:val="15"/>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190" w:lineRule="exact"/>
        <w:rPr>
          <w:sz w:val="20"/>
          <w:szCs w:val="20"/>
          <w:color w:val="auto"/>
        </w:rPr>
      </w:pPr>
    </w:p>
    <w:p>
      <w:pPr>
        <w:ind w:right="20" w:firstLine="600"/>
        <w:spacing w:after="0" w:line="267" w:lineRule="auto"/>
        <w:rPr>
          <w:sz w:val="20"/>
          <w:szCs w:val="20"/>
          <w:color w:val="auto"/>
        </w:rPr>
      </w:pPr>
      <w:r>
        <w:rPr>
          <w:rFonts w:ascii="Arial" w:cs="Arial" w:eastAsia="Arial" w:hAnsi="Arial"/>
          <w:sz w:val="14"/>
          <w:szCs w:val="14"/>
          <w:color w:val="auto"/>
        </w:rPr>
        <w:t>We have two operating segments, which are also reporting segments. These reporting segments are Marketing and Distribution and International Farming. Our Marketing and Distribution reporting segment primarily sources fruit from growers and then distributes the fruit through our global distribution network. Our International Farming segment owns and operates avocado orchards (principally located in Peru) that supply our Marketing and Distribution segment with a stable supply of avocados. Substantially all of the avocados produced by our International Farming segment are sold to our Marketing and Distribution segment. Our International Farming segment represents the operations of Grupo Arato, which was accounted for under the equity method of accounting until we consolidated the entity on September 20, 2018.</w:t>
      </w: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40"/>
          </w:cols>
          <w:pgMar w:left="320" w:top="1413" w:right="339" w:bottom="1440" w:gutter="0" w:footer="0" w:header="0"/>
        </w:sectPr>
      </w:pPr>
    </w:p>
    <w:bookmarkStart w:id="23" w:name="page24"/>
    <w:bookmarkEnd w:id="23"/>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Recent developments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IPO</w:t>
      </w:r>
    </w:p>
    <w:p>
      <w:pPr>
        <w:spacing w:after="0" w:line="218" w:lineRule="exact"/>
        <w:rPr>
          <w:sz w:val="20"/>
          <w:szCs w:val="20"/>
          <w:color w:val="auto"/>
        </w:rPr>
      </w:pPr>
    </w:p>
    <w:p>
      <w:pPr>
        <w:jc w:val="both"/>
        <w:ind w:right="160" w:firstLine="600"/>
        <w:spacing w:after="0" w:line="248" w:lineRule="auto"/>
        <w:rPr>
          <w:sz w:val="20"/>
          <w:szCs w:val="20"/>
          <w:color w:val="auto"/>
        </w:rPr>
      </w:pPr>
      <w:r>
        <w:rPr>
          <w:rFonts w:ascii="Arial" w:cs="Arial" w:eastAsia="Arial" w:hAnsi="Arial"/>
          <w:sz w:val="15"/>
          <w:szCs w:val="15"/>
          <w:color w:val="auto"/>
        </w:rPr>
        <w:t>In October 2020, we completed our IPO of common stock, in which we sold 7,450,000 shares and 1,750,000 shares were sold by certain selling stockholders. The shares began trading on the Nasdaq Global Select Market on October 1, 2020 at a public offering price of $12.00 per share. Net proceeds were $78.1 million, after deducting underwriting discounts and issuance costs. We intend to use the proceeds for working capital and other general corporate purposes.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Moruga impairment</w:t>
      </w:r>
    </w:p>
    <w:p>
      <w:pPr>
        <w:spacing w:after="0" w:line="218"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During the second quarter of fiscal year 2020, industry-wide production information regarding the 2019-2020 blueberry harvest in Peru became available. As a result, we tested our investment in Moruga for impairment and concluded that the estimated fair value of the investment in Moruga was less than the carrying value of the investment and we concluded that the impairment is other-than-temporary. We recorded a non-cash impairment charge of $21.2 million to reduce the carrying balance of the investment to its estimated fair value of $22.2 million during the second quarter of fiscal year 2020 (see Note 5 to the Consolidated Financial Statements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COVID-19 pandemic impact</w:t>
      </w:r>
    </w:p>
    <w:p>
      <w:pPr>
        <w:spacing w:after="0" w:line="218"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 COVID-19 pandemic has negatively impacted the global economy, disrupted global supply chains and created significant volatility and disruption of financial markets. Government imposed closures and shelter-in-place orders across our key global markets have created volatility in supply and demand conditions. We have successfully implemented contingency plans throughout our operations in the U.S., Mexico and Peru in response to these dynamic market conditions. We believe that we are well positioned for the future as we continue to navigate the crisis and prepare for an eventual return to a more normal operating environment.</w:t>
      </w:r>
    </w:p>
    <w:p>
      <w:pPr>
        <w:spacing w:after="0" w:line="193" w:lineRule="exact"/>
        <w:rPr>
          <w:sz w:val="20"/>
          <w:szCs w:val="20"/>
          <w:color w:val="auto"/>
        </w:rPr>
      </w:pPr>
    </w:p>
    <w:p>
      <w:pPr>
        <w:ind w:right="80" w:firstLine="600"/>
        <w:spacing w:after="0" w:line="266" w:lineRule="auto"/>
        <w:rPr>
          <w:sz w:val="20"/>
          <w:szCs w:val="20"/>
          <w:color w:val="auto"/>
        </w:rPr>
      </w:pPr>
      <w:r>
        <w:rPr>
          <w:rFonts w:ascii="Arial" w:cs="Arial" w:eastAsia="Arial" w:hAnsi="Arial"/>
          <w:sz w:val="14"/>
          <w:szCs w:val="14"/>
          <w:color w:val="auto"/>
        </w:rPr>
        <w:t>The COVID-19 pandemic began to have an adverse impact on our operating results during March, resulting in cancelled orders and altered customer buying patterns. The effects of the pandemic were most pronounced with our foodservice customer base. However, we have managed the COVID-19 pandemic thus far with minimal disruption to our overall business. In response to the COVID-19 disruptions, we have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unsure of the degree to which the pandemic will impact our future performance. The extent of the impact will depend on numerous factors, including the duration and spread of the pandemic and related government restrictions, which are uncertain and cannot be predicted.</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Results of Operations</w:t>
      </w:r>
    </w:p>
    <w:p>
      <w:pPr>
        <w:spacing w:after="0" w:line="227" w:lineRule="exact"/>
        <w:rPr>
          <w:sz w:val="20"/>
          <w:szCs w:val="20"/>
          <w:color w:val="auto"/>
        </w:rPr>
      </w:pPr>
    </w:p>
    <w:p>
      <w:pPr>
        <w:ind w:right="120" w:firstLine="600"/>
        <w:spacing w:after="0" w:line="246" w:lineRule="auto"/>
        <w:rPr>
          <w:sz w:val="20"/>
          <w:szCs w:val="20"/>
          <w:color w:val="auto"/>
        </w:rPr>
      </w:pPr>
      <w:r>
        <w:rPr>
          <w:rFonts w:ascii="Arial" w:cs="Arial" w:eastAsia="Arial" w:hAnsi="Arial"/>
          <w:sz w:val="15"/>
          <w:szCs w:val="15"/>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93"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Our financial reporting currency is the U.S. dollar and the functional currency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w:t>
      </w:r>
    </w:p>
    <w:p>
      <w:pPr>
        <w:spacing w:after="0" w:line="200" w:lineRule="exact"/>
        <w:rPr>
          <w:sz w:val="20"/>
          <w:szCs w:val="20"/>
          <w:color w:val="auto"/>
        </w:rPr>
      </w:pP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02"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186" w:lineRule="exact"/>
        <w:rPr>
          <w:sz w:val="20"/>
          <w:szCs w:val="20"/>
          <w:color w:val="auto"/>
        </w:rPr>
      </w:pPr>
    </w:p>
    <w:p>
      <w:pPr>
        <w:ind w:right="140" w:firstLine="600"/>
        <w:spacing w:after="0" w:line="248" w:lineRule="auto"/>
        <w:rPr>
          <w:sz w:val="20"/>
          <w:szCs w:val="20"/>
          <w:color w:val="auto"/>
        </w:rPr>
      </w:pPr>
      <w:r>
        <w:rPr>
          <w:rFonts w:ascii="Arial" w:cs="Arial" w:eastAsia="Arial" w:hAnsi="Arial"/>
          <w:sz w:val="15"/>
          <w:szCs w:val="15"/>
          <w:color w:val="auto"/>
        </w:rPr>
        <w:t>Prior to September 21, 2018, we owned a 50% interest in Grupo Arato, during which time it was accounted for under the equity method. On September 20, 2018, we acquired the remaining 50% interest in Grupo Arato, at which time we ceased accounting for this investment under the equity method and consolidated Grupo Arato within the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Year Ended October 31,</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92"/>
        </w:trPr>
        <w:tc>
          <w:tcPr>
            <w:tcW w:w="4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2019</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2018</w:t>
            </w:r>
          </w:p>
        </w:tc>
        <w:tc>
          <w:tcPr>
            <w:tcW w:w="780" w:type="dxa"/>
            <w:vAlign w:val="bottom"/>
            <w:tcBorders>
              <w:bottom w:val="single" w:sz="8" w:color="auto"/>
            </w:tcBorders>
          </w:tcPr>
          <w:p>
            <w:pPr>
              <w:spacing w:after="0"/>
              <w:rPr>
                <w:sz w:val="16"/>
                <w:szCs w:val="16"/>
                <w:color w:val="auto"/>
              </w:rPr>
            </w:pPr>
          </w:p>
        </w:tc>
      </w:tr>
      <w:tr>
        <w:trPr>
          <w:trHeight w:val="192"/>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Dollar</w:t>
            </w: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Dollar</w:t>
            </w: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Dollar</w:t>
            </w: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862.3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883.3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859.9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r>
      <w:tr>
        <w:trPr>
          <w:trHeight w:val="19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Cost of sales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737.7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728.6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805.9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93.7 %</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124.6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154.7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54.0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9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56.2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48.2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35.3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4.1 %</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68.4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106.5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18.7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195"/>
        </w:trPr>
        <w:tc>
          <w:tcPr>
            <w:tcW w:w="43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3"/>
                <w:szCs w:val="13"/>
                <w:color w:val="auto"/>
              </w:rPr>
              <w:t>(6.7)</w:t>
            </w:r>
          </w:p>
        </w:tc>
        <w:tc>
          <w:tcPr>
            <w:tcW w:w="80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Arial" w:cs="Arial" w:eastAsia="Arial" w:hAnsi="Arial"/>
                <w:sz w:val="13"/>
                <w:szCs w:val="13"/>
                <w:color w:val="auto"/>
              </w:rPr>
              <w:t>(10.3)</w:t>
            </w:r>
          </w:p>
        </w:tc>
        <w:tc>
          <w:tcPr>
            <w:tcW w:w="78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Arial" w:cs="Arial" w:eastAsia="Arial" w:hAnsi="Arial"/>
                <w:sz w:val="13"/>
                <w:szCs w:val="13"/>
                <w:color w:val="auto"/>
              </w:rPr>
              <w:t>(5.4)</w:t>
            </w: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income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3.4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12.4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195"/>
        </w:trPr>
        <w:tc>
          <w:tcPr>
            <w:tcW w:w="4340" w:type="dxa"/>
            <w:vAlign w:val="bottom"/>
          </w:tcPr>
          <w:p>
            <w:pPr>
              <w:ind w:left="20"/>
              <w:spacing w:after="0"/>
              <w:rPr>
                <w:sz w:val="20"/>
                <w:szCs w:val="20"/>
                <w:color w:val="auto"/>
              </w:rPr>
            </w:pPr>
            <w:r>
              <w:rPr>
                <w:rFonts w:ascii="Arial" w:cs="Arial" w:eastAsia="Arial" w:hAnsi="Arial"/>
                <w:sz w:val="13"/>
                <w:szCs w:val="13"/>
                <w:color w:val="auto"/>
              </w:rPr>
              <w:t>Impairment on equity method investment</w:t>
            </w:r>
          </w:p>
        </w:tc>
        <w:tc>
          <w:tcPr>
            <w:tcW w:w="22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3"/>
                <w:szCs w:val="13"/>
                <w:color w:val="auto"/>
              </w:rPr>
              <w:t>(21.2)</w:t>
            </w: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62.0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r>
      <w:tr>
        <w:trPr>
          <w:trHeight w:val="19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(expense) income, net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(0.7)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(3.6)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0.9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0.1 %</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43.8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96.0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88.6</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r>
      <w:tr>
        <w:trPr>
          <w:trHeight w:val="19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Provision for income taxes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15.0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24.3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16.2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1.9 %</w:t>
            </w:r>
          </w:p>
        </w:tc>
      </w:tr>
      <w:tr>
        <w:trPr>
          <w:trHeight w:val="192"/>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3"/>
                <w:szCs w:val="13"/>
                <w:color w:val="auto"/>
              </w:rPr>
              <w:t>28.8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rPr>
              <w:t>71.7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rPr>
              <w:t>72.4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Net sales</w:t>
      </w:r>
    </w:p>
    <w:p>
      <w:pPr>
        <w:spacing w:after="0" w:line="220"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Our net sales are generated predominantly from the shipment of fresh avocados to retail, wholesale and foodservice customers worldwide. Our net sales are affected by numerous factors, including mainly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Pr>
          <w:p>
            <w:pPr>
              <w:ind w:left="220"/>
              <w:spacing w:after="0"/>
              <w:rPr>
                <w:sz w:val="20"/>
                <w:szCs w:val="20"/>
                <w:color w:val="auto"/>
              </w:rPr>
            </w:pPr>
            <w:r>
              <w:rPr>
                <w:rFonts w:ascii="Arial" w:cs="Arial" w:eastAsia="Arial" w:hAnsi="Arial"/>
                <w:sz w:val="13"/>
                <w:szCs w:val="13"/>
                <w:color w:val="auto"/>
              </w:rPr>
              <w:t>Marketing and Distribution</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846.9</w:t>
            </w:r>
          </w:p>
        </w:tc>
        <w:tc>
          <w:tcPr>
            <w:tcW w:w="4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873.7</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858.5</w:t>
            </w:r>
          </w:p>
        </w:tc>
      </w:tr>
      <w:tr>
        <w:trPr>
          <w:trHeight w:val="200"/>
        </w:trPr>
        <w:tc>
          <w:tcPr>
            <w:tcW w:w="7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International Farming</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9.6</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862.3</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883.3</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859.9</w:t>
            </w:r>
          </w:p>
        </w:tc>
      </w:tr>
    </w:tbl>
    <w:p>
      <w:pPr>
        <w:spacing w:after="0" w:line="202" w:lineRule="exact"/>
        <w:rPr>
          <w:sz w:val="20"/>
          <w:szCs w:val="20"/>
          <w:color w:val="auto"/>
        </w:rPr>
      </w:pPr>
    </w:p>
    <w:p>
      <w:pPr>
        <w:ind w:right="220" w:firstLine="600"/>
        <w:spacing w:after="0" w:line="248" w:lineRule="auto"/>
        <w:rPr>
          <w:sz w:val="20"/>
          <w:szCs w:val="20"/>
          <w:color w:val="auto"/>
        </w:rPr>
      </w:pPr>
      <w:r>
        <w:rPr>
          <w:rFonts w:ascii="Arial" w:cs="Arial" w:eastAsia="Arial" w:hAnsi="Arial"/>
          <w:sz w:val="15"/>
          <w:szCs w:val="15"/>
          <w:color w:val="auto"/>
        </w:rPr>
        <w:t>Net sales decreased $21.0 million or 2% in fiscal year 2020 compared to fiscal year 2019 primarily due to a 12% decrease in average per unit sales prices partially offset by an 11% increase in volume. Average price decreases were concentrated in the second half of fiscal year 2020 primarily due to strong industry supply relative to prior year in California and Peru related to weather conditions.</w:t>
      </w:r>
    </w:p>
    <w:p>
      <w:pPr>
        <w:spacing w:after="0" w:line="190"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Net sales increased $23.4 million or 3% in fiscal year 2019 compared to fiscal year 2018 primarily due to an increase in the average sales price per pound of 18% compared to fiscal year 2018. The increase in average sales price per pound was partially offset by a 13% decrease in volume of avocados sold due primarily to lower industry supply conditions. We attribute much of the increase in price to the strong consumer demand throughout the year and limited industry supply. Industry supply was negatively impacted by weather-related events in Peru and California, while the percentage growth in exportable production from Mexico was lower than prior years. The increase in International Farming net sales is due to the full year impact of consolidating Grupo Arato. Grupo Arato sells virtually all of its fruit to our Marketing and Distribution segment, and its third-party revenues are primarily derived from packing services provided to avocado and blueberry growers in Peru.</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Gross profit</w:t>
      </w:r>
    </w:p>
    <w:p>
      <w:pPr>
        <w:spacing w:after="0" w:line="220" w:lineRule="exact"/>
        <w:rPr>
          <w:sz w:val="20"/>
          <w:szCs w:val="20"/>
          <w:color w:val="auto"/>
        </w:rPr>
      </w:pPr>
    </w:p>
    <w:p>
      <w:pPr>
        <w:ind w:right="100" w:firstLine="600"/>
        <w:spacing w:after="0" w:line="248" w:lineRule="auto"/>
        <w:rPr>
          <w:sz w:val="20"/>
          <w:szCs w:val="20"/>
          <w:color w:val="auto"/>
        </w:rPr>
      </w:pPr>
      <w:r>
        <w:rPr>
          <w:rFonts w:ascii="Arial" w:cs="Arial" w:eastAsia="Arial" w:hAnsi="Arial"/>
          <w:sz w:val="15"/>
          <w:szCs w:val="15"/>
          <w:color w:val="auto"/>
        </w:rPr>
        <w:t>Costs of sales is composed primarily of avocado procurement costs from independent growers and packers, logistic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02" w:lineRule="exact"/>
        <w:rPr>
          <w:sz w:val="20"/>
          <w:szCs w:val="20"/>
          <w:color w:val="auto"/>
        </w:rPr>
      </w:pPr>
    </w:p>
    <w:p>
      <w:pPr>
        <w:ind w:right="300"/>
        <w:spacing w:after="0" w:line="253" w:lineRule="auto"/>
        <w:rPr>
          <w:sz w:val="20"/>
          <w:szCs w:val="20"/>
          <w:color w:val="auto"/>
        </w:rPr>
      </w:pPr>
      <w:r>
        <w:rPr>
          <w:rFonts w:ascii="Arial" w:cs="Arial" w:eastAsia="Arial" w:hAnsi="Arial"/>
          <w:sz w:val="15"/>
          <w:szCs w:val="15"/>
          <w:color w:val="auto"/>
        </w:rPr>
        <w:t>relationships with our growers and packers, we predominantly purchase fruit on a daily basis at market rates. As such, the cost to procure products from independent growers can have a significant impact on our costs.</w:t>
      </w:r>
    </w:p>
    <w:p>
      <w:pPr>
        <w:spacing w:after="0" w:line="186" w:lineRule="exact"/>
        <w:rPr>
          <w:sz w:val="20"/>
          <w:szCs w:val="20"/>
          <w:color w:val="auto"/>
        </w:rPr>
      </w:pPr>
    </w:p>
    <w:p>
      <w:pPr>
        <w:ind w:right="120" w:firstLine="600"/>
        <w:spacing w:after="0" w:line="245" w:lineRule="auto"/>
        <w:rPr>
          <w:sz w:val="20"/>
          <w:szCs w:val="20"/>
          <w:color w:val="auto"/>
        </w:rPr>
      </w:pPr>
      <w:r>
        <w:rPr>
          <w:rFonts w:ascii="Arial" w:cs="Arial" w:eastAsia="Arial" w:hAnsi="Arial"/>
          <w:sz w:val="15"/>
          <w:szCs w:val="15"/>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194"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In general, changes in our volume of products sold can have a disproportionate effect on our gross profit. Within any particular year, a significant portion of our cost of products are fixed, particularly in our International Farming segment. Accordingly, higher volumes processed through packing and distribution facilities or produced on company-owned farms directly reduce the average cost per pound of fruit grown on company owned orchards, while lower volumes directly increase the average cost per pound of fruit grown on company owned orchards.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6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2018</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 (in millions)</w:t>
            </w: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124.6</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154.7</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54.0</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Gross profit as a percentage of net sales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14.4 %</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17.5 %</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6.3 %</w:t>
            </w:r>
          </w:p>
        </w:tc>
      </w:tr>
    </w:tbl>
    <w:p>
      <w:pPr>
        <w:spacing w:after="0" w:line="202"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Gross profit decreased fiscal year 2020 over fiscal year 2019 as a result of lower gross margin percentage partially offset by higher sales volumes. Our gross margin percentage decreased 310 basis points primarily due to higher third-party fruit costs during first quarter of fiscal year 2020 compared to the same period of last year. The market conditions experienced during the early part of fiscal year 2019 were non-recurring in nature, as customer prices remained steady despite significant declines in fruit costs incurred due to the instability of supply from Mexico. In addition, gross profit in the International Farming segment was negatively impacted by lower sales pricing during the second half of fiscal year 2020 due to larger industry volumes from California and Peru relative to prior year.</w:t>
      </w:r>
    </w:p>
    <w:p>
      <w:pPr>
        <w:spacing w:after="0" w:line="194"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Fiscal year 2019 performance benefited from increased profit on the sale of avocados sourced from third-party growers that was due to improved efficiency in several key areas across our product sourcing, production and distribution footprint, which helped to complement the favorable market supply conditions and continued strong consumer demand. Fiscal year 2019 gross margins and margin percentage also benefited from growth in and the full year impact of consolidating Grupo Arato into our International Farming segment, which on average generates a significantly higher gross margin percentage than our historical Marketing and Distribution 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Selling, general and administrative expenses</w:t>
      </w:r>
    </w:p>
    <w:p>
      <w:pPr>
        <w:spacing w:after="0" w:line="220" w:lineRule="exact"/>
        <w:rPr>
          <w:sz w:val="20"/>
          <w:szCs w:val="20"/>
          <w:color w:val="auto"/>
        </w:rPr>
      </w:pPr>
    </w:p>
    <w:p>
      <w:pPr>
        <w:ind w:right="500" w:firstLine="600"/>
        <w:spacing w:after="0" w:line="253" w:lineRule="auto"/>
        <w:rPr>
          <w:sz w:val="20"/>
          <w:szCs w:val="20"/>
          <w:color w:val="auto"/>
        </w:rPr>
      </w:pPr>
      <w:r>
        <w:rPr>
          <w:rFonts w:ascii="Arial" w:cs="Arial" w:eastAsia="Arial" w:hAnsi="Arial"/>
          <w:sz w:val="15"/>
          <w:szCs w:val="15"/>
          <w:color w:val="auto"/>
        </w:rPr>
        <w:t>Selling, general and administrative expenses primarily include the costs associated with selling, advertising and promotional expenses, professional fees, general corporate overhead and other related administrative functions.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48.2</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r>
    </w:tbl>
    <w:p>
      <w:pPr>
        <w:spacing w:after="0" w:line="202" w:lineRule="exact"/>
        <w:rPr>
          <w:sz w:val="20"/>
          <w:szCs w:val="20"/>
          <w:color w:val="auto"/>
        </w:rPr>
      </w:pPr>
    </w:p>
    <w:p>
      <w:pPr>
        <w:ind w:right="60" w:firstLine="600"/>
        <w:spacing w:after="0" w:line="248" w:lineRule="auto"/>
        <w:rPr>
          <w:sz w:val="20"/>
          <w:szCs w:val="20"/>
          <w:color w:val="auto"/>
        </w:rPr>
      </w:pPr>
      <w:r>
        <w:rPr>
          <w:rFonts w:ascii="Arial" w:cs="Arial" w:eastAsia="Arial" w:hAnsi="Arial"/>
          <w:sz w:val="15"/>
          <w:szCs w:val="15"/>
          <w:color w:val="auto"/>
        </w:rPr>
        <w:t>Selling, general and administrative expenses increased $8.0 million or 17% in fiscal year 2020 compared to fiscal year 2019 primarily due to higher stock-based compensation expense due to an award that vested during the fourth quarter of fiscal year 2020 in connection with the successful completion of our IPO. We also incurred higher professional fees as well as organizational costs associated with the establishment of farming operations in Guatemala.</w:t>
      </w:r>
    </w:p>
    <w:p>
      <w:pPr>
        <w:spacing w:after="0" w:line="190" w:lineRule="exact"/>
        <w:rPr>
          <w:sz w:val="20"/>
          <w:szCs w:val="20"/>
          <w:color w:val="auto"/>
        </w:rPr>
      </w:pPr>
    </w:p>
    <w:p>
      <w:pPr>
        <w:ind w:firstLine="600"/>
        <w:spacing w:after="0" w:line="248" w:lineRule="auto"/>
        <w:rPr>
          <w:sz w:val="20"/>
          <w:szCs w:val="20"/>
          <w:color w:val="auto"/>
        </w:rPr>
      </w:pPr>
      <w:r>
        <w:rPr>
          <w:rFonts w:ascii="Arial" w:cs="Arial" w:eastAsia="Arial" w:hAnsi="Arial"/>
          <w:sz w:val="15"/>
          <w:szCs w:val="15"/>
          <w:color w:val="auto"/>
        </w:rPr>
        <w:t>Selling, general and administrative expenses increased $12.9 million or 37% in fiscal year 2019 compared to fiscal year 2018 primarily due to an increase in accrued management bonuses (approximately $5.5 million due to operating income growth), the full year impact of consolidating Grupo Arato (approximately $7.1 million) and higher professional fees.</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Equity method investees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Equity method income is primarily generated by earnings or losses from our investments in Henry Avocado, Moruga and Shanghai Mr Avocado Ltd.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income</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3.4</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Impairment on equity method investment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r>
    </w:tbl>
    <w:p>
      <w:pPr>
        <w:spacing w:after="0" w:line="202" w:lineRule="exact"/>
        <w:rPr>
          <w:sz w:val="20"/>
          <w:szCs w:val="20"/>
          <w:color w:val="auto"/>
        </w:rPr>
      </w:pPr>
    </w:p>
    <w:p>
      <w:pPr>
        <w:ind w:right="120" w:firstLine="600"/>
        <w:spacing w:after="0" w:line="253" w:lineRule="auto"/>
        <w:rPr>
          <w:sz w:val="20"/>
          <w:szCs w:val="20"/>
          <w:color w:val="auto"/>
        </w:rPr>
      </w:pPr>
      <w:r>
        <w:rPr>
          <w:rFonts w:ascii="Arial" w:cs="Arial" w:eastAsia="Arial" w:hAnsi="Arial"/>
          <w:sz w:val="15"/>
          <w:szCs w:val="15"/>
          <w:color w:val="auto"/>
        </w:rPr>
        <w:t>Equity method income increased $0.6 million or 18% in fiscal year 2020 compared to fiscal year 2019 due to earnings increases from Moruga due to the timing of blueberry harvests in Peru, partially offset by a decrease in earnings from Henry Avocado.</w:t>
      </w:r>
    </w:p>
    <w:p>
      <w:pPr>
        <w:spacing w:after="0" w:line="186"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During the second quarter of fiscal year 2020, industry wide production information regarding the 2019-2020 blueberry harvest in Peru became available, indicating that there is greater competition and expansion by competitors than what we were previously expecting. We believe that the increase in supply due to expansion will result in a reduction in pricing over the long-term. As a result of this factor, among others, we lowered our long-term revenue and profitability forecasts of Moruga during the second quarter of fiscal year 2020, and concluded that the reduction in the forecasted revenues was an indicator of impairment. As a result, we tested our investment in Moruga for impairment and concluded that the estimated fair value of the investment in Moruga was less than the carrying value of the investment. Due to the change in long-term pricing and revenue expectations, we concluded that the impairment is other-than-temporary. We recorded an impairment charge of $21.2 million to reduce the carrying balance of the investment to its estimated fair value of $22.2 million during the second quarter of fiscal year 2020 (see Note 5 to the Consolidated Financial Statements for more information).</w:t>
      </w:r>
    </w:p>
    <w:p>
      <w:pPr>
        <w:spacing w:after="0" w:line="197" w:lineRule="exact"/>
        <w:rPr>
          <w:sz w:val="20"/>
          <w:szCs w:val="20"/>
          <w:color w:val="auto"/>
        </w:rPr>
      </w:pPr>
    </w:p>
    <w:p>
      <w:pPr>
        <w:jc w:val="both"/>
        <w:ind w:right="100" w:firstLine="600"/>
        <w:spacing w:after="0" w:line="246" w:lineRule="auto"/>
        <w:rPr>
          <w:sz w:val="20"/>
          <w:szCs w:val="20"/>
          <w:color w:val="auto"/>
        </w:rPr>
      </w:pPr>
      <w:r>
        <w:rPr>
          <w:rFonts w:ascii="Arial" w:cs="Arial" w:eastAsia="Arial" w:hAnsi="Arial"/>
          <w:sz w:val="15"/>
          <w:szCs w:val="15"/>
          <w:color w:val="auto"/>
        </w:rPr>
        <w:t>Equity method income decreased fiscal year 2019 over fiscal year 2018 due to the acquisition and subsequent consolidation of our investment in Grupo Arato (approximately $8.4 million). In fiscal year 2018, earnings from our investment in Grupo Arato were accounted for as equity method income through September 2018. In September 2018, we acquired the remaining outstanding capital stock of Grupo Arato, which resulted in a remeasurement gain of $62 million recorded during fiscal year 2018.</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Interest expense</w:t>
      </w:r>
    </w:p>
    <w:p>
      <w:pPr>
        <w:spacing w:after="0" w:line="220" w:lineRule="exact"/>
        <w:rPr>
          <w:sz w:val="20"/>
          <w:szCs w:val="20"/>
          <w:color w:val="auto"/>
        </w:rPr>
      </w:pPr>
    </w:p>
    <w:p>
      <w:pPr>
        <w:jc w:val="both"/>
        <w:ind w:right="120" w:firstLine="600"/>
        <w:spacing w:after="0" w:line="253" w:lineRule="auto"/>
        <w:rPr>
          <w:sz w:val="20"/>
          <w:szCs w:val="20"/>
          <w:color w:val="auto"/>
        </w:rPr>
      </w:pPr>
      <w:r>
        <w:rPr>
          <w:rFonts w:ascii="Arial" w:cs="Arial" w:eastAsia="Arial" w:hAnsi="Arial"/>
          <w:sz w:val="15"/>
          <w:szCs w:val="15"/>
          <w:color w:val="auto"/>
        </w:rPr>
        <w:t>Interest expense consists primarily of interest on borrowings under working capital facilities that we maintain and interest on other long-term debt used to make capital and equity investments.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10.3</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r>
    </w:tbl>
    <w:p>
      <w:pPr>
        <w:spacing w:after="0" w:line="202" w:lineRule="exact"/>
        <w:rPr>
          <w:sz w:val="20"/>
          <w:szCs w:val="20"/>
          <w:color w:val="auto"/>
        </w:rPr>
      </w:pPr>
    </w:p>
    <w:p>
      <w:pPr>
        <w:jc w:val="both"/>
        <w:ind w:right="20" w:firstLine="600"/>
        <w:spacing w:after="0" w:line="248" w:lineRule="auto"/>
        <w:rPr>
          <w:sz w:val="20"/>
          <w:szCs w:val="20"/>
          <w:color w:val="auto"/>
        </w:rPr>
      </w:pPr>
      <w:r>
        <w:rPr>
          <w:rFonts w:ascii="Arial" w:cs="Arial" w:eastAsia="Arial" w:hAnsi="Arial"/>
          <w:sz w:val="15"/>
          <w:szCs w:val="15"/>
          <w:color w:val="auto"/>
        </w:rPr>
        <w:t>Interest expense decreased $3.6 million or 35% in fiscal year 2020 compared to fiscal year 2019 due to a combination of lower interest rates and lower average debt balances. A substantial portion of our debt has variable interest rates that are based on LIBOR, which has declined significantly since fiscal year 2019. Average debt balances were lower reflecting principal payments of existing long-term debt as well as prepayments of term debt that were made in fiscal year 2019.</w:t>
      </w:r>
    </w:p>
    <w:p>
      <w:pPr>
        <w:spacing w:after="0" w:line="190" w:lineRule="exact"/>
        <w:rPr>
          <w:sz w:val="20"/>
          <w:szCs w:val="20"/>
          <w:color w:val="auto"/>
        </w:rPr>
      </w:pPr>
    </w:p>
    <w:p>
      <w:pPr>
        <w:ind w:right="180" w:firstLine="600"/>
        <w:spacing w:after="0" w:line="253" w:lineRule="auto"/>
        <w:rPr>
          <w:sz w:val="20"/>
          <w:szCs w:val="20"/>
          <w:color w:val="auto"/>
        </w:rPr>
      </w:pPr>
      <w:r>
        <w:rPr>
          <w:rFonts w:ascii="Arial" w:cs="Arial" w:eastAsia="Arial" w:hAnsi="Arial"/>
          <w:sz w:val="15"/>
          <w:szCs w:val="15"/>
          <w:color w:val="auto"/>
        </w:rPr>
        <w:t>Interest expense increased $4.9 million or 91% in fiscal year 2019 compared to fiscal year 2018 due to higher average debt balances, principally as a result of the full year impact of the additional borrowings that were used to finance the Grupo Arato acquisition in September 2018.</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Other (expense) income, net</w:t>
      </w:r>
    </w:p>
    <w:p>
      <w:pPr>
        <w:spacing w:after="0" w:line="220" w:lineRule="exact"/>
        <w:rPr>
          <w:sz w:val="20"/>
          <w:szCs w:val="20"/>
          <w:color w:val="auto"/>
        </w:rPr>
      </w:pPr>
    </w:p>
    <w:p>
      <w:pPr>
        <w:ind w:right="280" w:firstLine="600"/>
        <w:spacing w:after="0" w:line="253" w:lineRule="auto"/>
        <w:rPr>
          <w:sz w:val="20"/>
          <w:szCs w:val="20"/>
          <w:color w:val="auto"/>
        </w:rPr>
      </w:pPr>
      <w:r>
        <w:rPr>
          <w:rFonts w:ascii="Arial" w:cs="Arial" w:eastAsia="Arial" w:hAnsi="Arial"/>
          <w:sz w:val="15"/>
          <w:szCs w:val="15"/>
          <w:color w:val="auto"/>
        </w:rPr>
        <w:t>Other (expense) income, net consists of interest income, currency exchange gains or losses, interest rate derivative gains or losses and other miscellaneous income and expense items.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(3.6)</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bl>
    <w:p>
      <w:pPr>
        <w:spacing w:after="0" w:line="202" w:lineRule="exact"/>
        <w:rPr>
          <w:sz w:val="20"/>
          <w:szCs w:val="20"/>
          <w:color w:val="auto"/>
        </w:rPr>
      </w:pPr>
    </w:p>
    <w:p>
      <w:pPr>
        <w:ind w:right="100" w:firstLine="600"/>
        <w:spacing w:after="0" w:line="248" w:lineRule="auto"/>
        <w:rPr>
          <w:sz w:val="20"/>
          <w:szCs w:val="20"/>
          <w:color w:val="auto"/>
        </w:rPr>
      </w:pPr>
      <w:r>
        <w:rPr>
          <w:rFonts w:ascii="Arial" w:cs="Arial" w:eastAsia="Arial" w:hAnsi="Arial"/>
          <w:sz w:val="15"/>
          <w:szCs w:val="15"/>
          <w:color w:val="auto"/>
        </w:rPr>
        <w:t>Other expense decreased $2.9 million or 81% in fiscal year 2020 compared to fiscal year 2019 primarily due to foreign currency gains resulting from the weakening of the Mexican peso exchange rate relative to the US dollar and higher interest income due to higher average cash balances, partially offset by higher losses on interest rate contracts driven by market movements in short-term interest rates during fiscal year 2020.</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02"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Other (expense) income, net decreased $4.5 million or 491% in fiscal year 2019 compared to fiscal year 2018 primarily due to unrealized losses on interest rate contracts intended to fix interest rates on long-term debt resulting from declining short-term interest rates as well as foreign currency exchange losses that resulted from a weaker US dollar relative to the Mexican peso over the course of the year. These impacts were partially offset by higher interest income resulting from higher bank balances and the non-recurrence of debt extinguishment costs incurred in fiscal year 2018 in relation to debt refinancing performed subsequent to the Grupo Arato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Provision for income taxes</w:t>
      </w:r>
    </w:p>
    <w:p>
      <w:pPr>
        <w:spacing w:after="0" w:line="220" w:lineRule="exact"/>
        <w:rPr>
          <w:sz w:val="20"/>
          <w:szCs w:val="20"/>
          <w:color w:val="auto"/>
        </w:rPr>
      </w:pPr>
    </w:p>
    <w:p>
      <w:pPr>
        <w:ind w:right="140" w:firstLine="600"/>
        <w:spacing w:after="0" w:line="246" w:lineRule="auto"/>
        <w:rPr>
          <w:sz w:val="20"/>
          <w:szCs w:val="20"/>
          <w:color w:val="auto"/>
        </w:rPr>
      </w:pPr>
      <w:r>
        <w:rPr>
          <w:rFonts w:ascii="Arial" w:cs="Arial" w:eastAsia="Arial" w:hAnsi="Arial"/>
          <w:sz w:val="15"/>
          <w:szCs w:val="15"/>
          <w:color w:val="auto"/>
        </w:rPr>
        <w:t>The provision for income taxes consists of the consolidation of the tax provisions, computed on a separate entity basis, in each country in which we have operations. We recognize the effects of tax legislation in the period in which the law is enacted. Our deferred tax assets and liabilities are remeasured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93" w:lineRule="exact"/>
        <w:rPr>
          <w:sz w:val="20"/>
          <w:szCs w:val="20"/>
          <w:color w:val="auto"/>
        </w:rPr>
      </w:pPr>
    </w:p>
    <w:p>
      <w:pPr>
        <w:ind w:right="380" w:firstLine="600"/>
        <w:spacing w:after="0" w:line="246" w:lineRule="auto"/>
        <w:rPr>
          <w:sz w:val="20"/>
          <w:szCs w:val="20"/>
          <w:color w:val="auto"/>
        </w:rPr>
      </w:pPr>
      <w:r>
        <w:rPr>
          <w:rFonts w:ascii="Arial" w:cs="Arial" w:eastAsia="Arial" w:hAnsi="Arial"/>
          <w:sz w:val="15"/>
          <w:szCs w:val="15"/>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October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6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2018</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 (in millions)</w:t>
            </w:r>
          </w:p>
        </w:tc>
        <w:tc>
          <w:tcPr>
            <w:tcW w:w="90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15.0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24.3</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16.2</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Effective tax rate</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34.2 %</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25.3 %</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w w:val="98"/>
              </w:rPr>
              <w:t>18.3 %</w:t>
            </w:r>
          </w:p>
        </w:tc>
      </w:tr>
    </w:tbl>
    <w:p>
      <w:pPr>
        <w:spacing w:after="0" w:line="202" w:lineRule="exact"/>
        <w:rPr>
          <w:sz w:val="20"/>
          <w:szCs w:val="20"/>
          <w:color w:val="auto"/>
        </w:rPr>
      </w:pPr>
    </w:p>
    <w:p>
      <w:pPr>
        <w:ind w:right="20" w:firstLine="600"/>
        <w:spacing w:after="0" w:line="243" w:lineRule="auto"/>
        <w:rPr>
          <w:sz w:val="20"/>
          <w:szCs w:val="20"/>
          <w:color w:val="auto"/>
        </w:rPr>
      </w:pPr>
      <w:r>
        <w:rPr>
          <w:rFonts w:ascii="Arial" w:cs="Arial" w:eastAsia="Arial" w:hAnsi="Arial"/>
          <w:sz w:val="15"/>
          <w:szCs w:val="15"/>
          <w:color w:val="auto"/>
        </w:rPr>
        <w:t>The provision for income taxes decreased $9.3 million or 38% in fiscal year 2020 compared to fiscal year 2019. The effective tax rate increased by 8.9% in fiscal year 2020 over fiscal year 2019. The higher effective tax rate was primarily due to the (i) nondeductible impairment of Moruga in fiscal year 2020, (ii) nondeductible executive compensation incurred as a result of the IPO in fiscal year 2020, and (iii) tax benefit related to net operating loss (“NOL”) carryback provisions of the Coronavirus Aid, Relief and Economic Security (“CARES Act”) enacted in March 2020. The NOL carryback provisions allow the Company to carryback its fiscal year</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5"/>
          <w:szCs w:val="15"/>
          <w:color w:val="auto"/>
        </w:rPr>
        <w:t>2018 NOL to offset taxable income on a previously filed tax return. The result is a revaluation of deferred tax assets due to the utilization of NOLs at a higher tax rate in the carryback period.</w:t>
      </w:r>
    </w:p>
    <w:p>
      <w:pPr>
        <w:spacing w:after="0" w:line="186" w:lineRule="exact"/>
        <w:rPr>
          <w:sz w:val="20"/>
          <w:szCs w:val="20"/>
          <w:color w:val="auto"/>
        </w:rPr>
      </w:pPr>
    </w:p>
    <w:p>
      <w:pPr>
        <w:jc w:val="both"/>
        <w:ind w:right="60" w:firstLine="600"/>
        <w:spacing w:after="0" w:line="270" w:lineRule="auto"/>
        <w:rPr>
          <w:sz w:val="20"/>
          <w:szCs w:val="20"/>
          <w:color w:val="auto"/>
        </w:rPr>
      </w:pPr>
      <w:r>
        <w:rPr>
          <w:rFonts w:ascii="Arial" w:cs="Arial" w:eastAsia="Arial" w:hAnsi="Arial"/>
          <w:sz w:val="14"/>
          <w:szCs w:val="14"/>
          <w:color w:val="auto"/>
        </w:rPr>
        <w:t>The provision for income tax increased $8.1 million or 50% in fiscal year 2019 compared to fiscal year 2018. The effective tax rate increased 7.0% in fiscal year 2019 compared to fiscal year 2018. The higher effective tax rate was primarily due to non-recurring items in fiscal 2018 including the (i) favorable impact of remeasuring net deferred tax assets and liabilities at newly enacted tax rates and (ii) net tax benefit related to the application of the transition tax on accumulated foreign earnings due to the favorable impact of foreign tax credits. Both non-recurring items were provisions in the Tax Cuts and Jobs Act (“TCJ Act”) which was enacted in December 2017.</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Segment Results of Operations</w:t>
      </w:r>
    </w:p>
    <w:p>
      <w:pPr>
        <w:spacing w:after="0" w:line="227"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financial measures by generally accepted accounting principles in the United States (“U.S. GAAP”).</w:t>
      </w:r>
    </w:p>
    <w:p>
      <w:pPr>
        <w:spacing w:after="0" w:line="194"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Adjusted EBITDA refers to net income (loss), before interest expense, income taxes, depreciation and amortization expense, stock-based compensation expense, other income (expense), and income (loss) from equity method investees, further adjusted by any non-recurring or one-time items that are distortive to results (impairment of equity method investment, remeasurement gain on acquisition of equity method investee, and Grupo Arato’s pre-acquisition adjusted EBITDA).</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Net sales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3"/>
                <w:szCs w:val="13"/>
                <w:b w:val="1"/>
                <w:bCs w:val="1"/>
                <w:color w:val="auto"/>
              </w:rPr>
              <w:t>Year Ended October 31,</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1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0"/>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Marketing &amp;</w:t>
            </w:r>
          </w:p>
        </w:tc>
        <w:tc>
          <w:tcPr>
            <w:tcW w:w="18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International</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61"/>
              <w:spacing w:after="0"/>
              <w:rPr>
                <w:sz w:val="20"/>
                <w:szCs w:val="20"/>
                <w:color w:val="auto"/>
              </w:rPr>
            </w:pPr>
            <w:r>
              <w:rPr>
                <w:rFonts w:ascii="Arial" w:cs="Arial" w:eastAsia="Arial" w:hAnsi="Arial"/>
                <w:sz w:val="12"/>
                <w:szCs w:val="12"/>
                <w:b w:val="1"/>
                <w:bCs w:val="1"/>
                <w:color w:val="auto"/>
                <w:w w:val="98"/>
              </w:rPr>
              <w:t>Marketing &amp;</w:t>
            </w:r>
          </w:p>
        </w:tc>
        <w:tc>
          <w:tcPr>
            <w:tcW w:w="18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International</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Marketing &amp;</w:t>
            </w:r>
          </w:p>
        </w:tc>
        <w:tc>
          <w:tcPr>
            <w:tcW w:w="200" w:type="dxa"/>
            <w:vAlign w:val="bottom"/>
          </w:tcPr>
          <w:p>
            <w:pPr>
              <w:spacing w:after="0"/>
              <w:rPr>
                <w:sz w:val="12"/>
                <w:szCs w:val="12"/>
                <w:color w:val="auto"/>
              </w:rPr>
            </w:pPr>
          </w:p>
        </w:tc>
        <w:tc>
          <w:tcPr>
            <w:tcW w:w="940" w:type="dxa"/>
            <w:vAlign w:val="bottom"/>
          </w:tcPr>
          <w:p>
            <w:pPr>
              <w:jc w:val="center"/>
              <w:ind w:right="101"/>
              <w:spacing w:after="0"/>
              <w:rPr>
                <w:sz w:val="20"/>
                <w:szCs w:val="20"/>
                <w:color w:val="auto"/>
              </w:rPr>
            </w:pPr>
            <w:r>
              <w:rPr>
                <w:rFonts w:ascii="Arial" w:cs="Arial" w:eastAsia="Arial" w:hAnsi="Arial"/>
                <w:sz w:val="12"/>
                <w:szCs w:val="12"/>
                <w:b w:val="1"/>
                <w:bCs w:val="1"/>
                <w:color w:val="auto"/>
                <w:w w:val="97"/>
              </w:rPr>
              <w:t>International</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2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3"/>
                <w:szCs w:val="13"/>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Distribution</w:t>
            </w:r>
          </w:p>
        </w:tc>
        <w:tc>
          <w:tcPr>
            <w:tcW w:w="180" w:type="dxa"/>
            <w:vAlign w:val="bottom"/>
          </w:tcPr>
          <w:p>
            <w:pPr>
              <w:spacing w:after="0"/>
              <w:rPr>
                <w:sz w:val="13"/>
                <w:szCs w:val="13"/>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Farming</w:t>
            </w:r>
          </w:p>
        </w:tc>
        <w:tc>
          <w:tcPr>
            <w:tcW w:w="28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161"/>
              <w:spacing w:after="0"/>
              <w:rPr>
                <w:sz w:val="20"/>
                <w:szCs w:val="20"/>
                <w:color w:val="auto"/>
              </w:rPr>
            </w:pPr>
            <w:r>
              <w:rPr>
                <w:rFonts w:ascii="Arial" w:cs="Arial" w:eastAsia="Arial" w:hAnsi="Arial"/>
                <w:sz w:val="12"/>
                <w:szCs w:val="12"/>
                <w:b w:val="1"/>
                <w:bCs w:val="1"/>
                <w:color w:val="auto"/>
              </w:rPr>
              <w:t>Distribution</w:t>
            </w:r>
          </w:p>
        </w:tc>
        <w:tc>
          <w:tcPr>
            <w:tcW w:w="180" w:type="dxa"/>
            <w:vAlign w:val="bottom"/>
          </w:tcPr>
          <w:p>
            <w:pPr>
              <w:spacing w:after="0"/>
              <w:rPr>
                <w:sz w:val="13"/>
                <w:szCs w:val="13"/>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Farming</w:t>
            </w:r>
          </w:p>
        </w:tc>
        <w:tc>
          <w:tcPr>
            <w:tcW w:w="3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13"/>
                <w:szCs w:val="13"/>
                <w:color w:val="auto"/>
              </w:rPr>
            </w:pPr>
          </w:p>
        </w:tc>
        <w:tc>
          <w:tcPr>
            <w:tcW w:w="940" w:type="dxa"/>
            <w:vAlign w:val="bottom"/>
          </w:tcPr>
          <w:p>
            <w:pPr>
              <w:jc w:val="center"/>
              <w:ind w:right="101"/>
              <w:spacing w:after="0"/>
              <w:rPr>
                <w:sz w:val="20"/>
                <w:szCs w:val="20"/>
                <w:color w:val="auto"/>
              </w:rPr>
            </w:pPr>
            <w:r>
              <w:rPr>
                <w:rFonts w:ascii="Arial" w:cs="Arial" w:eastAsia="Arial" w:hAnsi="Arial"/>
                <w:sz w:val="12"/>
                <w:szCs w:val="12"/>
                <w:b w:val="1"/>
                <w:bCs w:val="1"/>
                <w:color w:val="auto"/>
                <w:w w:val="97"/>
              </w:rPr>
              <w:t>Farming</w:t>
            </w:r>
          </w:p>
        </w:tc>
        <w:tc>
          <w:tcPr>
            <w:tcW w:w="28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r>
      <w:tr>
        <w:trPr>
          <w:trHeight w:val="28"/>
        </w:trPr>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60"/>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Third party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862.3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9.6</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883.3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859.9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59"/>
        </w:trPr>
        <w:tc>
          <w:tcPr>
            <w:tcW w:w="1220" w:type="dxa"/>
            <w:vAlign w:val="bottom"/>
          </w:tcPr>
          <w:p>
            <w:pPr>
              <w:ind w:left="20"/>
              <w:spacing w:after="0"/>
              <w:rPr>
                <w:sz w:val="20"/>
                <w:szCs w:val="20"/>
                <w:color w:val="auto"/>
              </w:rPr>
            </w:pPr>
            <w:r>
              <w:rPr>
                <w:rFonts w:ascii="Arial" w:cs="Arial" w:eastAsia="Arial" w:hAnsi="Arial"/>
                <w:sz w:val="12"/>
                <w:szCs w:val="12"/>
                <w:color w:val="auto"/>
              </w:rPr>
              <w:t>Affiliated sales</w:t>
            </w:r>
          </w:p>
        </w:tc>
        <w:tc>
          <w:tcPr>
            <w:tcW w:w="12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66.4</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80.7</w:t>
            </w:r>
          </w:p>
        </w:tc>
        <w:tc>
          <w:tcPr>
            <w:tcW w:w="30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80.7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8"/>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7"/>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8"/>
              </w:rPr>
              <w:t>Equity method sales</w:t>
            </w:r>
            <w:r>
              <w:rPr>
                <w:rFonts w:ascii="Arial" w:cs="Arial" w:eastAsia="Arial" w:hAnsi="Arial"/>
                <w:sz w:val="15"/>
                <w:szCs w:val="15"/>
                <w:color w:val="auto"/>
                <w:w w:val="98"/>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36.5</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36.5</w:t>
            </w:r>
          </w:p>
        </w:tc>
        <w:tc>
          <w:tcPr>
            <w:tcW w:w="80" w:type="dxa"/>
            <w:vAlign w:val="bottom"/>
            <w:tcBorders>
              <w:bottom w:val="single" w:sz="8" w:color="auto"/>
            </w:tcBorders>
            <w:shd w:val="clear" w:color="auto" w:fill="CCEEFF"/>
          </w:tcPr>
          <w:p>
            <w:pPr>
              <w:spacing w:after="0"/>
              <w:rPr>
                <w:sz w:val="16"/>
                <w:szCs w:val="16"/>
                <w:color w:val="auto"/>
              </w:rPr>
            </w:pPr>
          </w:p>
        </w:tc>
      </w:tr>
      <w:tr>
        <w:trPr>
          <w:trHeight w:val="151"/>
        </w:trPr>
        <w:tc>
          <w:tcPr>
            <w:tcW w:w="1220" w:type="dxa"/>
            <w:vAlign w:val="bottom"/>
          </w:tcPr>
          <w:p>
            <w:pPr>
              <w:ind w:left="20"/>
              <w:spacing w:after="0"/>
              <w:rPr>
                <w:sz w:val="20"/>
                <w:szCs w:val="20"/>
                <w:color w:val="auto"/>
              </w:rPr>
            </w:pPr>
            <w:r>
              <w:rPr>
                <w:rFonts w:ascii="Arial" w:cs="Arial" w:eastAsia="Arial" w:hAnsi="Arial"/>
                <w:sz w:val="12"/>
                <w:szCs w:val="12"/>
                <w:color w:val="auto"/>
              </w:rPr>
              <w:t>Total segment sales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81.8</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928.7</w:t>
            </w:r>
          </w:p>
        </w:tc>
        <w:tc>
          <w:tcPr>
            <w:tcW w:w="10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90.3</w:t>
            </w:r>
          </w:p>
        </w:tc>
        <w:tc>
          <w:tcPr>
            <w:tcW w:w="3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964.0</w:t>
            </w:r>
          </w:p>
        </w:tc>
        <w:tc>
          <w:tcPr>
            <w:tcW w:w="8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37.9</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896.4</w:t>
            </w:r>
          </w:p>
        </w:tc>
        <w:tc>
          <w:tcPr>
            <w:tcW w:w="80" w:type="dxa"/>
            <w:vAlign w:val="bottom"/>
          </w:tcPr>
          <w:p>
            <w:pPr>
              <w:spacing w:after="0"/>
              <w:rPr>
                <w:sz w:val="13"/>
                <w:szCs w:val="13"/>
                <w:color w:val="auto"/>
              </w:rPr>
            </w:pPr>
          </w:p>
        </w:tc>
      </w:tr>
      <w:tr>
        <w:trPr>
          <w:trHeight w:val="28"/>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Intercompany</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(80.7)</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eliminations</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56"/>
        </w:trPr>
        <w:tc>
          <w:tcPr>
            <w:tcW w:w="1220" w:type="dxa"/>
            <w:vAlign w:val="bottom"/>
          </w:tcPr>
          <w:p>
            <w:pPr>
              <w:ind w:left="20"/>
              <w:spacing w:after="0"/>
              <w:rPr>
                <w:sz w:val="20"/>
                <w:szCs w:val="20"/>
                <w:color w:val="auto"/>
              </w:rPr>
            </w:pPr>
            <w:r>
              <w:rPr>
                <w:rFonts w:ascii="Arial" w:cs="Arial" w:eastAsia="Arial" w:hAnsi="Arial"/>
                <w:sz w:val="12"/>
                <w:szCs w:val="12"/>
                <w:color w:val="auto"/>
              </w:rPr>
              <w:t>Equity method</w:t>
            </w:r>
          </w:p>
        </w:tc>
        <w:tc>
          <w:tcPr>
            <w:tcW w:w="12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(36.5)</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3"/>
                <w:szCs w:val="13"/>
                <w:color w:val="auto"/>
              </w:rPr>
            </w:pPr>
          </w:p>
        </w:tc>
      </w:tr>
      <w:tr>
        <w:trPr>
          <w:trHeight w:val="169"/>
        </w:trPr>
        <w:tc>
          <w:tcPr>
            <w:tcW w:w="12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2"/>
                <w:szCs w:val="12"/>
                <w:color w:val="auto"/>
              </w:rPr>
              <w:t>eliminations</w:t>
            </w:r>
            <w:r>
              <w:rPr>
                <w:rFonts w:ascii="Arial" w:cs="Arial" w:eastAsia="Arial" w:hAnsi="Arial"/>
                <w:sz w:val="15"/>
                <w:szCs w:val="15"/>
                <w:color w:val="auto"/>
                <w:vertAlign w:val="superscript"/>
              </w:rPr>
              <w:t>(1)</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60"/>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862.3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9.6</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883.3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859.9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ind w:left="160" w:hanging="160"/>
        <w:spacing w:after="0"/>
        <w:tabs>
          <w:tab w:leader="none" w:pos="16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Our 50% proportionate share of Grupo Arato’s sales from November 1, 2017 through September 20, 2018 when Grupo Arato was accounted for as an equity method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2018</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&amp; Distribution adjusted EBITDA</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88.0</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28.3</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International Farming adjusted EBITDA</w:t>
            </w:r>
            <w:r>
              <w:rPr>
                <w:rFonts w:ascii="Arial" w:cs="Arial" w:eastAsia="Arial" w:hAnsi="Arial"/>
                <w:sz w:val="8"/>
                <w:szCs w:val="8"/>
                <w:color w:val="auto"/>
              </w:rPr>
              <w:t>(1)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35.0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14.8</w:t>
            </w:r>
          </w:p>
        </w:tc>
      </w:tr>
      <w:tr>
        <w:trPr>
          <w:trHeight w:val="192"/>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reportable segment adjusted EBITDA</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43.1</w:t>
            </w:r>
          </w:p>
        </w:tc>
      </w:tr>
      <w:tr>
        <w:trPr>
          <w:trHeight w:val="192"/>
        </w:trPr>
        <w:tc>
          <w:tcPr>
            <w:tcW w:w="68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28.8</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71.7</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72.4</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10.3</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Provision for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15.0</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24.3</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16.2</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16.5</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9.4</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Equity method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(3.4)</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on equity method investment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(62.0)</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7"/>
        </w:trPr>
        <w:tc>
          <w:tcPr>
            <w:tcW w:w="68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28.1</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Pre-acquisition International Farming adjusted EBITDA</w:t>
            </w:r>
            <w:r>
              <w:rPr>
                <w:rFonts w:ascii="Arial" w:cs="Arial" w:eastAsia="Arial" w:hAnsi="Arial"/>
                <w:sz w:val="8"/>
                <w:szCs w:val="8"/>
                <w:color w:val="auto"/>
              </w:rPr>
              <w:t>(2)</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15.0</w:t>
            </w:r>
          </w:p>
        </w:tc>
      </w:tr>
      <w:tr>
        <w:trPr>
          <w:trHeight w:val="192"/>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adjusted EBITDA</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43.1</w:t>
            </w:r>
          </w:p>
        </w:tc>
      </w:tr>
    </w:tbl>
    <w:p>
      <w:pPr>
        <w:spacing w:after="0" w:line="44" w:lineRule="exact"/>
        <w:rPr>
          <w:sz w:val="20"/>
          <w:szCs w:val="20"/>
          <w:color w:val="auto"/>
        </w:rPr>
      </w:pPr>
    </w:p>
    <w:p>
      <w:pPr>
        <w:ind w:left="160" w:right="80" w:hanging="160"/>
        <w:spacing w:after="0" w:line="214" w:lineRule="auto"/>
        <w:tabs>
          <w:tab w:leader="none" w:pos="165"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Included 50% of our proportionate share of Grupo Arato’s adjusted EBITDA from November 1, 2017 through September 20, 2018 when Grupo Arato was accounted for as an equity method investment, and 100% of Grupo Arato’s adjusted EBITDA thereafter when we acquired the remaining 50% ownership..</w:t>
      </w:r>
    </w:p>
    <w:p>
      <w:pPr>
        <w:spacing w:after="0" w:line="48" w:lineRule="exact"/>
        <w:rPr>
          <w:rFonts w:ascii="Arial" w:cs="Arial" w:eastAsia="Arial" w:hAnsi="Arial"/>
          <w:sz w:val="15"/>
          <w:szCs w:val="15"/>
          <w:color w:val="auto"/>
          <w:vertAlign w:val="superscript"/>
        </w:rPr>
      </w:pPr>
    </w:p>
    <w:p>
      <w:pPr>
        <w:ind w:left="160" w:right="280" w:hanging="160"/>
        <w:spacing w:after="0" w:line="214" w:lineRule="auto"/>
        <w:tabs>
          <w:tab w:leader="none" w:pos="165"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Total adjusted EBITDA excluded our 50% proportionate share of Grupo Arato’s adjusted EBITDA from November 1, 2017 through September 20, 2018 when Grupo Arato was accounted for as an equity method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 and Distribution</w:t>
      </w:r>
    </w:p>
    <w:p>
      <w:pPr>
        <w:spacing w:after="0" w:line="218" w:lineRule="exact"/>
        <w:rPr>
          <w:sz w:val="20"/>
          <w:szCs w:val="20"/>
          <w:color w:val="auto"/>
        </w:rPr>
      </w:pPr>
    </w:p>
    <w:p>
      <w:pPr>
        <w:ind w:firstLine="600"/>
        <w:spacing w:after="0" w:line="248" w:lineRule="auto"/>
        <w:rPr>
          <w:sz w:val="20"/>
          <w:szCs w:val="20"/>
          <w:color w:val="auto"/>
        </w:rPr>
      </w:pPr>
      <w:r>
        <w:rPr>
          <w:rFonts w:ascii="Arial" w:cs="Arial" w:eastAsia="Arial" w:hAnsi="Arial"/>
          <w:sz w:val="15"/>
          <w:szCs w:val="15"/>
          <w:color w:val="auto"/>
        </w:rPr>
        <w:t>Net sales in our Marketing and Distribution segment decreased $26.8 million or 3% in fiscal year 2020 compared to fiscal year 2019 primarily due to a 12% decrease in average per unit sales prices partially offset by an 11% increase in volume. Average price decreases were concentrated in the second half of fiscal year 2020 primarily due to strong industry supply in California and Peru, relative to prior year.</w:t>
      </w:r>
    </w:p>
    <w:p>
      <w:pPr>
        <w:spacing w:after="0" w:line="190"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color w:val="auto"/>
        </w:rPr>
        <w:t>Adjusted EBITDA decreased $19.8 million or 23% in fiscal year 2020 over fiscal year 2019 primarily due to lower gross profit per pound of avocados sold. The decrease in gross margin was due primarily to the benefit of lower low third-party fruit costs during the first quarter of fiscal year 2019. The market conditions experienced in the prior year period were non-recurring in nature, as customer prices remained steady despite significant declines in fruit costs due to the instability of supply from Mexico.</w:t>
      </w:r>
    </w:p>
    <w:p>
      <w:pPr>
        <w:spacing w:after="0" w:line="193" w:lineRule="exact"/>
        <w:rPr>
          <w:sz w:val="20"/>
          <w:szCs w:val="20"/>
          <w:color w:val="auto"/>
        </w:rPr>
      </w:pPr>
    </w:p>
    <w:p>
      <w:pPr>
        <w:ind w:right="360" w:firstLine="600"/>
        <w:spacing w:after="0" w:line="253" w:lineRule="auto"/>
        <w:rPr>
          <w:sz w:val="20"/>
          <w:szCs w:val="20"/>
          <w:color w:val="auto"/>
        </w:rPr>
      </w:pPr>
      <w:r>
        <w:rPr>
          <w:rFonts w:ascii="Arial" w:cs="Arial" w:eastAsia="Arial" w:hAnsi="Arial"/>
          <w:sz w:val="15"/>
          <w:szCs w:val="15"/>
          <w:color w:val="auto"/>
        </w:rPr>
        <w:t>Net sales increased $15.2 million or 2% in fiscal year 2019 compared to fiscal year 2018 due to the same factors impacting the overall increase in net sales discussed above.</w:t>
      </w:r>
    </w:p>
    <w:p>
      <w:pPr>
        <w:spacing w:after="0" w:line="186" w:lineRule="exact"/>
        <w:rPr>
          <w:sz w:val="20"/>
          <w:szCs w:val="20"/>
          <w:color w:val="auto"/>
        </w:rPr>
      </w:pPr>
    </w:p>
    <w:p>
      <w:pPr>
        <w:ind w:right="80" w:firstLine="600"/>
        <w:spacing w:after="0" w:line="253" w:lineRule="auto"/>
        <w:rPr>
          <w:sz w:val="20"/>
          <w:szCs w:val="20"/>
          <w:color w:val="auto"/>
        </w:rPr>
      </w:pPr>
      <w:r>
        <w:rPr>
          <w:rFonts w:ascii="Arial" w:cs="Arial" w:eastAsia="Arial" w:hAnsi="Arial"/>
          <w:sz w:val="15"/>
          <w:szCs w:val="15"/>
          <w:color w:val="auto"/>
        </w:rPr>
        <w:t>Adjusted EBITDA increased $59.7 million or 211% in fiscal year 2019 compared to fiscal year 2018 primarily due to a higher gross profit per pound of avocados sold. The higher margin per pound was in-part due to the benefit of abnormally low third-party fruit costs during the first</w:t>
      </w: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quarter of fiscal year 2019. The market conditions experienced in the prior year period were non-recurring in nature, as customer prices remained steady despite significant declines in fruit costs due to the instability of supply from Mexico. The higher margin per pound was also in-part due to improved efficiency in several key areas across our product sourcing, production and distribution footprint, which helped to complement the favorable market supply conditions and continued strong consumer demand. This increase was partially offset by higher selling, general and administrative expenses that were driven by increases in accrued management bonuses (approximately $5.5 million due to operating income growth).</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International Farming</w:t>
      </w:r>
    </w:p>
    <w:p>
      <w:pPr>
        <w:spacing w:after="0" w:line="218" w:lineRule="exact"/>
        <w:rPr>
          <w:sz w:val="20"/>
          <w:szCs w:val="20"/>
          <w:color w:val="auto"/>
        </w:rPr>
      </w:pPr>
    </w:p>
    <w:p>
      <w:pPr>
        <w:ind w:right="100" w:firstLine="600"/>
        <w:spacing w:after="0" w:line="253" w:lineRule="auto"/>
        <w:rPr>
          <w:sz w:val="20"/>
          <w:szCs w:val="20"/>
          <w:color w:val="auto"/>
        </w:rPr>
      </w:pPr>
      <w:r>
        <w:rPr>
          <w:rFonts w:ascii="Arial" w:cs="Arial" w:eastAsia="Arial" w:hAnsi="Arial"/>
          <w:sz w:val="15"/>
          <w:szCs w:val="15"/>
          <w:color w:val="auto"/>
        </w:rPr>
        <w:t>Substantially all avocado sales of our International Farming reportable segment are to our Marketing and Distribution reportable segment, with the remainder of revenue largely derived from services provided to independent third parties.</w:t>
      </w:r>
    </w:p>
    <w:p>
      <w:pPr>
        <w:spacing w:after="0" w:line="186"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Total segment sales in our International Farming segment decreased $8.5 million or 9% in fiscal year 2020 compared to fiscal year 2019 primarily due to lower per unit sales pricing on the sale of avocados. Average sales prices declined by 24%, driven by strong industry supply during the harvest window which was concentrated in the second half of the fiscal year. The impact of lower sales pricing was partially offset by a 20% increase in volume harvested during fiscal year 2020. Volume increases were driven by improved production yields resulting from maturity of our avocado orchards. Net sales in our International Farming segment increased $5.8 million or 60% in fiscal year 2020 compared to fiscal year 2019 primarily due to higher packing service revenues provided to third-party growers driven by their higher volumes.</w:t>
      </w:r>
    </w:p>
    <w:p>
      <w:pPr>
        <w:spacing w:after="0" w:line="193" w:lineRule="exact"/>
        <w:rPr>
          <w:sz w:val="20"/>
          <w:szCs w:val="20"/>
          <w:color w:val="auto"/>
        </w:rPr>
      </w:pPr>
    </w:p>
    <w:p>
      <w:pPr>
        <w:ind w:right="40" w:firstLine="600"/>
        <w:spacing w:after="0" w:line="248" w:lineRule="auto"/>
        <w:rPr>
          <w:sz w:val="20"/>
          <w:szCs w:val="20"/>
          <w:color w:val="auto"/>
        </w:rPr>
      </w:pPr>
      <w:r>
        <w:rPr>
          <w:rFonts w:ascii="Arial" w:cs="Arial" w:eastAsia="Arial" w:hAnsi="Arial"/>
          <w:sz w:val="15"/>
          <w:szCs w:val="15"/>
          <w:color w:val="auto"/>
        </w:rPr>
        <w:t>Adjusted EBITDA decreased $11.7 million or 33% in fiscal year 2020 compared to fiscal year 2019 primarily due to lower sales which was driven by lower pricing during the second half of fiscal year 2020. Adjusted EBITDA for International Farming is generally concentrated in the third and fourth quarters of our fiscal year in alignment with the harvest season for avocados in Peru.</w:t>
      </w:r>
    </w:p>
    <w:p>
      <w:pPr>
        <w:spacing w:after="0" w:line="19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Total segment sales increased $52.4 million or 138% and net sales increased $8.2 million or 586% in fiscal year 2019 compared to fiscal year 2018 primarily due to the full year impact of consolidating Grupo Arato, which was acquired on September 20, 2018. The International Farming sales prior to September 20, 2018 represent our proportionate 50% share of Grupo Arato’s sales prior to the consolidation of our investment in Grupo Arato. Overall, volumes from our International Farming reporting segment decreased 21% in fiscal year 2019 over fiscal year 2018 due primarily to weather conditions that negatively impacted production yields, while average sales prices increased by 33% as a result of industry supply shortages.</w:t>
      </w:r>
    </w:p>
    <w:p>
      <w:pPr>
        <w:spacing w:after="0" w:line="194"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Adjusted EBITDA increased $20.2 million or 136% in fiscal year 2019 compared to fiscal year 2018 primarily attributable to the full year impact of consolidating the Grupo Arato farming operation. In addition, adjusted EBITDA benefited from higher sales prices experienced during fiscal year 2019 due to tighter industry supply that more than offset volume reductions due to lower production yields that were caused by weather conditions. Within any particular year, a significant portion of our cost of international farming products are fixed. Accordingly, changes in volumes produced on company-owned farms or average sales prices will have a disproportionate effect on adjusted EBITDA.</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Operating activities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2"/>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2018</w:t>
            </w: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71.7</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95"/>
        </w:trPr>
        <w:tc>
          <w:tcPr>
            <w:tcW w:w="70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w:t>
            </w:r>
          </w:p>
        </w:tc>
        <w:tc>
          <w:tcPr>
            <w:tcW w:w="40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16.5</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205"/>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income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95"/>
        </w:trPr>
        <w:tc>
          <w:tcPr>
            <w:tcW w:w="7020" w:type="dxa"/>
            <w:vAlign w:val="bottom"/>
          </w:tcPr>
          <w:p>
            <w:pPr>
              <w:ind w:left="20"/>
              <w:spacing w:after="0"/>
              <w:rPr>
                <w:sz w:val="20"/>
                <w:szCs w:val="20"/>
                <w:color w:val="auto"/>
              </w:rPr>
            </w:pPr>
            <w:r>
              <w:rPr>
                <w:rFonts w:ascii="Arial" w:cs="Arial" w:eastAsia="Arial" w:hAnsi="Arial"/>
                <w:sz w:val="13"/>
                <w:szCs w:val="13"/>
                <w:color w:val="auto"/>
              </w:rPr>
              <w:t>Impairment on equity method investment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195"/>
        </w:trPr>
        <w:tc>
          <w:tcPr>
            <w:tcW w:w="7020" w:type="dxa"/>
            <w:vAlign w:val="bottom"/>
          </w:tcPr>
          <w:p>
            <w:pPr>
              <w:ind w:left="20"/>
              <w:spacing w:after="0"/>
              <w:rPr>
                <w:sz w:val="20"/>
                <w:szCs w:val="20"/>
                <w:color w:val="auto"/>
              </w:rPr>
            </w:pPr>
            <w:r>
              <w:rPr>
                <w:rFonts w:ascii="Arial" w:cs="Arial" w:eastAsia="Arial" w:hAnsi="Arial"/>
                <w:sz w:val="13"/>
                <w:szCs w:val="13"/>
                <w:color w:val="auto"/>
              </w:rPr>
              <w:t>Dividends received from equity method investees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w:t>
            </w:r>
          </w:p>
        </w:tc>
        <w:tc>
          <w:tcPr>
            <w:tcW w:w="40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05"/>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7020" w:type="dxa"/>
            <w:vAlign w:val="bottom"/>
          </w:tcPr>
          <w:p>
            <w:pPr>
              <w:ind w:left="2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4.6</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20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Changes in working capital</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1.8</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92"/>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w:t>
            </w:r>
          </w:p>
        </w:tc>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92.6</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r>
    </w:tbl>
    <w:p>
      <w:pPr>
        <w:spacing w:after="0" w:line="202"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Net cash provided by operating activities decreased $13.7 million in fiscal year 2020 compared to fiscal year 2019, reflecting lower net income, partially offset by an impairment charge on our equity method investment in Moruga, favorable net change in working capital, and higher stock-based compensation expense. Within working capital, favorable changes in inventory and trade accounts receivables were partially offset by unfavorable changes in grower payables and miscellaneous receivables. The decrease in pricing on third-party fruit during the second half of fiscal year 2020 resulted in lower revenue and lower cost-basis, resulting in lower trade accounts receivable and inventory balances, as well as lower grower payables balances as of October 31, 2020. Changes in miscellaneous receivables were largely due to change in value-added tax (“VAT”)</w:t>
      </w: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01" w:lineRule="exact"/>
        <w:rPr>
          <w:sz w:val="20"/>
          <w:szCs w:val="20"/>
          <w:color w:val="auto"/>
        </w:rPr>
      </w:pPr>
    </w:p>
    <w:p>
      <w:pPr>
        <w:ind w:right="260"/>
        <w:spacing w:after="0" w:line="253" w:lineRule="auto"/>
        <w:rPr>
          <w:sz w:val="20"/>
          <w:szCs w:val="20"/>
          <w:color w:val="auto"/>
        </w:rPr>
      </w:pPr>
      <w:r>
        <w:rPr>
          <w:rFonts w:ascii="Arial" w:cs="Arial" w:eastAsia="Arial" w:hAnsi="Arial"/>
          <w:sz w:val="15"/>
          <w:szCs w:val="15"/>
          <w:color w:val="auto"/>
        </w:rPr>
        <w:t>receivable, which is correlated with the timing of material purchases and claim activity. We also experienced an increase in other assets attributable to implementation costs associated with cloud-based computing software solutions.</w:t>
      </w:r>
    </w:p>
    <w:p>
      <w:pPr>
        <w:spacing w:after="0" w:line="186"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color w:val="auto"/>
        </w:rPr>
        <w:t>Net cash provided by operating activities increased $59.9 million in fiscal year 2019 compared to fiscal year 2018, largely due to the effect of a remeasurement gain on the acquisition of Grupo Arato recognized in fiscal year 2018. We also incurred higher depreciation and amortization charges due to property, plant, and equipment acquired in the acquisition of Grupo Arato. These increases were partially offset by net unfavorable change in working capital and lower equity method income and dividends from equity method investees as a result of the acquisition and subsequent consolidation of Grupo Arato.</w:t>
      </w:r>
    </w:p>
    <w:p>
      <w:pPr>
        <w:spacing w:after="0" w:line="193"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Within working capital, changes in inventory were unfavorable due to an increase in the volume of avocados on hand and higher average purchase prices as of October 31, 2019 compared to the prior year combined with additional capitalized farming costs in Peru as a result of more acreage coming into production. Changes in accounts receivable were unfavorable primarily due to a shift in the sales mix during the fourth quarter of fiscal year 2019 towards domestic customers with longer payment terms. In addition, net sales during the fourth quarter of fiscal year 2018 included a larger percentage of sales of Peruvian fruit in Europe for which payment is received shortly after revenue is recognized. Changes in prepaid expenses and other current assets were affected by higher non-grower supplier advances within our Peruvian operation related to material suppliers and fixed asset procurement. Changes in miscellaneous receivables were favorable, primarily attributed to the timing of Peruvian VAT refunds in fiscal year 2019. Changes in accounts payable and accrued expenses were favorable, primarily due to higher incentive accruals driven by strong operating performance. Higher grower payables were attributed to Mexican avocado growers having higher inventory volumes and prices in October 2019 as compared to October 2018. The increase in other liabilities was due to a long-term grower liability accrued in fiscal year 2019 and additional accruals of interest and penalties on our uncertain tax positions.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Investing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(29.7)</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Proceeds from sale of property, plant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 equity method investees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Purchase of Grupo Arato, net of acquired cash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(37.3)</w:t>
            </w:r>
          </w:p>
        </w:tc>
      </w:tr>
      <w:tr>
        <w:trPr>
          <w:trHeight w:val="20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0.8</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4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(30.7)</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Property, plant and equipment</w:t>
      </w:r>
    </w:p>
    <w:p>
      <w:pPr>
        <w:spacing w:after="0" w:line="218" w:lineRule="exact"/>
        <w:rPr>
          <w:sz w:val="20"/>
          <w:szCs w:val="20"/>
          <w:color w:val="auto"/>
        </w:rPr>
      </w:pPr>
    </w:p>
    <w:p>
      <w:pPr>
        <w:ind w:right="120" w:firstLine="600"/>
        <w:spacing w:after="0" w:line="248" w:lineRule="auto"/>
        <w:rPr>
          <w:sz w:val="20"/>
          <w:szCs w:val="20"/>
          <w:color w:val="auto"/>
        </w:rPr>
      </w:pPr>
      <w:r>
        <w:rPr>
          <w:rFonts w:ascii="Arial" w:cs="Arial" w:eastAsia="Arial" w:hAnsi="Arial"/>
          <w:sz w:val="15"/>
          <w:szCs w:val="15"/>
          <w:color w:val="auto"/>
        </w:rPr>
        <w:t>In fiscal years 2020 and 2019, we made expenditures for the construction of our new distribution center in Laredo, Texas, farm development and packinghouse expansion in Peru, and land improvements on new land leased in Guatemala. Our new distribution center in Texas is expected to expand our distribution capacity in North America.</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fiscal year 2020, proceeds from the sale of property, plant and equipment were primarily from the sale of two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in equity method investees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fiscal years 2020 and 2019, we made capital contributions to our joint venture in Copaltas S.A.S. to support the purchase of additional farmland in Colombia.</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Financing activities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in public offering, net of issuance costs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Dividends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(5.6)</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(payments) on revolving line of credit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Long-term borrowings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185.4</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on long-term borrowings, capital leases and supplier financing</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(0.6)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(26.8)</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IPO</w:t>
      </w:r>
    </w:p>
    <w:p>
      <w:pPr>
        <w:spacing w:after="0" w:line="218" w:lineRule="exact"/>
        <w:rPr>
          <w:sz w:val="20"/>
          <w:szCs w:val="20"/>
          <w:color w:val="auto"/>
        </w:rPr>
      </w:pPr>
    </w:p>
    <w:p>
      <w:pPr>
        <w:jc w:val="both"/>
        <w:ind w:right="20" w:firstLine="600"/>
        <w:spacing w:after="0" w:line="253" w:lineRule="auto"/>
        <w:rPr>
          <w:sz w:val="20"/>
          <w:szCs w:val="20"/>
          <w:color w:val="auto"/>
        </w:rPr>
      </w:pPr>
      <w:r>
        <w:rPr>
          <w:rFonts w:ascii="Arial" w:cs="Arial" w:eastAsia="Arial" w:hAnsi="Arial"/>
          <w:sz w:val="15"/>
          <w:szCs w:val="15"/>
          <w:color w:val="auto"/>
        </w:rPr>
        <w:t>Net proceeds from our IPO were $78.1 million, after deducting underwriting discounts and issuance costs. We intend to use the proceeds for working capital and other general corporate purposes, which may include the repayment of indebtedness, and to fund future acquisitions (if 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Shareholders’ equity</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paid dividends of $0.21 per share in fiscal year 2020 compared to $0.09 per share in fiscal year 2019.</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Borrowings and repayments of debt</w:t>
      </w:r>
    </w:p>
    <w:p>
      <w:pPr>
        <w:spacing w:after="0" w:line="218" w:lineRule="exact"/>
        <w:rPr>
          <w:sz w:val="20"/>
          <w:szCs w:val="20"/>
          <w:color w:val="auto"/>
        </w:rPr>
      </w:pPr>
    </w:p>
    <w:p>
      <w:pPr>
        <w:ind w:right="440" w:firstLine="600"/>
        <w:spacing w:after="0" w:line="253" w:lineRule="auto"/>
        <w:rPr>
          <w:sz w:val="20"/>
          <w:szCs w:val="20"/>
          <w:color w:val="auto"/>
        </w:rPr>
      </w:pPr>
      <w:r>
        <w:rPr>
          <w:rFonts w:ascii="Arial" w:cs="Arial" w:eastAsia="Arial" w:hAnsi="Arial"/>
          <w:sz w:val="15"/>
          <w:szCs w:val="15"/>
          <w:color w:val="auto"/>
        </w:rPr>
        <w:t>We utilize a revolving line of credit for short-term working capital purposes. Principal payments on our term loans and other notes payable under our credit facility are made in accordance with debt maturity schedules under the facility.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Capital resources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October 31,</w:t>
            </w:r>
          </w:p>
        </w:tc>
        <w:tc>
          <w:tcPr>
            <w:tcW w:w="1100" w:type="dxa"/>
            <w:vAlign w:val="bottom"/>
            <w:tcBorders>
              <w:bottom w:val="single" w:sz="8" w:color="auto"/>
            </w:tcBorders>
          </w:tcPr>
          <w:p>
            <w:pPr>
              <w:spacing w:after="0"/>
              <w:rPr>
                <w:sz w:val="15"/>
                <w:szCs w:val="15"/>
                <w:color w:val="auto"/>
              </w:rPr>
            </w:pPr>
          </w:p>
        </w:tc>
      </w:tr>
      <w:tr>
        <w:trPr>
          <w:trHeight w:val="192"/>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2019</w:t>
            </w: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124.0</w:t>
            </w:r>
          </w:p>
        </w:tc>
        <w:tc>
          <w:tcPr>
            <w:tcW w:w="5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19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Working capital</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170.2</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126.5</w:t>
            </w: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Capital resources include cash flows from operations, cash and cash equivalents, and debt financing.</w:t>
      </w:r>
    </w:p>
    <w:p>
      <w:pPr>
        <w:spacing w:after="0" w:line="202"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We have a $275 million syndicated credit facility with Bank of America, N.A., comprised of two term loans totaling $175 million and a revolving credit facility (“revolver”) providing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October 31, 2020 and 2019. Interest on the revolver bears rates at a spread over LIBOR that varies with our leverage ratio. As of October 31, 2020 and 2019, interest rates on the revolver were 1.90% and 3.54%, respectively. Proceeds from the term loan borrowings were used to partially fund the acquisition of Grupo Arato in October 2018.</w:t>
      </w:r>
    </w:p>
    <w:p>
      <w:pPr>
        <w:spacing w:after="0" w:line="194" w:lineRule="exact"/>
        <w:rPr>
          <w:sz w:val="20"/>
          <w:szCs w:val="20"/>
          <w:color w:val="auto"/>
        </w:rPr>
      </w:pPr>
    </w:p>
    <w:p>
      <w:pPr>
        <w:jc w:val="both"/>
        <w:ind w:right="160" w:firstLine="600"/>
        <w:spacing w:after="0" w:line="246" w:lineRule="auto"/>
        <w:rPr>
          <w:sz w:val="20"/>
          <w:szCs w:val="20"/>
          <w:color w:val="auto"/>
        </w:rPr>
      </w:pPr>
      <w:r>
        <w:rPr>
          <w:rFonts w:ascii="Arial" w:cs="Arial" w:eastAsia="Arial" w:hAnsi="Arial"/>
          <w:sz w:val="15"/>
          <w:szCs w:val="15"/>
          <w:color w:val="auto"/>
        </w:rPr>
        <w:t>As of October 31, 2020, we were required to comply with the following financial covenants: (a) a quarterly consolidated leverage ratio of not more than 3.00 to 1.00 and (b) a quarterly consolidated fixed charge coverage ratio of not less than 1.50 to 1.00. As of October 31, 2020, our consolidated leverage ratio was 0.7 to 1.00 and our consolidated fixed charge coverage ratio was 1.8 to 1.00 and we were in compliance with all such covenants of the credit facility. The loans are secured by real property, personal property and the capital stock of our subsidiaries. We pay fees on unused commitments on the credit facility.</w:t>
      </w: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Contractual obligations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summarizes contractual obligations pursuant to which we are required to make cash payments. The information is presented as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October 31,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3"/>
                <w:szCs w:val="13"/>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9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&lt; 1 year</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2-3 years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4-5 years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&gt; 5 years</w:t>
            </w: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174.7</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94.0</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73.2</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4940" w:type="dxa"/>
            <w:vAlign w:val="bottom"/>
          </w:tcPr>
          <w:p>
            <w:pPr>
              <w:ind w:left="20"/>
              <w:spacing w:after="0"/>
              <w:rPr>
                <w:sz w:val="20"/>
                <w:szCs w:val="20"/>
                <w:color w:val="auto"/>
              </w:rPr>
            </w:pPr>
            <w:r>
              <w:rPr>
                <w:rFonts w:ascii="Arial" w:cs="Arial" w:eastAsia="Arial" w:hAnsi="Arial"/>
                <w:sz w:val="13"/>
                <w:szCs w:val="13"/>
                <w:color w:val="auto"/>
              </w:rPr>
              <w:t>Interest on long-term debt</w:t>
            </w:r>
            <w:r>
              <w:rPr>
                <w:rFonts w:ascii="Arial" w:cs="Arial" w:eastAsia="Arial" w:hAnsi="Arial"/>
                <w:sz w:val="17"/>
                <w:szCs w:val="17"/>
                <w:color w:val="auto"/>
                <w:vertAlign w:val="superscript"/>
              </w:rPr>
              <w:t>(1)</w:t>
            </w:r>
          </w:p>
        </w:tc>
        <w:tc>
          <w:tcPr>
            <w:tcW w:w="28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20.4</w:t>
            </w:r>
          </w:p>
        </w:tc>
        <w:tc>
          <w:tcPr>
            <w:tcW w:w="28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11.2</w:t>
            </w:r>
          </w:p>
        </w:tc>
        <w:tc>
          <w:tcPr>
            <w:tcW w:w="2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3.2</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lease commitments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6.2</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4940" w:type="dxa"/>
            <w:vAlign w:val="bottom"/>
          </w:tcPr>
          <w:p>
            <w:pPr>
              <w:ind w:left="20"/>
              <w:spacing w:after="0"/>
              <w:rPr>
                <w:sz w:val="20"/>
                <w:szCs w:val="20"/>
                <w:color w:val="auto"/>
              </w:rPr>
            </w:pPr>
            <w:r>
              <w:rPr>
                <w:rFonts w:ascii="Arial" w:cs="Arial" w:eastAsia="Arial" w:hAnsi="Arial"/>
                <w:sz w:val="13"/>
                <w:szCs w:val="13"/>
                <w:color w:val="auto"/>
              </w:rPr>
              <w:t>Operating lease commitments</w:t>
            </w:r>
          </w:p>
        </w:tc>
        <w:tc>
          <w:tcPr>
            <w:tcW w:w="28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53.5</w:t>
            </w:r>
          </w:p>
        </w:tc>
        <w:tc>
          <w:tcPr>
            <w:tcW w:w="2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5.5</w:t>
            </w:r>
          </w:p>
        </w:tc>
        <w:tc>
          <w:tcPr>
            <w:tcW w:w="2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8.9</w:t>
            </w: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6.8</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20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Purchase commitments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7.7</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7.7</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262.5</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28.5</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117.1</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84.6</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r>
    </w:tbl>
    <w:p>
      <w:pPr>
        <w:spacing w:after="0" w:line="44" w:lineRule="exact"/>
        <w:rPr>
          <w:sz w:val="20"/>
          <w:szCs w:val="20"/>
          <w:color w:val="auto"/>
        </w:rPr>
      </w:pPr>
    </w:p>
    <w:p>
      <w:pPr>
        <w:ind w:left="160" w:right="20" w:hanging="160"/>
        <w:spacing w:after="0" w:line="214" w:lineRule="auto"/>
        <w:tabs>
          <w:tab w:leader="none" w:pos="165"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Includes interest payments on our credit facility based on rates as of October 31, 2020. The impact of our outstanding floating-to-fixed interest rate swap on the variable rate debt interest payments has been reflected in the interest payments noted above. As a result, approximately $100 million of our variable rate debt under the credit facility has been treated as if it were 4.28% fixed rate debt.</w:t>
      </w:r>
    </w:p>
    <w:p>
      <w:pPr>
        <w:spacing w:after="0" w:line="205" w:lineRule="exact"/>
        <w:rPr>
          <w:sz w:val="20"/>
          <w:szCs w:val="20"/>
          <w:color w:val="auto"/>
        </w:rPr>
      </w:pPr>
    </w:p>
    <w:p>
      <w:pPr>
        <w:ind w:right="40" w:firstLine="600"/>
        <w:spacing w:after="0" w:line="253" w:lineRule="auto"/>
        <w:rPr>
          <w:sz w:val="20"/>
          <w:szCs w:val="20"/>
          <w:color w:val="auto"/>
        </w:rPr>
      </w:pPr>
      <w:r>
        <w:rPr>
          <w:rFonts w:ascii="Arial" w:cs="Arial" w:eastAsia="Arial" w:hAnsi="Arial"/>
          <w:sz w:val="15"/>
          <w:szCs w:val="15"/>
          <w:color w:val="auto"/>
        </w:rPr>
        <w:t>In May 2020, we entered into a lease for our new corporate headquarters in Oxnard, California. The lease commenced in July 2020, with a 20 year term, ending in 2040. The total lease payments over the term of the lease are $28.1 million.</w:t>
      </w:r>
    </w:p>
    <w:p>
      <w:pPr>
        <w:spacing w:after="0" w:line="186" w:lineRule="exact"/>
        <w:rPr>
          <w:sz w:val="20"/>
          <w:szCs w:val="20"/>
          <w:color w:val="auto"/>
        </w:rPr>
      </w:pPr>
    </w:p>
    <w:p>
      <w:pPr>
        <w:ind w:right="100" w:firstLine="600"/>
        <w:spacing w:after="0" w:line="246" w:lineRule="auto"/>
        <w:rPr>
          <w:sz w:val="20"/>
          <w:szCs w:val="20"/>
          <w:color w:val="auto"/>
        </w:rPr>
      </w:pPr>
      <w:r>
        <w:rPr>
          <w:rFonts w:ascii="Arial" w:cs="Arial" w:eastAsia="Arial" w:hAnsi="Arial"/>
          <w:sz w:val="15"/>
          <w:szCs w:val="15"/>
          <w:color w:val="auto"/>
        </w:rPr>
        <w:t>In April 2020, we entered into an agreement with a general contractor to construct a new distribution facility in Laredo, Texas. This facility will support our distribution of Mexican sourced fruit into North American markets and will include border crossing, cold storage and value-added processing capabilities. The total estimated cost of the contract is $42 million, of which $25.2 million has been incurred as of October 31, 2020. The project is scheduled for completion in the third quarter of fiscal year 2021.</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Critical Accounting Estimates</w:t>
      </w:r>
    </w:p>
    <w:p>
      <w:pPr>
        <w:spacing w:after="0" w:line="227" w:lineRule="exact"/>
        <w:rPr>
          <w:sz w:val="20"/>
          <w:szCs w:val="20"/>
          <w:color w:val="auto"/>
        </w:rPr>
      </w:pPr>
    </w:p>
    <w:p>
      <w:pPr>
        <w:ind w:right="100" w:firstLine="600"/>
        <w:spacing w:after="0" w:line="245" w:lineRule="auto"/>
        <w:rPr>
          <w:sz w:val="20"/>
          <w:szCs w:val="20"/>
          <w:color w:val="auto"/>
        </w:rPr>
      </w:pPr>
      <w:r>
        <w:rPr>
          <w:rFonts w:ascii="Arial" w:cs="Arial" w:eastAsia="Arial" w:hAnsi="Arial"/>
          <w:sz w:val="15"/>
          <w:szCs w:val="15"/>
          <w:color w:val="auto"/>
        </w:rPr>
        <w:t>Our discussion and analysis of our financial condition and results of operations are based upon our consolidated financial statements, which have been prepared in accordance with U.S. GAAP.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could differ from those estimates.</w:t>
      </w:r>
    </w:p>
    <w:p>
      <w:pPr>
        <w:spacing w:after="0" w:line="175"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b w:val="1"/>
          <w:bCs w:val="1"/>
          <w:i w:val="1"/>
          <w:iCs w:val="1"/>
          <w:color w:val="232F84"/>
        </w:rPr>
        <w:t xml:space="preserve">Investments. </w:t>
      </w:r>
      <w:r>
        <w:rPr>
          <w:rFonts w:ascii="Arial" w:cs="Arial" w:eastAsia="Arial" w:hAnsi="Arial"/>
          <w:sz w:val="15"/>
          <w:szCs w:val="15"/>
          <w:color w:val="000000"/>
        </w:rPr>
        <w:t>We maintain investments in other growers, packers and distributors of avocados. We account for these non-marketable investments using the</w:t>
      </w:r>
      <w:r>
        <w:rPr>
          <w:rFonts w:ascii="Arial" w:cs="Arial" w:eastAsia="Arial" w:hAnsi="Arial"/>
          <w:sz w:val="15"/>
          <w:szCs w:val="15"/>
          <w:b w:val="1"/>
          <w:bCs w:val="1"/>
          <w:i w:val="1"/>
          <w:iCs w:val="1"/>
          <w:color w:val="232F84"/>
        </w:rPr>
        <w:t xml:space="preserve"> </w:t>
      </w:r>
      <w:r>
        <w:rPr>
          <w:rFonts w:ascii="Arial" w:cs="Arial" w:eastAsia="Arial" w:hAnsi="Arial"/>
          <w:sz w:val="15"/>
          <w:szCs w:val="15"/>
          <w:color w:val="000000"/>
        </w:rPr>
        <w:t>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We evaluate whether our equity method investments are impaired when certain indications of impairment are present. Although a current fair value below the recorded investment is an indicator of impairment, we recognize an impairment loss on our equity method investments only if the loss in value is deemed to be an other-than-temporary-impairment (“OTTI”). If an impairment of an equity method investment is determined to be other than temporary, we record an impairment charge sufficient to reduce the investment’s carrying value to its fair value, which results in a new cost basis in the investment. The primary factors we consider in our determination of whether declines in fair value are other than temporary are the length of time that the fair value of the investment is below our carrying value; the severity of the decline; and the financial condition, operating performance and near term prospects of the investee. In addition, we consider the reason for the decline in fair value, be it general market conditions, industry specific or investee specific; and our intent and ability to hold the investment for a period of time sufficient to allow for a recovery in fair value. As our assessment of the fair value of our investments and any resulting impairment losses and the timing of when to recognize such charges requires judgment and includes estimates and assumptions, actual results could differ materially from our estimates and assumptions.</w:t>
      </w:r>
    </w:p>
    <w:p>
      <w:pPr>
        <w:spacing w:after="0" w:line="176" w:lineRule="exact"/>
        <w:rPr>
          <w:sz w:val="20"/>
          <w:szCs w:val="20"/>
          <w:color w:val="auto"/>
        </w:rPr>
      </w:pPr>
    </w:p>
    <w:p>
      <w:pPr>
        <w:ind w:firstLine="600"/>
        <w:spacing w:after="0" w:line="249" w:lineRule="auto"/>
        <w:rPr>
          <w:sz w:val="20"/>
          <w:szCs w:val="20"/>
          <w:color w:val="auto"/>
        </w:rPr>
      </w:pPr>
      <w:r>
        <w:rPr>
          <w:rFonts w:ascii="Arial" w:cs="Arial" w:eastAsia="Arial" w:hAnsi="Arial"/>
          <w:sz w:val="15"/>
          <w:szCs w:val="15"/>
          <w:b w:val="1"/>
          <w:bCs w:val="1"/>
          <w:i w:val="1"/>
          <w:iCs w:val="1"/>
          <w:color w:val="232F84"/>
        </w:rPr>
        <w:t xml:space="preserve">Goodwill. </w:t>
      </w:r>
      <w:r>
        <w:rPr>
          <w:rFonts w:ascii="Arial" w:cs="Arial" w:eastAsia="Arial" w:hAnsi="Arial"/>
          <w:sz w:val="15"/>
          <w:szCs w:val="15"/>
          <w:color w:val="000000"/>
        </w:rPr>
        <w:t>Our goodwill represents the excess of the purchase price of business combinations over the fair value of the net assets acquired. We assess goodwill</w:t>
      </w:r>
      <w:r>
        <w:rPr>
          <w:rFonts w:ascii="Arial" w:cs="Arial" w:eastAsia="Arial" w:hAnsi="Arial"/>
          <w:sz w:val="15"/>
          <w:szCs w:val="15"/>
          <w:b w:val="1"/>
          <w:bCs w:val="1"/>
          <w:i w:val="1"/>
          <w:iCs w:val="1"/>
          <w:color w:val="232F84"/>
        </w:rPr>
        <w:t xml:space="preserve"> </w:t>
      </w:r>
      <w:r>
        <w:rPr>
          <w:rFonts w:ascii="Arial" w:cs="Arial" w:eastAsia="Arial" w:hAnsi="Arial"/>
          <w:sz w:val="15"/>
          <w:szCs w:val="15"/>
          <w:color w:val="000000"/>
        </w:rPr>
        <w:t>for impairment on an annual basis during the fourth quarter of each fiscal year, and between annual tests whenever events or changes in circumstances indicate that the carrying amount may not be recoverable. An impairment exists by the amount the fair value of a reporting unit to which goodwill has been allocated is less than their respective carrying values. The impairment for goodwill is limited to the total amount of goodwill allocated to the reporting unit.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w:t>
      </w: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83" w:lineRule="exact"/>
        <w:rPr>
          <w:sz w:val="20"/>
          <w:szCs w:val="20"/>
          <w:color w:val="auto"/>
        </w:rPr>
      </w:pPr>
    </w:p>
    <w:p>
      <w:pPr>
        <w:ind w:right="60" w:firstLine="600"/>
        <w:spacing w:after="0" w:line="252" w:lineRule="auto"/>
        <w:rPr>
          <w:sz w:val="20"/>
          <w:szCs w:val="20"/>
          <w:color w:val="auto"/>
        </w:rPr>
      </w:pPr>
      <w:r>
        <w:rPr>
          <w:rFonts w:ascii="Arial" w:cs="Arial" w:eastAsia="Arial" w:hAnsi="Arial"/>
          <w:sz w:val="15"/>
          <w:szCs w:val="15"/>
          <w:b w:val="1"/>
          <w:bCs w:val="1"/>
          <w:i w:val="1"/>
          <w:iCs w:val="1"/>
          <w:color w:val="232F84"/>
        </w:rPr>
        <w:t xml:space="preserve">Income taxes. </w:t>
      </w:r>
      <w:r>
        <w:rPr>
          <w:rFonts w:ascii="Arial" w:cs="Arial" w:eastAsia="Arial" w:hAnsi="Arial"/>
          <w:sz w:val="15"/>
          <w:szCs w:val="15"/>
          <w:color w:val="000000"/>
        </w:rPr>
        <w:t>We account for deferred tax liabilities and assets for the future consequences of events that have been recognized in our consolidated financial</w:t>
      </w:r>
      <w:r>
        <w:rPr>
          <w:rFonts w:ascii="Arial" w:cs="Arial" w:eastAsia="Arial" w:hAnsi="Arial"/>
          <w:sz w:val="15"/>
          <w:szCs w:val="15"/>
          <w:b w:val="1"/>
          <w:bCs w:val="1"/>
          <w:i w:val="1"/>
          <w:iCs w:val="1"/>
          <w:color w:val="232F84"/>
        </w:rPr>
        <w:t xml:space="preserve"> </w:t>
      </w:r>
      <w:r>
        <w:rPr>
          <w:rFonts w:ascii="Arial" w:cs="Arial" w:eastAsia="Arial" w:hAnsi="Arial"/>
          <w:sz w:val="15"/>
          <w:szCs w:val="15"/>
          <w:color w:val="000000"/>
        </w:rPr>
        <w:t>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all or some portion of the deferred tax asset will not be realized.</w:t>
      </w:r>
    </w:p>
    <w:p>
      <w:pPr>
        <w:spacing w:after="0" w:line="187"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93" w:lineRule="exact"/>
        <w:rPr>
          <w:sz w:val="20"/>
          <w:szCs w:val="20"/>
          <w:color w:val="auto"/>
        </w:rPr>
      </w:pPr>
    </w:p>
    <w:p>
      <w:pPr>
        <w:ind w:right="300" w:firstLine="600"/>
        <w:spacing w:after="0" w:line="246" w:lineRule="auto"/>
        <w:rPr>
          <w:sz w:val="20"/>
          <w:szCs w:val="20"/>
          <w:color w:val="auto"/>
        </w:rPr>
      </w:pPr>
      <w:r>
        <w:rPr>
          <w:rFonts w:ascii="Arial" w:cs="Arial" w:eastAsia="Arial" w:hAnsi="Arial"/>
          <w:sz w:val="15"/>
          <w:szCs w:val="15"/>
          <w:color w:val="auto"/>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93"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75" w:lineRule="exact"/>
        <w:rPr>
          <w:sz w:val="20"/>
          <w:szCs w:val="20"/>
          <w:color w:val="auto"/>
        </w:rPr>
      </w:pPr>
    </w:p>
    <w:p>
      <w:pPr>
        <w:ind w:right="220" w:firstLine="600"/>
        <w:spacing w:after="0" w:line="255" w:lineRule="auto"/>
        <w:rPr>
          <w:sz w:val="20"/>
          <w:szCs w:val="20"/>
          <w:color w:val="auto"/>
        </w:rPr>
      </w:pPr>
      <w:r>
        <w:rPr>
          <w:rFonts w:ascii="Arial" w:cs="Arial" w:eastAsia="Arial" w:hAnsi="Arial"/>
          <w:sz w:val="15"/>
          <w:szCs w:val="15"/>
          <w:b w:val="1"/>
          <w:bCs w:val="1"/>
          <w:i w:val="1"/>
          <w:iCs w:val="1"/>
          <w:color w:val="232F84"/>
        </w:rPr>
        <w:t xml:space="preserve">Stock-based compensation. </w:t>
      </w:r>
      <w:r>
        <w:rPr>
          <w:rFonts w:ascii="Arial" w:cs="Arial" w:eastAsia="Arial" w:hAnsi="Arial"/>
          <w:sz w:val="15"/>
          <w:szCs w:val="15"/>
          <w:color w:val="000000"/>
        </w:rPr>
        <w:t>The Company uses the fair value recognition method for accounting for stock-based compensation. Under the fair value</w:t>
      </w:r>
      <w:r>
        <w:rPr>
          <w:rFonts w:ascii="Arial" w:cs="Arial" w:eastAsia="Arial" w:hAnsi="Arial"/>
          <w:sz w:val="15"/>
          <w:szCs w:val="15"/>
          <w:b w:val="1"/>
          <w:bCs w:val="1"/>
          <w:i w:val="1"/>
          <w:iCs w:val="1"/>
          <w:color w:val="232F84"/>
        </w:rPr>
        <w:t xml:space="preserve"> </w:t>
      </w:r>
      <w:r>
        <w:rPr>
          <w:rFonts w:ascii="Arial" w:cs="Arial" w:eastAsia="Arial" w:hAnsi="Arial"/>
          <w:sz w:val="15"/>
          <w:szCs w:val="15"/>
          <w:color w:val="000000"/>
        </w:rPr>
        <w:t>recognition method, cost is measured at the grant date based on the fair value of the award and is recognized as expense on the straight-line basis over the requisite service period, which is generally the vesting period. When vesting is based on the occurrence of certain defined liquidity events, expense relative to such awards is measured based on the grant date fair value of the award and is recorded when the event occurs. Forfeitures are recognized in the period they occur.</w:t>
      </w:r>
    </w:p>
    <w:p>
      <w:pPr>
        <w:spacing w:after="0" w:line="210" w:lineRule="exact"/>
        <w:rPr>
          <w:sz w:val="20"/>
          <w:szCs w:val="20"/>
          <w:color w:val="auto"/>
        </w:rPr>
      </w:pPr>
    </w:p>
    <w:p>
      <w:pPr>
        <w:jc w:val="both"/>
        <w:ind w:right="60" w:firstLine="600"/>
        <w:spacing w:after="0" w:line="248" w:lineRule="auto"/>
        <w:rPr>
          <w:sz w:val="20"/>
          <w:szCs w:val="20"/>
          <w:color w:val="auto"/>
        </w:rPr>
      </w:pPr>
      <w:r>
        <w:rPr>
          <w:rFonts w:ascii="Arial" w:cs="Arial" w:eastAsia="Arial" w:hAnsi="Arial"/>
          <w:sz w:val="15"/>
          <w:szCs w:val="15"/>
          <w:color w:val="auto"/>
        </w:rPr>
        <w:t>The fair value of stock options is estimated as of the date of grant using the Black-Scholes option model. We use a third-party valuation specialist to determine the inputs of the model, including volatility, risk-free interest rate, and the estimated life of the option term. The fair value of restricted stock units is determined based on the market price of our common stock on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Recently Issued Accounting Standards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Note 2 to the consolidated financial statements included herein for information on recently issued accounting standards.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JOBS Act</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to avail ourselves of this exemption and, as a result,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Sarbanes-Oxley. As a result, our combined financial statements may not be comparable to companies that comply with new or revised accounting pronouncements as of public company effective dates.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will remain an emerging growth company until the earliest of (i) the last day of the fiscal year following the fifth anniversary of the consummation of our IPO,</w:t>
      </w:r>
    </w:p>
    <w:p>
      <w:pPr>
        <w:spacing w:after="0" w:line="2" w:lineRule="exact"/>
        <w:rPr>
          <w:sz w:val="20"/>
          <w:szCs w:val="20"/>
          <w:color w:val="auto"/>
        </w:rPr>
      </w:pPr>
    </w:p>
    <w:p>
      <w:pPr>
        <w:ind w:right="60"/>
        <w:spacing w:after="0" w:line="246" w:lineRule="auto"/>
        <w:tabs>
          <w:tab w:leader="none" w:pos="20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or (iv) the date on which we have issued more than $1.0 billion in non-convertible debt securities during the prior three-year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Off-Balance Sheet Arrangements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During the periods presented we did not have, nor do we currently have, any off-balance sheet arrangements as defined under SEC rules.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160"/>
          </w:cols>
          <w:pgMar w:left="320" w:top="1440" w:right="419" w:bottom="1440" w:gutter="0" w:footer="0" w:header="0"/>
        </w:sectPr>
      </w:pPr>
    </w:p>
    <w:bookmarkStart w:id="34" w:name="page35"/>
    <w:bookmarkEnd w:id="34"/>
    <w:p>
      <w:pPr>
        <w:spacing w:after="0"/>
        <w:tabs>
          <w:tab w:leader="none" w:pos="1400" w:val="left"/>
        </w:tabs>
        <w:rPr>
          <w:sz w:val="20"/>
          <w:szCs w:val="20"/>
          <w:color w:val="auto"/>
        </w:rPr>
      </w:pPr>
      <w:r>
        <w:rPr>
          <w:rFonts w:ascii="Arial" w:cs="Arial" w:eastAsia="Arial" w:hAnsi="Arial"/>
          <w:sz w:val="23"/>
          <w:szCs w:val="23"/>
          <w:b w:val="1"/>
          <w:bCs w:val="1"/>
          <w:color w:val="232F84"/>
        </w:rPr>
        <w:t>Item 7A.</w:t>
      </w:r>
      <w:r>
        <w:rPr>
          <w:sz w:val="20"/>
          <w:szCs w:val="20"/>
          <w:color w:val="auto"/>
        </w:rPr>
        <w:tab/>
      </w:r>
      <w:r>
        <w:rPr>
          <w:rFonts w:ascii="Arial" w:cs="Arial" w:eastAsia="Arial" w:hAnsi="Arial"/>
          <w:sz w:val="23"/>
          <w:szCs w:val="23"/>
          <w:b w:val="1"/>
          <w:bCs w:val="1"/>
          <w:color w:val="232F84"/>
        </w:rPr>
        <w:t>Quantitative and Qualitative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Interest Rate Risk</w:t>
      </w:r>
    </w:p>
    <w:p>
      <w:pPr>
        <w:spacing w:after="0" w:line="227"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Our cash and cash equivalents consist of cash in readily available checking accounts and money market funds. As a result, the fair value of our portfolio is relatively insensitive to interest rate changes. Our long-term debt bears interest at a variable rate. A 10% increase or decrease in the interest rate on our long-term debt would not have a material effect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Foreign Currency Risk</w:t>
      </w:r>
    </w:p>
    <w:p>
      <w:pPr>
        <w:spacing w:after="0" w:line="227" w:lineRule="exact"/>
        <w:rPr>
          <w:sz w:val="20"/>
          <w:szCs w:val="20"/>
          <w:color w:val="auto"/>
        </w:rPr>
      </w:pPr>
    </w:p>
    <w:p>
      <w:pPr>
        <w:ind w:right="140" w:firstLine="600"/>
        <w:spacing w:after="0" w:line="253" w:lineRule="auto"/>
        <w:rPr>
          <w:sz w:val="20"/>
          <w:szCs w:val="20"/>
          <w:color w:val="auto"/>
        </w:rPr>
      </w:pPr>
      <w:r>
        <w:rPr>
          <w:rFonts w:ascii="Arial" w:cs="Arial" w:eastAsia="Arial" w:hAnsi="Arial"/>
          <w:sz w:val="15"/>
          <w:szCs w:val="15"/>
          <w:color w:val="auto"/>
        </w:rPr>
        <w:t>The majority of our sales are currently conducted in U.S. dollars, while a portion of our input costs are denominated in foreign currencies. Any transactions that may be conducted in foreign currencies are not expected to have a material effect on our results of operations, financial position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Effects of Inflation</w:t>
      </w:r>
    </w:p>
    <w:p>
      <w:pPr>
        <w:spacing w:after="0" w:line="227" w:lineRule="exact"/>
        <w:rPr>
          <w:sz w:val="20"/>
          <w:szCs w:val="20"/>
          <w:color w:val="auto"/>
        </w:rPr>
      </w:pPr>
    </w:p>
    <w:p>
      <w:pPr>
        <w:ind w:right="220" w:firstLine="600"/>
        <w:spacing w:after="0" w:line="253" w:lineRule="auto"/>
        <w:rPr>
          <w:sz w:val="20"/>
          <w:szCs w:val="20"/>
          <w:color w:val="auto"/>
        </w:rPr>
      </w:pPr>
      <w:r>
        <w:rPr>
          <w:rFonts w:ascii="Arial" w:cs="Arial" w:eastAsia="Arial" w:hAnsi="Arial"/>
          <w:sz w:val="15"/>
          <w:szCs w:val="15"/>
          <w:color w:val="auto"/>
        </w:rPr>
        <w:t>Inflation generally affects us by increasing our cost of labor, material, and general overhead costs. We do not believe inflation has had a material effect on our results of operations during the periods presented.</w:t>
      </w:r>
    </w:p>
    <w:p>
      <w:pPr>
        <w:spacing w:after="0" w:line="283" w:lineRule="exact"/>
        <w:rPr>
          <w:sz w:val="20"/>
          <w:szCs w:val="20"/>
          <w:color w:val="auto"/>
        </w:rPr>
      </w:pPr>
    </w:p>
    <w:p>
      <w:pPr>
        <w:spacing w:after="0"/>
        <w:tabs>
          <w:tab w:leader="none" w:pos="1240" w:val="left"/>
        </w:tabs>
        <w:rPr>
          <w:sz w:val="20"/>
          <w:szCs w:val="20"/>
          <w:color w:val="auto"/>
        </w:rPr>
      </w:pPr>
      <w:r>
        <w:rPr>
          <w:rFonts w:ascii="Arial" w:cs="Arial" w:eastAsia="Arial" w:hAnsi="Arial"/>
          <w:sz w:val="23"/>
          <w:szCs w:val="23"/>
          <w:b w:val="1"/>
          <w:bCs w:val="1"/>
          <w:color w:val="232F84"/>
        </w:rPr>
        <w:t>Item 8.</w:t>
      </w:r>
      <w:r>
        <w:rPr>
          <w:sz w:val="20"/>
          <w:szCs w:val="20"/>
          <w:color w:val="auto"/>
        </w:rPr>
        <w:tab/>
      </w:r>
      <w:r>
        <w:rPr>
          <w:rFonts w:ascii="Arial" w:cs="Arial" w:eastAsia="Arial" w:hAnsi="Arial"/>
          <w:sz w:val="23"/>
          <w:szCs w:val="23"/>
          <w:b w:val="1"/>
          <w:bCs w:val="1"/>
          <w:color w:val="232F84"/>
        </w:rPr>
        <w:t>Financial Statements and Supplementary Data</w:t>
      </w:r>
    </w:p>
    <w:p>
      <w:pPr>
        <w:spacing w:after="0" w:line="239" w:lineRule="exact"/>
        <w:rPr>
          <w:sz w:val="20"/>
          <w:szCs w:val="20"/>
          <w:color w:val="auto"/>
        </w:rPr>
      </w:pPr>
    </w:p>
    <w:p>
      <w:pPr>
        <w:ind w:right="240" w:firstLine="600"/>
        <w:spacing w:after="0" w:line="253" w:lineRule="auto"/>
        <w:rPr>
          <w:sz w:val="20"/>
          <w:szCs w:val="20"/>
          <w:color w:val="auto"/>
        </w:rPr>
      </w:pPr>
      <w:r>
        <w:rPr>
          <w:rFonts w:ascii="Arial" w:cs="Arial" w:eastAsia="Arial" w:hAnsi="Arial"/>
          <w:sz w:val="15"/>
          <w:szCs w:val="15"/>
          <w:color w:val="auto"/>
        </w:rPr>
        <w:t>The financial statements required pursuant to this item are incorporated by reference herein from the applicable information included in Item 15 of this annual report and are presented beginning on page F-1.</w:t>
      </w:r>
    </w:p>
    <w:p>
      <w:pPr>
        <w:spacing w:after="0" w:line="283" w:lineRule="exact"/>
        <w:rPr>
          <w:sz w:val="20"/>
          <w:szCs w:val="20"/>
          <w:color w:val="auto"/>
        </w:rPr>
      </w:pPr>
    </w:p>
    <w:p>
      <w:pPr>
        <w:spacing w:after="0"/>
        <w:tabs>
          <w:tab w:leader="none" w:pos="1240" w:val="left"/>
        </w:tabs>
        <w:rPr>
          <w:sz w:val="20"/>
          <w:szCs w:val="20"/>
          <w:color w:val="auto"/>
        </w:rPr>
      </w:pPr>
      <w:r>
        <w:rPr>
          <w:rFonts w:ascii="Arial" w:cs="Arial" w:eastAsia="Arial" w:hAnsi="Arial"/>
          <w:sz w:val="23"/>
          <w:szCs w:val="23"/>
          <w:b w:val="1"/>
          <w:bCs w:val="1"/>
          <w:color w:val="232F84"/>
        </w:rPr>
        <w:t>Item 9.</w:t>
      </w:r>
      <w:r>
        <w:rPr>
          <w:sz w:val="20"/>
          <w:szCs w:val="20"/>
          <w:color w:val="auto"/>
        </w:rPr>
        <w:tab/>
      </w:r>
      <w:r>
        <w:rPr>
          <w:rFonts w:ascii="Arial" w:cs="Arial" w:eastAsia="Arial" w:hAnsi="Arial"/>
          <w:sz w:val="23"/>
          <w:szCs w:val="23"/>
          <w:b w:val="1"/>
          <w:bCs w:val="1"/>
          <w:color w:val="232F84"/>
        </w:rPr>
        <w:t>Changes in and Disagreements with Accountants on Accounting and Financial Disclosure</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99"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b w:val="1"/>
          <w:bCs w:val="1"/>
          <w:color w:val="232F84"/>
        </w:rPr>
        <w:t>Item 9A.</w:t>
      </w:r>
      <w:r>
        <w:rPr>
          <w:sz w:val="20"/>
          <w:szCs w:val="20"/>
          <w:color w:val="auto"/>
        </w:rPr>
        <w:tab/>
      </w:r>
      <w:r>
        <w:rPr>
          <w:rFonts w:ascii="Arial" w:cs="Arial" w:eastAsia="Arial" w:hAnsi="Arial"/>
          <w:sz w:val="23"/>
          <w:szCs w:val="23"/>
          <w:b w:val="1"/>
          <w:bCs w:val="1"/>
          <w:color w:val="232F84"/>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Evaluation of Disclosure Controls and Procedures</w:t>
      </w:r>
    </w:p>
    <w:p>
      <w:pPr>
        <w:spacing w:after="0" w:line="227" w:lineRule="exact"/>
        <w:rPr>
          <w:sz w:val="20"/>
          <w:szCs w:val="20"/>
          <w:color w:val="auto"/>
        </w:rPr>
      </w:pPr>
    </w:p>
    <w:p>
      <w:pPr>
        <w:ind w:right="40" w:firstLine="600"/>
        <w:spacing w:after="0" w:line="248" w:lineRule="auto"/>
        <w:rPr>
          <w:sz w:val="20"/>
          <w:szCs w:val="20"/>
          <w:color w:val="auto"/>
        </w:rPr>
      </w:pPr>
      <w:r>
        <w:rPr>
          <w:rFonts w:ascii="Arial" w:cs="Arial" w:eastAsia="Arial" w:hAnsi="Arial"/>
          <w:sz w:val="15"/>
          <w:szCs w:val="15"/>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Annual Report on Form 10-K.</w:t>
      </w:r>
    </w:p>
    <w:p>
      <w:pPr>
        <w:spacing w:after="0" w:line="190" w:lineRule="exact"/>
        <w:rPr>
          <w:sz w:val="20"/>
          <w:szCs w:val="20"/>
          <w:color w:val="auto"/>
        </w:rPr>
      </w:pPr>
    </w:p>
    <w:p>
      <w:pPr>
        <w:jc w:val="both"/>
        <w:ind w:firstLine="600"/>
        <w:spacing w:after="0" w:line="243" w:lineRule="auto"/>
        <w:rPr>
          <w:sz w:val="20"/>
          <w:szCs w:val="20"/>
          <w:color w:val="auto"/>
        </w:rPr>
      </w:pPr>
      <w:r>
        <w:rPr>
          <w:rFonts w:ascii="Arial" w:cs="Arial" w:eastAsia="Arial" w:hAnsi="Arial"/>
          <w:sz w:val="15"/>
          <w:szCs w:val="15"/>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 w:lineRule="exact"/>
        <w:rPr>
          <w:sz w:val="20"/>
          <w:szCs w:val="20"/>
          <w:color w:val="auto"/>
        </w:rPr>
      </w:pPr>
    </w:p>
    <w:p>
      <w:pPr>
        <w:ind w:right="140"/>
        <w:spacing w:after="0" w:line="177" w:lineRule="exact"/>
        <w:rPr>
          <w:sz w:val="20"/>
          <w:szCs w:val="20"/>
          <w:color w:val="auto"/>
        </w:rPr>
      </w:pPr>
      <w:r>
        <w:rPr>
          <w:rFonts w:ascii="Arial" w:cs="Arial" w:eastAsia="Arial" w:hAnsi="Arial"/>
          <w:sz w:val="15"/>
          <w:szCs w:val="15"/>
          <w:color w:val="auto"/>
        </w:rPr>
        <w:t>Management recognizes that any controls and procedures, no matter how well designed and operated, can provide only reasonable assurance of achieving their objectives, and management necessarily applies its judgment in evaluating the cost</w:t>
      </w:r>
      <w:r>
        <w:rPr>
          <w:rFonts w:ascii="MS PGothic" w:cs="MS PGothic" w:eastAsia="MS PGothic" w:hAnsi="MS PGothic"/>
          <w:sz w:val="15"/>
          <w:szCs w:val="15"/>
          <w:color w:val="auto"/>
        </w:rPr>
        <w:t>‑</w:t>
      </w:r>
      <w:r>
        <w:rPr>
          <w:rFonts w:ascii="Arial" w:cs="Arial" w:eastAsia="Arial" w:hAnsi="Arial"/>
          <w:sz w:val="15"/>
          <w:szCs w:val="15"/>
          <w:color w:val="auto"/>
        </w:rPr>
        <w:t>benefit relationship of possible controls and procedures. Based on the evaluation of our disclosure controls and procedures, our Chief Executive Officer and our Chief Financial Officer have concluded that our disclosure controls and procedures were effective as of October 31, 2020.</w:t>
      </w:r>
    </w:p>
    <w:p>
      <w:pPr>
        <w:spacing w:after="0" w:line="200" w:lineRule="exact"/>
        <w:rPr>
          <w:sz w:val="20"/>
          <w:szCs w:val="20"/>
          <w:color w:val="auto"/>
        </w:rPr>
      </w:pPr>
    </w:p>
    <w:p>
      <w:pPr>
        <w:spacing w:after="0" w:line="22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40"/>
          </w:cols>
          <w:pgMar w:left="320" w:top="1413"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Management’s Annual Report on Internal Control Over Financial Reporting</w:t>
      </w:r>
    </w:p>
    <w:p>
      <w:pPr>
        <w:spacing w:after="0" w:line="227" w:lineRule="exact"/>
        <w:rPr>
          <w:sz w:val="20"/>
          <w:szCs w:val="20"/>
          <w:color w:val="auto"/>
        </w:rPr>
      </w:pPr>
    </w:p>
    <w:p>
      <w:pPr>
        <w:ind w:right="740" w:firstLine="600"/>
        <w:spacing w:after="0" w:line="253" w:lineRule="auto"/>
        <w:rPr>
          <w:sz w:val="20"/>
          <w:szCs w:val="20"/>
          <w:color w:val="auto"/>
        </w:rPr>
      </w:pPr>
      <w:r>
        <w:rPr>
          <w:rFonts w:ascii="Arial" w:cs="Arial" w:eastAsia="Arial" w:hAnsi="Arial"/>
          <w:sz w:val="15"/>
          <w:szCs w:val="15"/>
          <w:color w:val="auto"/>
        </w:rPr>
        <w:t>This annual report does not include a report of management’s assessment regarding internal control over financial reporting due to a transition period established by the rules of the SEC for newly public companies.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Attestation Report of the Registered Public Accounting Firm</w:t>
      </w:r>
    </w:p>
    <w:p>
      <w:pPr>
        <w:spacing w:after="0" w:line="227"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This Annual Report on Form 10-K does not include an attestation report of our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Changes in Internal Control Over Financial Reporting</w:t>
      </w:r>
    </w:p>
    <w:p>
      <w:pPr>
        <w:spacing w:after="0" w:line="227" w:lineRule="exact"/>
        <w:rPr>
          <w:sz w:val="20"/>
          <w:szCs w:val="20"/>
          <w:color w:val="auto"/>
        </w:rPr>
      </w:pPr>
    </w:p>
    <w:p>
      <w:pPr>
        <w:ind w:right="440" w:firstLine="600"/>
        <w:spacing w:after="0" w:line="253" w:lineRule="auto"/>
        <w:rPr>
          <w:sz w:val="20"/>
          <w:szCs w:val="20"/>
          <w:color w:val="auto"/>
        </w:rPr>
      </w:pPr>
      <w:r>
        <w:rPr>
          <w:rFonts w:ascii="Arial" w:cs="Arial" w:eastAsia="Arial" w:hAnsi="Arial"/>
          <w:sz w:val="15"/>
          <w:szCs w:val="15"/>
          <w:color w:val="auto"/>
        </w:rPr>
        <w:t>Other than described below, there have been no changes in our internal control over financial reporting during the year ended October 31, 2020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Conclusion Regarding the Effectiveness of Disclosure Controls and Procedures</w:t>
      </w:r>
    </w:p>
    <w:p>
      <w:pPr>
        <w:spacing w:after="0" w:line="227"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management previously identified a material weakness in our internal control over financial reporting for the years ended October 31, 2019 and 2018. This material weakness related to a lack of sufficient technical accounting resources. Control deficiencies that aggregated to the material weakness relating to a lack of sufficient technical accounting resources included controls related to (1) determination of the functional currency and foreign currency translation, (2) accounting for uncertain tax positions and income taxes, and (3) purchase accounting, among others. Control deficiencies relating to a lack of sufficient technical accounting resources also included insufficient resources for the timely review of certain accounting analyses and associated journal entries, and of the financial statement and disclosure preparation process. In aggregate we have deemed these deficiencies to be a material weakness.</w:t>
      </w:r>
    </w:p>
    <w:p>
      <w:pPr>
        <w:spacing w:after="0" w:line="197" w:lineRule="exact"/>
        <w:rPr>
          <w:sz w:val="20"/>
          <w:szCs w:val="20"/>
          <w:color w:val="auto"/>
        </w:rPr>
      </w:pPr>
    </w:p>
    <w:p>
      <w:pPr>
        <w:ind w:right="40" w:firstLine="600"/>
        <w:spacing w:after="0" w:line="253" w:lineRule="auto"/>
        <w:rPr>
          <w:sz w:val="20"/>
          <w:szCs w:val="20"/>
          <w:color w:val="auto"/>
        </w:rPr>
      </w:pPr>
      <w:r>
        <w:rPr>
          <w:rFonts w:ascii="Arial" w:cs="Arial" w:eastAsia="Arial" w:hAnsi="Arial"/>
          <w:sz w:val="15"/>
          <w:szCs w:val="15"/>
          <w:color w:val="auto"/>
        </w:rPr>
        <w:t>In response to the material weaknesses identified, management developed and implemented the following remedial actions to address the underlying causes of the material weaknesses, which were subject to senior management review and Audit Committee oversight:</w:t>
      </w:r>
    </w:p>
    <w:p>
      <w:pPr>
        <w:spacing w:after="0" w:line="186" w:lineRule="exact"/>
        <w:rPr>
          <w:sz w:val="20"/>
          <w:szCs w:val="20"/>
          <w:color w:val="auto"/>
        </w:rPr>
      </w:pPr>
    </w:p>
    <w:p>
      <w:pPr>
        <w:ind w:left="580" w:hanging="280"/>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hired additional accounting personnel with appropriate technical accounting and financial reporting experience;</w:t>
      </w:r>
    </w:p>
    <w:p>
      <w:pPr>
        <w:spacing w:after="0" w:line="202" w:lineRule="exact"/>
        <w:rPr>
          <w:rFonts w:ascii="Arial" w:cs="Arial" w:eastAsia="Arial" w:hAnsi="Arial"/>
          <w:sz w:val="15"/>
          <w:szCs w:val="15"/>
          <w:color w:val="auto"/>
        </w:rPr>
      </w:pPr>
    </w:p>
    <w:p>
      <w:pPr>
        <w:ind w:left="600" w:right="20" w:hanging="300"/>
        <w:spacing w:after="0" w:line="253" w:lineRule="auto"/>
        <w:tabs>
          <w:tab w:leader="none" w:pos="5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hired a director of income taxes to assist in the review and oversight of the preparation and review of the income tax provision who has appropriate technical accounting experience;</w:t>
      </w:r>
    </w:p>
    <w:p>
      <w:pPr>
        <w:spacing w:after="0" w:line="186" w:lineRule="exact"/>
        <w:rPr>
          <w:rFonts w:ascii="Arial" w:cs="Arial" w:eastAsia="Arial" w:hAnsi="Arial"/>
          <w:sz w:val="15"/>
          <w:szCs w:val="15"/>
          <w:color w:val="auto"/>
        </w:rPr>
      </w:pPr>
    </w:p>
    <w:p>
      <w:pPr>
        <w:ind w:left="580" w:hanging="280"/>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supplemented and continue to supplement our current resources with external technical accounting resources;</w:t>
      </w:r>
    </w:p>
    <w:p>
      <w:pPr>
        <w:spacing w:after="0" w:line="202" w:lineRule="exact"/>
        <w:rPr>
          <w:rFonts w:ascii="Arial" w:cs="Arial" w:eastAsia="Arial" w:hAnsi="Arial"/>
          <w:sz w:val="15"/>
          <w:szCs w:val="15"/>
          <w:color w:val="auto"/>
        </w:rPr>
      </w:pPr>
    </w:p>
    <w:p>
      <w:pPr>
        <w:ind w:left="600" w:right="200" w:hanging="300"/>
        <w:spacing w:after="0" w:line="253" w:lineRule="auto"/>
        <w:tabs>
          <w:tab w:leader="none" w:pos="5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revised our internal controls to provide a more formal process for our review procedures during the financial statement close process, and enhanced our internal controls to identify and evaluate significant non-routine transactions.</w:t>
      </w:r>
    </w:p>
    <w:p>
      <w:pPr>
        <w:spacing w:after="0" w:line="186" w:lineRule="exact"/>
        <w:rPr>
          <w:sz w:val="20"/>
          <w:szCs w:val="20"/>
          <w:color w:val="auto"/>
        </w:rPr>
      </w:pPr>
    </w:p>
    <w:p>
      <w:pPr>
        <w:ind w:right="340" w:firstLine="600"/>
        <w:spacing w:after="0" w:line="253" w:lineRule="auto"/>
        <w:rPr>
          <w:sz w:val="20"/>
          <w:szCs w:val="20"/>
          <w:color w:val="auto"/>
        </w:rPr>
      </w:pPr>
      <w:r>
        <w:rPr>
          <w:rFonts w:ascii="Arial" w:cs="Arial" w:eastAsia="Arial" w:hAnsi="Arial"/>
          <w:sz w:val="15"/>
          <w:szCs w:val="15"/>
          <w:color w:val="auto"/>
        </w:rPr>
        <w:t>We have determined that through the actions described above we have remediated the previously identified material weakness associated with our internal controls over financial reporting.</w:t>
      </w:r>
    </w:p>
    <w:p>
      <w:pPr>
        <w:spacing w:after="0" w:line="200" w:lineRule="exact"/>
        <w:rPr>
          <w:sz w:val="20"/>
          <w:szCs w:val="20"/>
          <w:color w:val="auto"/>
        </w:rPr>
      </w:pPr>
    </w:p>
    <w:p>
      <w:pPr>
        <w:spacing w:after="0" w:line="308"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b w:val="1"/>
          <w:bCs w:val="1"/>
          <w:color w:val="232F84"/>
        </w:rPr>
        <w:t>Item 9B.</w:t>
      </w:r>
      <w:r>
        <w:rPr>
          <w:sz w:val="20"/>
          <w:szCs w:val="20"/>
          <w:color w:val="auto"/>
        </w:rPr>
        <w:tab/>
      </w:r>
      <w:r>
        <w:rPr>
          <w:rFonts w:ascii="Arial" w:cs="Arial" w:eastAsia="Arial" w:hAnsi="Arial"/>
          <w:sz w:val="23"/>
          <w:szCs w:val="23"/>
          <w:b w:val="1"/>
          <w:bCs w:val="1"/>
          <w:color w:val="232F84"/>
        </w:rPr>
        <w:t>Other Information</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20"/>
          </w:cols>
          <w:pgMar w:left="320" w:top="1440" w:right="359" w:bottom="1440" w:gutter="0" w:footer="0" w:header="0"/>
        </w:sectPr>
      </w:pPr>
    </w:p>
    <w:bookmarkStart w:id="36" w:name="page37"/>
    <w:bookmarkEnd w:id="36"/>
    <w:p>
      <w:pPr>
        <w:ind w:left="5180"/>
        <w:spacing w:after="0"/>
        <w:rPr>
          <w:sz w:val="20"/>
          <w:szCs w:val="20"/>
          <w:color w:val="auto"/>
        </w:rPr>
      </w:pPr>
      <w:r>
        <w:rPr>
          <w:rFonts w:ascii="Arial" w:cs="Arial" w:eastAsia="Arial" w:hAnsi="Arial"/>
          <w:sz w:val="23"/>
          <w:szCs w:val="23"/>
          <w:b w:val="1"/>
          <w:bCs w:val="1"/>
          <w:color w:val="232F84"/>
        </w:rPr>
        <w:t>PART III</w:t>
      </w:r>
    </w:p>
    <w:p>
      <w:pPr>
        <w:spacing w:after="0" w:line="210"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10.</w:t>
      </w:r>
      <w:r>
        <w:rPr>
          <w:sz w:val="20"/>
          <w:szCs w:val="20"/>
          <w:color w:val="auto"/>
        </w:rPr>
        <w:tab/>
      </w:r>
      <w:r>
        <w:rPr>
          <w:rFonts w:ascii="Arial" w:cs="Arial" w:eastAsia="Arial" w:hAnsi="Arial"/>
          <w:sz w:val="23"/>
          <w:szCs w:val="23"/>
          <w:b w:val="1"/>
          <w:bCs w:val="1"/>
          <w:color w:val="232F84"/>
        </w:rPr>
        <w:t>Directors, Executive Officers and Corporate Governance</w:t>
      </w:r>
    </w:p>
    <w:p>
      <w:pPr>
        <w:spacing w:after="0" w:line="239" w:lineRule="exact"/>
        <w:rPr>
          <w:sz w:val="20"/>
          <w:szCs w:val="20"/>
          <w:color w:val="auto"/>
        </w:rPr>
      </w:pPr>
    </w:p>
    <w:p>
      <w:pPr>
        <w:jc w:val="both"/>
        <w:ind w:right="160" w:firstLine="600"/>
        <w:spacing w:after="0" w:line="248" w:lineRule="auto"/>
        <w:rPr>
          <w:sz w:val="20"/>
          <w:szCs w:val="20"/>
          <w:color w:val="auto"/>
        </w:rPr>
      </w:pPr>
      <w:r>
        <w:rPr>
          <w:rFonts w:ascii="Arial" w:cs="Arial" w:eastAsia="Arial" w:hAnsi="Arial"/>
          <w:sz w:val="15"/>
          <w:szCs w:val="15"/>
          <w:color w:val="auto"/>
        </w:rPr>
        <w:t>The information required by this item will be contained in our definitive proxy statement to be filed with the SEC in connection with our 2021 Annual Meeting of Stockholders, or the Definitive Proxy Statement, which is expected to be filed not later than 120 days after the end of our fiscal year ended October 31, 2020, under the headings “Election of Directors,” “Executive Officers,” and “Section 16(a) Beneficial Ownership Reporting Compliance,”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Code of Conduct and Ethics</w:t>
      </w:r>
    </w:p>
    <w:p>
      <w:pPr>
        <w:spacing w:after="0" w:line="227"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We have adopted a Code of Conduct and Ethics that applies to our officers, directors and employees, which is available on our website at www.worldsfinestavocados.com.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89"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11.</w:t>
      </w:r>
      <w:r>
        <w:rPr>
          <w:sz w:val="20"/>
          <w:szCs w:val="20"/>
          <w:color w:val="auto"/>
        </w:rPr>
        <w:tab/>
      </w:r>
      <w:r>
        <w:rPr>
          <w:rFonts w:ascii="Arial" w:cs="Arial" w:eastAsia="Arial" w:hAnsi="Arial"/>
          <w:sz w:val="23"/>
          <w:szCs w:val="23"/>
          <w:b w:val="1"/>
          <w:bCs w:val="1"/>
          <w:color w:val="232F84"/>
        </w:rPr>
        <w:t>Executive Compensation</w:t>
      </w:r>
    </w:p>
    <w:p>
      <w:pPr>
        <w:spacing w:after="0" w:line="239" w:lineRule="exact"/>
        <w:rPr>
          <w:sz w:val="20"/>
          <w:szCs w:val="20"/>
          <w:color w:val="auto"/>
        </w:rPr>
      </w:pPr>
    </w:p>
    <w:p>
      <w:pPr>
        <w:ind w:right="180" w:firstLine="600"/>
        <w:spacing w:after="0" w:line="253" w:lineRule="auto"/>
        <w:rPr>
          <w:sz w:val="20"/>
          <w:szCs w:val="20"/>
          <w:color w:val="auto"/>
        </w:rPr>
      </w:pPr>
      <w:r>
        <w:rPr>
          <w:rFonts w:ascii="Arial" w:cs="Arial" w:eastAsia="Arial" w:hAnsi="Arial"/>
          <w:sz w:val="15"/>
          <w:szCs w:val="15"/>
          <w:color w:val="auto"/>
        </w:rPr>
        <w:t>The information required by this item will be set forth in the section headed “Executive Compensation and Other Information” in our Definitive Proxy Statement and is incorporated herein by reference.</w:t>
      </w:r>
    </w:p>
    <w:p>
      <w:pPr>
        <w:spacing w:after="0" w:line="283" w:lineRule="exact"/>
        <w:rPr>
          <w:sz w:val="20"/>
          <w:szCs w:val="20"/>
          <w:color w:val="auto"/>
        </w:rPr>
      </w:pPr>
    </w:p>
    <w:p>
      <w:pPr>
        <w:ind w:right="1060"/>
        <w:spacing w:after="0" w:line="289" w:lineRule="auto"/>
        <w:rPr>
          <w:sz w:val="20"/>
          <w:szCs w:val="20"/>
          <w:color w:val="auto"/>
        </w:rPr>
      </w:pPr>
      <w:r>
        <w:rPr>
          <w:rFonts w:ascii="Arial" w:cs="Arial" w:eastAsia="Arial" w:hAnsi="Arial"/>
          <w:sz w:val="23"/>
          <w:szCs w:val="23"/>
          <w:b w:val="1"/>
          <w:bCs w:val="1"/>
          <w:color w:val="232F84"/>
        </w:rPr>
        <w:t>Item 12. Security Ownership of Certain Beneficial Owners and Management and Related Stockholder Matters</w:t>
      </w:r>
    </w:p>
    <w:p>
      <w:pPr>
        <w:spacing w:after="0" w:line="141" w:lineRule="exact"/>
        <w:rPr>
          <w:sz w:val="20"/>
          <w:szCs w:val="20"/>
          <w:color w:val="auto"/>
        </w:rPr>
      </w:pPr>
    </w:p>
    <w:p>
      <w:pPr>
        <w:ind w:right="20" w:firstLine="600"/>
        <w:spacing w:after="0" w:line="253" w:lineRule="auto"/>
        <w:rPr>
          <w:sz w:val="20"/>
          <w:szCs w:val="20"/>
          <w:color w:val="auto"/>
        </w:rPr>
      </w:pPr>
      <w:r>
        <w:rPr>
          <w:rFonts w:ascii="Arial" w:cs="Arial" w:eastAsia="Arial" w:hAnsi="Arial"/>
          <w:sz w:val="15"/>
          <w:szCs w:val="15"/>
          <w:color w:val="auto"/>
        </w:rPr>
        <w:t>The information required by this item will be set forth in the section headed “Security Ownership of Certain Beneficial Owners and Management” in our Definitive Proxy Statement and is incorporated herein by reference.</w:t>
      </w:r>
    </w:p>
    <w:p>
      <w:pPr>
        <w:spacing w:after="0" w:line="186" w:lineRule="exact"/>
        <w:rPr>
          <w:sz w:val="20"/>
          <w:szCs w:val="20"/>
          <w:color w:val="auto"/>
        </w:rPr>
      </w:pPr>
    </w:p>
    <w:p>
      <w:pPr>
        <w:ind w:right="240" w:firstLine="600"/>
        <w:spacing w:after="0" w:line="253" w:lineRule="auto"/>
        <w:rPr>
          <w:sz w:val="20"/>
          <w:szCs w:val="20"/>
          <w:color w:val="auto"/>
        </w:rPr>
      </w:pPr>
      <w:r>
        <w:rPr>
          <w:rFonts w:ascii="Arial" w:cs="Arial" w:eastAsia="Arial" w:hAnsi="Arial"/>
          <w:sz w:val="15"/>
          <w:szCs w:val="15"/>
          <w:color w:val="auto"/>
        </w:rPr>
        <w:t>The information required by Item 201(d) of Regulation S-K will be set forth in the section headed “Executive Compensation” in our Definitive Proxy Statement and is incorporated herein by reference.</w:t>
      </w:r>
    </w:p>
    <w:p>
      <w:pPr>
        <w:spacing w:after="0" w:line="283"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13.</w:t>
      </w:r>
      <w:r>
        <w:rPr>
          <w:sz w:val="20"/>
          <w:szCs w:val="20"/>
          <w:color w:val="auto"/>
        </w:rPr>
        <w:tab/>
      </w:r>
      <w:r>
        <w:rPr>
          <w:rFonts w:ascii="Arial" w:cs="Arial" w:eastAsia="Arial" w:hAnsi="Arial"/>
          <w:sz w:val="23"/>
          <w:szCs w:val="23"/>
          <w:b w:val="1"/>
          <w:bCs w:val="1"/>
          <w:color w:val="232F84"/>
        </w:rPr>
        <w:t>Certain Relationships and Related Transactions, and Director Independence</w:t>
      </w:r>
    </w:p>
    <w:p>
      <w:pPr>
        <w:spacing w:after="0" w:line="239"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The information required by this item will be set forth in the section headed “Certain Relationships and Related Person Transactions,” “Board Independence” and “Committees of the Board of Directors” in our Definitive Proxy Statement and is incorporated herein by reference.</w:t>
      </w:r>
    </w:p>
    <w:p>
      <w:pPr>
        <w:spacing w:after="0" w:line="283"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14.</w:t>
      </w:r>
      <w:r>
        <w:rPr>
          <w:sz w:val="20"/>
          <w:szCs w:val="20"/>
          <w:color w:val="auto"/>
        </w:rPr>
        <w:tab/>
      </w:r>
      <w:r>
        <w:rPr>
          <w:rFonts w:ascii="Arial" w:cs="Arial" w:eastAsia="Arial" w:hAnsi="Arial"/>
          <w:sz w:val="23"/>
          <w:szCs w:val="23"/>
          <w:b w:val="1"/>
          <w:bCs w:val="1"/>
          <w:color w:val="232F84"/>
        </w:rPr>
        <w:t>Principal Accounting Fees and Services</w:t>
      </w:r>
    </w:p>
    <w:p>
      <w:pPr>
        <w:spacing w:after="0" w:line="239"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The information required by this item will be set forth in the section headed “Independent Registered Public Accountants’ Fees” in our Definitive Proxy Statement and is incorporated herein by reference.</w:t>
      </w: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40"/>
          </w:cols>
          <w:pgMar w:left="320" w:top="1413" w:right="339" w:bottom="1440" w:gutter="0" w:footer="0" w:header="0"/>
        </w:sectPr>
      </w:pPr>
    </w:p>
    <w:bookmarkStart w:id="37" w:name="page38"/>
    <w:bookmarkEnd w:id="37"/>
    <w:p>
      <w:pPr>
        <w:ind w:left="5180"/>
        <w:spacing w:after="0"/>
        <w:rPr>
          <w:sz w:val="20"/>
          <w:szCs w:val="20"/>
          <w:color w:val="auto"/>
        </w:rPr>
      </w:pPr>
      <w:r>
        <w:rPr>
          <w:rFonts w:ascii="Arial" w:cs="Arial" w:eastAsia="Arial" w:hAnsi="Arial"/>
          <w:sz w:val="23"/>
          <w:szCs w:val="23"/>
          <w:b w:val="1"/>
          <w:bCs w:val="1"/>
          <w:color w:val="232F84"/>
        </w:rPr>
        <w:t>PART IV</w:t>
      </w:r>
    </w:p>
    <w:p>
      <w:pPr>
        <w:spacing w:after="0" w:line="210"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15.</w:t>
      </w:r>
      <w:r>
        <w:rPr>
          <w:sz w:val="20"/>
          <w:szCs w:val="20"/>
          <w:color w:val="auto"/>
        </w:rPr>
        <w:tab/>
      </w:r>
      <w:r>
        <w:rPr>
          <w:rFonts w:ascii="Arial" w:cs="Arial" w:eastAsia="Arial" w:hAnsi="Arial"/>
          <w:sz w:val="23"/>
          <w:szCs w:val="23"/>
          <w:b w:val="1"/>
          <w:bCs w:val="1"/>
          <w:color w:val="232F84"/>
        </w:rPr>
        <w:t>Exhibits, Financial Statement Schedules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32F84"/>
        </w:rPr>
        <w:t>A. All financial statements</w:t>
      </w:r>
    </w:p>
    <w:p>
      <w:pPr>
        <w:spacing w:after="0" w:line="227" w:lineRule="exact"/>
        <w:rPr>
          <w:sz w:val="20"/>
          <w:szCs w:val="20"/>
          <w:color w:val="auto"/>
        </w:rPr>
      </w:pPr>
    </w:p>
    <w:p>
      <w:pPr>
        <w:ind w:right="120" w:firstLine="600"/>
        <w:spacing w:after="0" w:line="253" w:lineRule="auto"/>
        <w:rPr>
          <w:sz w:val="20"/>
          <w:szCs w:val="20"/>
          <w:color w:val="auto"/>
        </w:rPr>
      </w:pPr>
      <w:r>
        <w:rPr>
          <w:rFonts w:ascii="Arial" w:cs="Arial" w:eastAsia="Arial" w:hAnsi="Arial"/>
          <w:sz w:val="15"/>
          <w:szCs w:val="15"/>
          <w:color w:val="auto"/>
        </w:rPr>
        <w:t>The financial statements of Mission Produce, Inc., together with the report thereon of Deloitte &amp; Touche LLP, an independent registered public accounting firm, are included in this annual report on Form 10-K beginning on page F-1.</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32F84"/>
        </w:rPr>
        <w:t>B. Financial statement schedules</w:t>
      </w:r>
    </w:p>
    <w:p>
      <w:pPr>
        <w:spacing w:after="0" w:line="227"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All schedules have been omitted because the required information is not present or is not present in amounts sufficient to require submission of the schedule, or because the information required is included in the consolidated financial statements and notes thereto.</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32F84"/>
        </w:rPr>
        <w:t>C. Exhibits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documents set forth are filed herewith or incorporated herein by reference.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2F84"/>
        </w:rPr>
        <w:t>INDEX</w:t>
      </w:r>
    </w:p>
    <w:p>
      <w:pPr>
        <w:sectPr>
          <w:pgSz w:w="11900" w:h="16838" w:orient="portrait"/>
          <w:cols w:equalWidth="0" w:num="1">
            <w:col w:w="11200"/>
          </w:cols>
          <w:pgMar w:left="320" w:top="1413" w:right="379" w:bottom="1440" w:gutter="0" w:footer="0" w:header="0"/>
        </w:sect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Incorporated by Reference</w:t>
            </w:r>
          </w:p>
        </w:tc>
      </w:tr>
      <w:tr>
        <w:trPr>
          <w:trHeight w:val="190"/>
        </w:trPr>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160" w:type="dxa"/>
            <w:vAlign w:val="bottom"/>
            <w:gridSpan w:val="12"/>
          </w:tcPr>
          <w:p>
            <w:pPr>
              <w:ind w:left="1180"/>
              <w:spacing w:after="0"/>
              <w:rPr>
                <w:sz w:val="20"/>
                <w:szCs w:val="20"/>
                <w:color w:val="auto"/>
              </w:rPr>
            </w:pPr>
            <w:r>
              <w:rPr>
                <w:rFonts w:ascii="Arial" w:cs="Arial" w:eastAsia="Arial" w:hAnsi="Arial"/>
                <w:sz w:val="13"/>
                <w:szCs w:val="13"/>
                <w:b w:val="1"/>
                <w:bCs w:val="1"/>
                <w:color w:val="auto"/>
              </w:rPr>
              <w:t>Exhibit Description</w:t>
            </w:r>
          </w:p>
        </w:tc>
        <w:tc>
          <w:tcPr>
            <w:tcW w:w="500" w:type="dxa"/>
            <w:vAlign w:val="bottom"/>
          </w:tcPr>
          <w:p>
            <w:pPr>
              <w:jc w:val="center"/>
              <w:ind w:left="33"/>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b w:val="1"/>
                <w:bCs w:val="1"/>
                <w:color w:val="auto"/>
              </w:rPr>
              <w:t>Date</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Number</w:t>
            </w:r>
          </w:p>
        </w:tc>
      </w:tr>
      <w:tr>
        <w:trPr>
          <w:trHeight w:val="147"/>
        </w:trPr>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82"/>
        </w:trPr>
        <w:tc>
          <w:tcPr>
            <w:tcW w:w="780" w:type="dxa"/>
            <w:vAlign w:val="bottom"/>
          </w:tcPr>
          <w:p>
            <w:pPr>
              <w:jc w:val="center"/>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15">
              <w:r>
                <w:rPr>
                  <w:rFonts w:ascii="Arial" w:cs="Arial" w:eastAsia="Arial" w:hAnsi="Arial"/>
                  <w:sz w:val="13"/>
                  <w:szCs w:val="13"/>
                  <w:u w:val="single" w:color="auto"/>
                  <w:color w:val="0000FF"/>
                </w:rPr>
                <w:t>Amended and Restated Certificate of Incorporation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8-K</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10/7/2020</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3.1</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16">
              <w:r>
                <w:rPr>
                  <w:rFonts w:ascii="Arial" w:cs="Arial" w:eastAsia="Arial" w:hAnsi="Arial"/>
                  <w:sz w:val="13"/>
                  <w:szCs w:val="13"/>
                  <w:u w:val="single" w:color="auto"/>
                  <w:color w:val="0000FF"/>
                </w:rPr>
                <w:t>Amended and Restated Bylaws</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8-K</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10/7/2020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3.2</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17">
              <w:r>
                <w:rPr>
                  <w:rFonts w:ascii="Arial" w:cs="Arial" w:eastAsia="Arial" w:hAnsi="Arial"/>
                  <w:sz w:val="13"/>
                  <w:szCs w:val="13"/>
                  <w:u w:val="single" w:color="auto"/>
                  <w:color w:val="0000FF"/>
                </w:rPr>
                <w:t>Form of Common Stock Certificate</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S-1/A</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9/22/2020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4.1</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18">
              <w:r>
                <w:rPr>
                  <w:rFonts w:ascii="Arial" w:cs="Arial" w:eastAsia="Arial" w:hAnsi="Arial"/>
                  <w:sz w:val="13"/>
                  <w:szCs w:val="13"/>
                  <w:u w:val="single" w:color="auto"/>
                  <w:color w:val="0000FF"/>
                </w:rPr>
                <w:t>Mission Produce, Inc. Amended and Restated 2003 Stock Incentive Plan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S-1/A</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9/22/2020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10.1</w:t>
            </w:r>
          </w:p>
        </w:tc>
      </w:tr>
      <w:tr>
        <w:trPr>
          <w:trHeight w:val="172"/>
        </w:trPr>
        <w:tc>
          <w:tcPr>
            <w:tcW w:w="780" w:type="dxa"/>
            <w:vAlign w:val="bottom"/>
          </w:tcPr>
          <w:p>
            <w:pPr>
              <w:jc w:val="center"/>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20" w:type="dxa"/>
            <w:vAlign w:val="bottom"/>
            <w:gridSpan w:val="14"/>
          </w:tcPr>
          <w:p>
            <w:pPr>
              <w:spacing w:after="0"/>
              <w:rPr>
                <w:rFonts w:ascii="Arial" w:cs="Arial" w:eastAsia="Arial" w:hAnsi="Arial"/>
                <w:sz w:val="13"/>
                <w:szCs w:val="13"/>
                <w:color w:val="0000FF"/>
              </w:rPr>
            </w:pPr>
            <w:hyperlink r:id="rId19">
              <w:r>
                <w:rPr>
                  <w:rFonts w:ascii="Arial" w:cs="Arial" w:eastAsia="Arial" w:hAnsi="Arial"/>
                  <w:sz w:val="13"/>
                  <w:szCs w:val="13"/>
                  <w:color w:val="0000FF"/>
                </w:rPr>
                <w:t>Form of Stock Option Agreement pursuant to the Mission Produce, Inc. Amended and Restated 2003 Stock</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S-8</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10/5/2020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10.2</w:t>
            </w: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00FF"/>
              <w:bottom w:val="single" w:sz="8" w:color="0000FF"/>
            </w:tcBorders>
          </w:tcPr>
          <w:p>
            <w:pPr>
              <w:spacing w:after="0" w:line="130" w:lineRule="exact"/>
              <w:rPr>
                <w:rFonts w:ascii="Arial" w:cs="Arial" w:eastAsia="Arial" w:hAnsi="Arial"/>
                <w:sz w:val="13"/>
                <w:szCs w:val="13"/>
                <w:color w:val="0000FF"/>
              </w:rPr>
            </w:pPr>
            <w:hyperlink r:id="rId19">
              <w:r>
                <w:rPr>
                  <w:rFonts w:ascii="Arial" w:cs="Arial" w:eastAsia="Arial" w:hAnsi="Arial"/>
                  <w:sz w:val="13"/>
                  <w:szCs w:val="13"/>
                  <w:color w:val="0000FF"/>
                </w:rPr>
                <w:t>Incentive Plan</w:t>
              </w:r>
            </w:hyperlink>
          </w:p>
        </w:tc>
        <w:tc>
          <w:tcPr>
            <w:tcW w:w="5480" w:type="dxa"/>
            <w:vAlign w:val="bottom"/>
            <w:tcBorders>
              <w:top w:val="single" w:sz="8" w:color="0000FF"/>
            </w:tcBorders>
            <w:gridSpan w:val="7"/>
          </w:tcPr>
          <w:p>
            <w:pPr>
              <w:spacing w:after="0"/>
              <w:rPr>
                <w:sz w:val="11"/>
                <w:szCs w:val="11"/>
                <w:color w:val="auto"/>
              </w:rPr>
            </w:pPr>
          </w:p>
        </w:tc>
        <w:tc>
          <w:tcPr>
            <w:tcW w:w="300" w:type="dxa"/>
            <w:vAlign w:val="bottom"/>
            <w:gridSpan w:val="6"/>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7"/>
        </w:trPr>
        <w:tc>
          <w:tcPr>
            <w:tcW w:w="780" w:type="dxa"/>
            <w:vAlign w:val="bottom"/>
          </w:tcPr>
          <w:p>
            <w:pPr>
              <w:jc w:val="center"/>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0">
              <w:r>
                <w:rPr>
                  <w:rFonts w:ascii="Arial" w:cs="Arial" w:eastAsia="Arial" w:hAnsi="Arial"/>
                  <w:sz w:val="13"/>
                  <w:szCs w:val="13"/>
                  <w:u w:val="single" w:color="auto"/>
                  <w:color w:val="0000FF"/>
                </w:rPr>
                <w:t>Mission Produce, Inc. 2020 Incentive Award Plan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10.3</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1">
              <w:r>
                <w:rPr>
                  <w:rFonts w:ascii="Arial" w:cs="Arial" w:eastAsia="Arial" w:hAnsi="Arial"/>
                  <w:sz w:val="13"/>
                  <w:szCs w:val="13"/>
                  <w:u w:val="single" w:color="auto"/>
                  <w:color w:val="0000FF"/>
                </w:rPr>
                <w:t>Non-Employee Director Compensation Program</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10.4</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2">
              <w:r>
                <w:rPr>
                  <w:rFonts w:ascii="Arial" w:cs="Arial" w:eastAsia="Arial" w:hAnsi="Arial"/>
                  <w:sz w:val="13"/>
                  <w:szCs w:val="13"/>
                  <w:u w:val="single" w:color="auto"/>
                  <w:color w:val="0000FF"/>
                </w:rPr>
                <w:t>Form of Stock Option Agreement pursuant to the Mission Produce, Inc. 2020 Incentive Award Plan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10.5</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3">
              <w:r>
                <w:rPr>
                  <w:rFonts w:ascii="Arial" w:cs="Arial" w:eastAsia="Arial" w:hAnsi="Arial"/>
                  <w:sz w:val="13"/>
                  <w:szCs w:val="13"/>
                  <w:u w:val="single" w:color="auto"/>
                  <w:color w:val="0000FF"/>
                </w:rPr>
                <w:t>Form of RSU Agreement pursuant to the Mission Produce, Inc. 2020 Incentive Award Plan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10.6</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4">
              <w:r>
                <w:rPr>
                  <w:rFonts w:ascii="Arial" w:cs="Arial" w:eastAsia="Arial" w:hAnsi="Arial"/>
                  <w:sz w:val="13"/>
                  <w:szCs w:val="13"/>
                  <w:u w:val="single" w:color="auto"/>
                  <w:color w:val="0000FF"/>
                </w:rPr>
                <w:t>Form of Indemnification Agreement between Mission Produce, Inc. and certain of its directors and officers</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10.7</w:t>
            </w:r>
          </w:p>
        </w:tc>
      </w:tr>
      <w:tr>
        <w:trPr>
          <w:trHeight w:val="172"/>
        </w:trPr>
        <w:tc>
          <w:tcPr>
            <w:tcW w:w="780" w:type="dxa"/>
            <w:vAlign w:val="bottom"/>
          </w:tcPr>
          <w:p>
            <w:pPr>
              <w:jc w:val="center"/>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20" w:type="dxa"/>
            <w:vAlign w:val="bottom"/>
            <w:gridSpan w:val="14"/>
          </w:tcPr>
          <w:p>
            <w:pPr>
              <w:spacing w:after="0"/>
              <w:rPr>
                <w:rFonts w:ascii="Arial" w:cs="Arial" w:eastAsia="Arial" w:hAnsi="Arial"/>
                <w:sz w:val="13"/>
                <w:szCs w:val="13"/>
                <w:color w:val="0000FF"/>
              </w:rPr>
            </w:pPr>
            <w:hyperlink r:id="rId25">
              <w:r>
                <w:rPr>
                  <w:rFonts w:ascii="Arial" w:cs="Arial" w:eastAsia="Arial" w:hAnsi="Arial"/>
                  <w:sz w:val="13"/>
                  <w:szCs w:val="13"/>
                  <w:color w:val="0000FF"/>
                </w:rPr>
                <w:t>Credit Agreement, dated as of October 11, 2018, by and among Mission Produce, Inc., as Borrower, certain</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10.8</w:t>
            </w: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20" w:type="dxa"/>
            <w:vAlign w:val="bottom"/>
            <w:tcBorders>
              <w:top w:val="single" w:sz="8" w:color="0000FF"/>
              <w:bottom w:val="single" w:sz="8" w:color="0000FF"/>
            </w:tcBorders>
            <w:gridSpan w:val="5"/>
          </w:tcPr>
          <w:p>
            <w:pPr>
              <w:spacing w:after="0" w:line="130" w:lineRule="exact"/>
              <w:rPr>
                <w:rFonts w:ascii="Arial" w:cs="Arial" w:eastAsia="Arial" w:hAnsi="Arial"/>
                <w:sz w:val="13"/>
                <w:szCs w:val="13"/>
                <w:color w:val="0000FF"/>
              </w:rPr>
            </w:pPr>
            <w:hyperlink r:id="rId25">
              <w:r>
                <w:rPr>
                  <w:rFonts w:ascii="Arial" w:cs="Arial" w:eastAsia="Arial" w:hAnsi="Arial"/>
                  <w:sz w:val="13"/>
                  <w:szCs w:val="13"/>
                  <w:color w:val="0000FF"/>
                </w:rPr>
                <w:t>subsidiaries of the Borrower party thereto as guarantors, Bank of America, N.A. as administrative agent,</w:t>
              </w:r>
            </w:hyperlink>
          </w:p>
        </w:tc>
        <w:tc>
          <w:tcPr>
            <w:tcW w:w="240" w:type="dxa"/>
            <w:vAlign w:val="bottom"/>
            <w:tcBorders>
              <w:top w:val="single" w:sz="8" w:color="0000FF"/>
            </w:tcBorders>
            <w:gridSpan w:val="5"/>
          </w:tcPr>
          <w:p>
            <w:pPr>
              <w:spacing w:after="0"/>
              <w:rPr>
                <w:sz w:val="11"/>
                <w:szCs w:val="11"/>
                <w:color w:val="auto"/>
              </w:rPr>
            </w:pPr>
          </w:p>
        </w:tc>
        <w:tc>
          <w:tcPr>
            <w:tcW w:w="260" w:type="dxa"/>
            <w:vAlign w:val="bottom"/>
            <w:gridSpan w:val="4"/>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20" w:type="dxa"/>
            <w:vAlign w:val="bottom"/>
            <w:gridSpan w:val="14"/>
          </w:tcPr>
          <w:p>
            <w:pPr>
              <w:spacing w:after="0" w:line="130" w:lineRule="exact"/>
              <w:rPr>
                <w:rFonts w:ascii="Arial" w:cs="Arial" w:eastAsia="Arial" w:hAnsi="Arial"/>
                <w:sz w:val="13"/>
                <w:szCs w:val="13"/>
                <w:color w:val="0000FF"/>
              </w:rPr>
            </w:pPr>
            <w:hyperlink r:id="rId25">
              <w:r>
                <w:rPr>
                  <w:rFonts w:ascii="Arial" w:cs="Arial" w:eastAsia="Arial" w:hAnsi="Arial"/>
                  <w:sz w:val="13"/>
                  <w:szCs w:val="13"/>
                  <w:color w:val="0000FF"/>
                </w:rPr>
                <w:t>Swingline Lender and L/C Issuer, Farm Credit West, PCA as Syndication Agent, City National Bank and J.P.</w:t>
              </w:r>
            </w:hyperlink>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7"/>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40" w:type="dxa"/>
            <w:vAlign w:val="bottom"/>
            <w:tcBorders>
              <w:top w:val="single" w:sz="8" w:color="0000FF"/>
            </w:tcBorders>
            <w:gridSpan w:val="9"/>
          </w:tcPr>
          <w:p>
            <w:pPr>
              <w:spacing w:after="0" w:line="147" w:lineRule="exact"/>
              <w:rPr>
                <w:rFonts w:ascii="Arial" w:cs="Arial" w:eastAsia="Arial" w:hAnsi="Arial"/>
                <w:sz w:val="13"/>
                <w:szCs w:val="13"/>
                <w:u w:val="single" w:color="auto"/>
                <w:color w:val="0000FF"/>
              </w:rPr>
            </w:pPr>
            <w:hyperlink r:id="rId25">
              <w:r>
                <w:rPr>
                  <w:rFonts w:ascii="Arial" w:cs="Arial" w:eastAsia="Arial" w:hAnsi="Arial"/>
                  <w:sz w:val="13"/>
                  <w:szCs w:val="13"/>
                  <w:u w:val="single" w:color="auto"/>
                  <w:color w:val="0000FF"/>
                </w:rPr>
                <w:t>Morgan Chase Bank, N.A. as co-documentation agents, Merrill Lynch, Pierce, Fenner &amp; Smith Incorporated</w:t>
              </w:r>
            </w:hyperlink>
          </w:p>
        </w:tc>
        <w:tc>
          <w:tcPr>
            <w:tcW w:w="280" w:type="dxa"/>
            <w:vAlign w:val="bottom"/>
            <w:gridSpan w:val="5"/>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1"/>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5">
              <w:r>
                <w:rPr>
                  <w:rFonts w:ascii="Arial" w:cs="Arial" w:eastAsia="Arial" w:hAnsi="Arial"/>
                  <w:sz w:val="13"/>
                  <w:szCs w:val="13"/>
                  <w:u w:val="single" w:color="auto"/>
                  <w:color w:val="0000FF"/>
                </w:rPr>
                <w:t>and Farm Credit West, PCA as joint lead arrangers and joint bookrunners, and other lenders party thereto</w:t>
              </w:r>
            </w:hyperlink>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780" w:type="dxa"/>
            <w:vAlign w:val="bottom"/>
          </w:tcPr>
          <w:p>
            <w:pPr>
              <w:jc w:val="center"/>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00" w:type="dxa"/>
            <w:vAlign w:val="bottom"/>
            <w:tcBorders>
              <w:bottom w:val="single" w:sz="8" w:color="0000FF"/>
            </w:tcBorders>
            <w:gridSpan w:val="4"/>
          </w:tcPr>
          <w:p>
            <w:pPr>
              <w:spacing w:after="0"/>
              <w:rPr>
                <w:rFonts w:ascii="Arial" w:cs="Arial" w:eastAsia="Arial" w:hAnsi="Arial"/>
                <w:sz w:val="13"/>
                <w:szCs w:val="13"/>
                <w:color w:val="0000FF"/>
              </w:rPr>
            </w:pPr>
            <w:hyperlink r:id="rId26">
              <w:r>
                <w:rPr>
                  <w:rFonts w:ascii="Arial" w:cs="Arial" w:eastAsia="Arial" w:hAnsi="Arial"/>
                  <w:sz w:val="13"/>
                  <w:szCs w:val="13"/>
                  <w:color w:val="0000FF"/>
                </w:rPr>
                <w:t>First Amendment to Credit Agreement and Consent, dated September 18, 2020, by and among Mission</w:t>
              </w:r>
            </w:hyperlink>
          </w:p>
        </w:tc>
        <w:tc>
          <w:tcPr>
            <w:tcW w:w="520" w:type="dxa"/>
            <w:vAlign w:val="bottom"/>
            <w:gridSpan w:val="10"/>
          </w:tcPr>
          <w:p>
            <w:pPr>
              <w:spacing w:after="0"/>
              <w:rPr>
                <w:sz w:val="14"/>
                <w:szCs w:val="14"/>
                <w:color w:val="auto"/>
              </w:rPr>
            </w:pPr>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S-1/A</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9/22/2020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10.9</w:t>
            </w: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60" w:type="dxa"/>
            <w:vAlign w:val="bottom"/>
            <w:tcBorders>
              <w:bottom w:val="single" w:sz="8" w:color="0000FF"/>
            </w:tcBorders>
            <w:gridSpan w:val="12"/>
          </w:tcPr>
          <w:p>
            <w:pPr>
              <w:spacing w:after="0" w:line="130" w:lineRule="exact"/>
              <w:rPr>
                <w:rFonts w:ascii="Arial" w:cs="Arial" w:eastAsia="Arial" w:hAnsi="Arial"/>
                <w:sz w:val="13"/>
                <w:szCs w:val="13"/>
                <w:color w:val="0000FF"/>
              </w:rPr>
            </w:pPr>
            <w:hyperlink r:id="rId26">
              <w:r>
                <w:rPr>
                  <w:rFonts w:ascii="Arial" w:cs="Arial" w:eastAsia="Arial" w:hAnsi="Arial"/>
                  <w:sz w:val="13"/>
                  <w:szCs w:val="13"/>
                  <w:color w:val="0000FF"/>
                </w:rPr>
                <w:t>Produce, Inc., as Borrower, certain subsidiaries of the Borrower party thereto as guarantors, Bank of America,</w:t>
              </w:r>
            </w:hyperlink>
          </w:p>
        </w:tc>
        <w:tc>
          <w:tcPr>
            <w:tcW w:w="1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20" w:type="dxa"/>
            <w:vAlign w:val="bottom"/>
            <w:gridSpan w:val="14"/>
          </w:tcPr>
          <w:p>
            <w:pPr>
              <w:spacing w:after="0" w:line="130" w:lineRule="exact"/>
              <w:rPr>
                <w:rFonts w:ascii="Arial" w:cs="Arial" w:eastAsia="Arial" w:hAnsi="Arial"/>
                <w:sz w:val="13"/>
                <w:szCs w:val="13"/>
                <w:color w:val="0000FF"/>
              </w:rPr>
            </w:pPr>
            <w:hyperlink r:id="rId26">
              <w:r>
                <w:rPr>
                  <w:rFonts w:ascii="Arial" w:cs="Arial" w:eastAsia="Arial" w:hAnsi="Arial"/>
                  <w:sz w:val="13"/>
                  <w:szCs w:val="13"/>
                  <w:color w:val="0000FF"/>
                </w:rPr>
                <w:t>N.A. as administrative agent, Swingline Lender and L/C Issuer, Farm Credit West, PCA as Syndication Agent,</w:t>
              </w:r>
            </w:hyperlink>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40" w:type="dxa"/>
            <w:vAlign w:val="bottom"/>
            <w:tcBorders>
              <w:top w:val="single" w:sz="8" w:color="0000FF"/>
            </w:tcBorders>
            <w:gridSpan w:val="11"/>
          </w:tcPr>
          <w:p>
            <w:pPr>
              <w:spacing w:after="0" w:line="130" w:lineRule="exact"/>
              <w:rPr>
                <w:rFonts w:ascii="Arial" w:cs="Arial" w:eastAsia="Arial" w:hAnsi="Arial"/>
                <w:sz w:val="13"/>
                <w:szCs w:val="13"/>
                <w:color w:val="0000FF"/>
              </w:rPr>
            </w:pPr>
            <w:hyperlink r:id="rId26">
              <w:r>
                <w:rPr>
                  <w:rFonts w:ascii="Arial" w:cs="Arial" w:eastAsia="Arial" w:hAnsi="Arial"/>
                  <w:sz w:val="13"/>
                  <w:szCs w:val="13"/>
                  <w:color w:val="0000FF"/>
                </w:rPr>
                <w:t>City National Bank and J.P. Morgan Chase Bank, N.A. as co-documentation agents, Merrill Lynch, Pierce,</w:t>
              </w:r>
            </w:hyperlink>
          </w:p>
        </w:tc>
        <w:tc>
          <w:tcPr>
            <w:tcW w:w="18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7"/>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20" w:type="dxa"/>
            <w:vAlign w:val="bottom"/>
            <w:gridSpan w:val="14"/>
          </w:tcPr>
          <w:p>
            <w:pPr>
              <w:spacing w:after="0" w:line="147" w:lineRule="exact"/>
              <w:rPr>
                <w:rFonts w:ascii="Arial" w:cs="Arial" w:eastAsia="Arial" w:hAnsi="Arial"/>
                <w:sz w:val="13"/>
                <w:szCs w:val="13"/>
                <w:u w:val="single" w:color="auto"/>
                <w:color w:val="0000FF"/>
              </w:rPr>
            </w:pPr>
            <w:hyperlink r:id="rId26">
              <w:r>
                <w:rPr>
                  <w:rFonts w:ascii="Arial" w:cs="Arial" w:eastAsia="Arial" w:hAnsi="Arial"/>
                  <w:sz w:val="13"/>
                  <w:szCs w:val="13"/>
                  <w:u w:val="single" w:color="auto"/>
                  <w:color w:val="0000FF"/>
                </w:rPr>
                <w:t>Fenner &amp; Smith Incorporated and Farm Credit West, PCA as joint lead arrangers and joint bookrunners, and</w:t>
              </w:r>
            </w:hyperlink>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1"/>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6">
              <w:r>
                <w:rPr>
                  <w:rFonts w:ascii="Arial" w:cs="Arial" w:eastAsia="Arial" w:hAnsi="Arial"/>
                  <w:sz w:val="13"/>
                  <w:szCs w:val="13"/>
                  <w:u w:val="single" w:color="auto"/>
                  <w:color w:val="0000FF"/>
                </w:rPr>
                <w:t>other lenders party thereto</w:t>
              </w:r>
            </w:hyperlink>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780" w:type="dxa"/>
            <w:vAlign w:val="bottom"/>
          </w:tcPr>
          <w:p>
            <w:pPr>
              <w:jc w:val="center"/>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40" w:type="dxa"/>
            <w:vAlign w:val="bottom"/>
            <w:tcBorders>
              <w:bottom w:val="single" w:sz="8" w:color="0000FF"/>
            </w:tcBorders>
            <w:gridSpan w:val="3"/>
          </w:tcPr>
          <w:p>
            <w:pPr>
              <w:spacing w:after="0"/>
              <w:rPr>
                <w:rFonts w:ascii="Arial" w:cs="Arial" w:eastAsia="Arial" w:hAnsi="Arial"/>
                <w:sz w:val="13"/>
                <w:szCs w:val="13"/>
                <w:color w:val="0000FF"/>
              </w:rPr>
            </w:pPr>
            <w:hyperlink r:id="rId27">
              <w:r>
                <w:rPr>
                  <w:rFonts w:ascii="Arial" w:cs="Arial" w:eastAsia="Arial" w:hAnsi="Arial"/>
                  <w:sz w:val="13"/>
                  <w:szCs w:val="13"/>
                  <w:color w:val="0000FF"/>
                </w:rPr>
                <w:t>Form of Amended and Restated Stockholder Agreement, by and among Mission Produce, Inc. and the</w:t>
              </w:r>
            </w:hyperlink>
          </w:p>
        </w:tc>
        <w:tc>
          <w:tcPr>
            <w:tcW w:w="580" w:type="dxa"/>
            <w:vAlign w:val="bottom"/>
            <w:gridSpan w:val="11"/>
          </w:tcPr>
          <w:p>
            <w:pPr>
              <w:spacing w:after="0"/>
              <w:rPr>
                <w:sz w:val="14"/>
                <w:szCs w:val="14"/>
                <w:color w:val="auto"/>
              </w:rPr>
            </w:pPr>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S-1/A</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9/22/2020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10.10</w:t>
            </w:r>
          </w:p>
        </w:tc>
      </w:tr>
      <w:tr>
        <w:trPr>
          <w:trHeight w:val="130"/>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20" w:type="dxa"/>
            <w:vAlign w:val="bottom"/>
            <w:gridSpan w:val="14"/>
          </w:tcPr>
          <w:p>
            <w:pPr>
              <w:spacing w:after="0" w:line="130" w:lineRule="exact"/>
              <w:rPr>
                <w:rFonts w:ascii="Arial" w:cs="Arial" w:eastAsia="Arial" w:hAnsi="Arial"/>
                <w:sz w:val="13"/>
                <w:szCs w:val="13"/>
                <w:color w:val="0000FF"/>
              </w:rPr>
            </w:pPr>
            <w:hyperlink r:id="rId27">
              <w:r>
                <w:rPr>
                  <w:rFonts w:ascii="Arial" w:cs="Arial" w:eastAsia="Arial" w:hAnsi="Arial"/>
                  <w:sz w:val="13"/>
                  <w:szCs w:val="13"/>
                  <w:color w:val="0000FF"/>
                </w:rPr>
                <w:t>stockholder party thereto</w:t>
              </w:r>
            </w:hyperlink>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7"/>
        </w:trPr>
        <w:tc>
          <w:tcPr>
            <w:tcW w:w="780" w:type="dxa"/>
            <w:vAlign w:val="bottom"/>
          </w:tcPr>
          <w:p>
            <w:pPr>
              <w:jc w:val="center"/>
              <w:spacing w:after="0"/>
              <w:rPr>
                <w:sz w:val="20"/>
                <w:szCs w:val="20"/>
                <w:color w:val="auto"/>
              </w:rPr>
            </w:pPr>
            <w:r>
              <w:rPr>
                <w:rFonts w:ascii="Arial" w:cs="Arial" w:eastAsia="Arial" w:hAnsi="Arial"/>
                <w:sz w:val="13"/>
                <w:szCs w:val="13"/>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0000FF"/>
            </w:tcBorders>
            <w:gridSpan w:val="2"/>
          </w:tcPr>
          <w:p>
            <w:pPr>
              <w:spacing w:after="0"/>
              <w:rPr>
                <w:rFonts w:ascii="Arial" w:cs="Arial" w:eastAsia="Arial" w:hAnsi="Arial"/>
                <w:sz w:val="13"/>
                <w:szCs w:val="13"/>
                <w:u w:val="single" w:color="auto"/>
                <w:color w:val="0000FF"/>
              </w:rPr>
            </w:pPr>
            <w:hyperlink w:anchor="page72">
              <w:r>
                <w:rPr>
                  <w:rFonts w:ascii="Arial" w:cs="Arial" w:eastAsia="Arial" w:hAnsi="Arial"/>
                  <w:sz w:val="13"/>
                  <w:szCs w:val="13"/>
                  <w:u w:val="single" w:color="auto"/>
                  <w:color w:val="0000FF"/>
                </w:rPr>
                <w:t>Lease Agreement</w:t>
              </w:r>
            </w:hyperlink>
          </w:p>
        </w:tc>
        <w:tc>
          <w:tcPr>
            <w:tcW w:w="516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r:id="rId28">
              <w:r>
                <w:rPr>
                  <w:rFonts w:ascii="Arial" w:cs="Arial" w:eastAsia="Arial" w:hAnsi="Arial"/>
                  <w:sz w:val="13"/>
                  <w:szCs w:val="13"/>
                  <w:u w:val="single" w:color="auto"/>
                  <w:color w:val="0000FF"/>
                </w:rPr>
                <w:t>List of Subsidiaries of the Registrant</w:t>
              </w:r>
            </w:hyperlink>
          </w:p>
        </w:tc>
        <w:tc>
          <w:tcPr>
            <w:tcW w:w="500" w:type="dxa"/>
            <w:vAlign w:val="bottom"/>
          </w:tcPr>
          <w:p>
            <w:pPr>
              <w:jc w:val="center"/>
              <w:ind w:left="33"/>
              <w:spacing w:after="0"/>
              <w:rPr>
                <w:sz w:val="20"/>
                <w:szCs w:val="20"/>
                <w:color w:val="auto"/>
              </w:rPr>
            </w:pPr>
            <w:r>
              <w:rPr>
                <w:rFonts w:ascii="Arial" w:cs="Arial" w:eastAsia="Arial" w:hAnsi="Arial"/>
                <w:sz w:val="13"/>
                <w:szCs w:val="13"/>
                <w:color w:val="auto"/>
                <w:w w:val="98"/>
              </w:rPr>
              <w:t>S-1</w:t>
            </w:r>
          </w:p>
        </w:tc>
        <w:tc>
          <w:tcPr>
            <w:tcW w:w="1300" w:type="dxa"/>
            <w:vAlign w:val="bottom"/>
            <w:gridSpan w:val="3"/>
          </w:tcPr>
          <w:p>
            <w:pPr>
              <w:jc w:val="center"/>
              <w:ind w:left="153"/>
              <w:spacing w:after="0"/>
              <w:rPr>
                <w:sz w:val="20"/>
                <w:szCs w:val="20"/>
                <w:color w:val="auto"/>
              </w:rPr>
            </w:pPr>
            <w:r>
              <w:rPr>
                <w:rFonts w:ascii="Arial" w:cs="Arial" w:eastAsia="Arial" w:hAnsi="Arial"/>
                <w:sz w:val="13"/>
                <w:szCs w:val="13"/>
                <w:color w:val="auto"/>
              </w:rPr>
              <w:t>9/4/2020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21.1</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u w:val="single" w:color="auto"/>
                <w:color w:val="0000FF"/>
              </w:rPr>
            </w:pPr>
            <w:hyperlink w:anchor="page113">
              <w:r>
                <w:rPr>
                  <w:rFonts w:ascii="Arial" w:cs="Arial" w:eastAsia="Arial" w:hAnsi="Arial"/>
                  <w:sz w:val="13"/>
                  <w:szCs w:val="13"/>
                  <w:u w:val="single" w:color="auto"/>
                  <w:color w:val="0000FF"/>
                </w:rPr>
                <w:t>Consent of Deloitte &amp; Touche LLP</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3"/>
                <w:szCs w:val="13"/>
                <w:color w:val="0000FF"/>
              </w:rPr>
            </w:pPr>
            <w:hyperlink w:anchor="page39">
              <w:r>
                <w:rPr>
                  <w:rFonts w:ascii="Arial" w:cs="Arial" w:eastAsia="Arial" w:hAnsi="Arial"/>
                  <w:sz w:val="13"/>
                  <w:szCs w:val="13"/>
                  <w:u w:val="single" w:color="auto"/>
                  <w:color w:val="0000FF"/>
                </w:rPr>
                <w:t>Power of Attorney (page 36</w:t>
              </w:r>
            </w:hyperlink>
            <w:r>
              <w:rPr>
                <w:rFonts w:ascii="Arial" w:cs="Arial" w:eastAsia="Arial" w:hAnsi="Arial"/>
                <w:sz w:val="13"/>
                <w:szCs w:val="13"/>
                <w:color w:val="000000"/>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2"/>
        </w:trPr>
        <w:tc>
          <w:tcPr>
            <w:tcW w:w="780" w:type="dxa"/>
            <w:vAlign w:val="bottom"/>
          </w:tcPr>
          <w:p>
            <w:pPr>
              <w:jc w:val="center"/>
              <w:spacing w:after="0"/>
              <w:rPr>
                <w:sz w:val="20"/>
                <w:szCs w:val="20"/>
                <w:color w:val="auto"/>
              </w:rPr>
            </w:pPr>
            <w:r>
              <w:rPr>
                <w:rFonts w:ascii="Arial" w:cs="Arial" w:eastAsia="Arial" w:hAnsi="Arial"/>
                <w:sz w:val="13"/>
                <w:szCs w:val="13"/>
                <w:color w:val="auto"/>
                <w:w w:val="98"/>
              </w:rPr>
              <w:t>31.1*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20" w:type="dxa"/>
            <w:vAlign w:val="bottom"/>
            <w:gridSpan w:val="14"/>
          </w:tcPr>
          <w:p>
            <w:pPr>
              <w:spacing w:after="0"/>
              <w:rPr>
                <w:rFonts w:ascii="Arial" w:cs="Arial" w:eastAsia="Arial" w:hAnsi="Arial"/>
                <w:sz w:val="13"/>
                <w:szCs w:val="13"/>
                <w:color w:val="0000FF"/>
              </w:rPr>
            </w:pPr>
            <w:hyperlink w:anchor="page114">
              <w:r>
                <w:rPr>
                  <w:rFonts w:ascii="Arial" w:cs="Arial" w:eastAsia="Arial" w:hAnsi="Arial"/>
                  <w:sz w:val="13"/>
                  <w:szCs w:val="13"/>
                  <w:color w:val="0000FF"/>
                </w:rPr>
                <w:t>Certification of Principal Executive Officer Pursuant to Rules 13a-14(a) and 15d-14(a) under the Securities</w:t>
              </w:r>
            </w:hyperlink>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tcBorders>
            <w:gridSpan w:val="7"/>
          </w:tcPr>
          <w:p>
            <w:pPr>
              <w:spacing w:after="0"/>
              <w:rPr>
                <w:rFonts w:ascii="Arial" w:cs="Arial" w:eastAsia="Arial" w:hAnsi="Arial"/>
                <w:sz w:val="13"/>
                <w:szCs w:val="13"/>
                <w:u w:val="single" w:color="auto"/>
                <w:color w:val="0000FF"/>
              </w:rPr>
            </w:pPr>
            <w:hyperlink w:anchor="page114">
              <w:r>
                <w:rPr>
                  <w:rFonts w:ascii="Arial" w:cs="Arial" w:eastAsia="Arial" w:hAnsi="Arial"/>
                  <w:sz w:val="13"/>
                  <w:szCs w:val="13"/>
                  <w:u w:val="single" w:color="auto"/>
                  <w:color w:val="0000FF"/>
                </w:rPr>
                <w:t>Exchange Act of 1934, as Adopted Pursuant to Section 302 of the Sarbanes-Oxley Act of 2002</w:t>
              </w:r>
            </w:hyperlink>
          </w:p>
        </w:tc>
        <w:tc>
          <w:tcPr>
            <w:tcW w:w="380" w:type="dxa"/>
            <w:vAlign w:val="bottom"/>
            <w:gridSpan w:val="7"/>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-3167380</wp:posOffset>
            </wp:positionV>
            <wp:extent cx="7110730" cy="127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711073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-2913380</wp:posOffset>
            </wp:positionV>
            <wp:extent cx="7110730" cy="222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110730" cy="222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-2564130</wp:posOffset>
            </wp:positionV>
            <wp:extent cx="7110730" cy="127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11073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-2310130</wp:posOffset>
            </wp:positionV>
            <wp:extent cx="7110730" cy="127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11073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-2056130</wp:posOffset>
            </wp:positionV>
            <wp:extent cx="7110730" cy="508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10730" cy="508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-945515</wp:posOffset>
            </wp:positionV>
            <wp:extent cx="7110730" cy="222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10730" cy="222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-596265</wp:posOffset>
            </wp:positionV>
            <wp:extent cx="7110730"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1073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7110730"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1073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-3429635</wp:posOffset>
            </wp:positionV>
            <wp:extent cx="71107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107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Filed</w:t>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X</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X</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X</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X</w:t>
      </w:r>
    </w:p>
    <w:p>
      <w:pPr>
        <w:spacing w:after="0" w:line="361" w:lineRule="exact"/>
        <w:rPr>
          <w:sz w:val="20"/>
          <w:szCs w:val="20"/>
          <w:color w:val="auto"/>
        </w:rPr>
      </w:pPr>
    </w:p>
    <w:p>
      <w:pPr>
        <w:sectPr>
          <w:pgSz w:w="11900" w:h="16838" w:orient="portrait"/>
          <w:cols w:equalWidth="0" w:num="2">
            <w:col w:w="10240" w:space="260"/>
            <w:col w:w="700"/>
          </w:cols>
          <w:pgMar w:left="320" w:top="1413" w:right="379" w:bottom="1440" w:gutter="0" w:footer="0" w:header="0"/>
          <w:type w:val="continuous"/>
        </w:sect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1413" w:right="37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1"/>
        </w:trPr>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3"/>
                <w:szCs w:val="13"/>
                <w:color w:val="auto"/>
              </w:rPr>
            </w:pPr>
          </w:p>
        </w:tc>
        <w:tc>
          <w:tcPr>
            <w:tcW w:w="6620" w:type="dxa"/>
            <w:vAlign w:val="bottom"/>
            <w:gridSpan w:val="3"/>
          </w:tcPr>
          <w:p>
            <w:pPr>
              <w:ind w:left="2640"/>
              <w:spacing w:after="0"/>
              <w:rPr>
                <w:sz w:val="20"/>
                <w:szCs w:val="20"/>
                <w:color w:val="auto"/>
              </w:rPr>
            </w:pPr>
            <w:r>
              <w:rPr>
                <w:rFonts w:ascii="Arial" w:cs="Arial" w:eastAsia="Arial" w:hAnsi="Arial"/>
                <w:sz w:val="13"/>
                <w:szCs w:val="13"/>
                <w:b w:val="1"/>
                <w:bCs w:val="1"/>
                <w:color w:val="auto"/>
              </w:rPr>
              <w:t>Exhibit Description</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b w:val="1"/>
                <w:bCs w:val="1"/>
                <w:color w:val="auto"/>
              </w:rPr>
              <w:t>Date</w:t>
            </w: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Filed</w:t>
            </w:r>
          </w:p>
        </w:tc>
      </w:tr>
      <w:tr>
        <w:trPr>
          <w:trHeight w:val="182"/>
        </w:trPr>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r>
      <w:tr>
        <w:trPr>
          <w:trHeight w:val="160"/>
        </w:trPr>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31.2*</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0" w:type="dxa"/>
            <w:vAlign w:val="bottom"/>
            <w:tcBorders>
              <w:bottom w:val="single" w:sz="8" w:color="0000FF"/>
            </w:tcBorders>
            <w:shd w:val="clear" w:color="auto" w:fill="CCEEFF"/>
          </w:tcPr>
          <w:p>
            <w:pPr>
              <w:spacing w:after="0"/>
              <w:rPr>
                <w:rFonts w:ascii="Arial" w:cs="Arial" w:eastAsia="Arial" w:hAnsi="Arial"/>
                <w:sz w:val="13"/>
                <w:szCs w:val="13"/>
                <w:color w:val="0000FF"/>
              </w:rPr>
            </w:pPr>
            <w:hyperlink w:anchor="page115">
              <w:r>
                <w:rPr>
                  <w:rFonts w:ascii="Arial" w:cs="Arial" w:eastAsia="Arial" w:hAnsi="Arial"/>
                  <w:sz w:val="13"/>
                  <w:szCs w:val="13"/>
                  <w:color w:val="0000FF"/>
                </w:rPr>
                <w:t>Certification of Principal Financial Officer Pursuant to Rules 13a-14(a) and 15d-14(a) under the Securities</w:t>
              </w:r>
            </w:hyperlink>
          </w:p>
        </w:tc>
        <w:tc>
          <w:tcPr>
            <w:tcW w:w="420" w:type="dxa"/>
            <w:vAlign w:val="bottom"/>
            <w:tcBorders>
              <w:bottom w:val="single" w:sz="8" w:color="CCEEFF"/>
            </w:tcBorders>
            <w:gridSpan w:val="2"/>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X</w:t>
            </w:r>
          </w:p>
        </w:tc>
      </w:tr>
      <w:tr>
        <w:trPr>
          <w:trHeight w:val="167"/>
        </w:trPr>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20" w:type="dxa"/>
            <w:vAlign w:val="bottom"/>
            <w:gridSpan w:val="3"/>
            <w:shd w:val="clear" w:color="auto" w:fill="CCEEFF"/>
          </w:tcPr>
          <w:p>
            <w:pPr>
              <w:spacing w:after="0"/>
              <w:rPr>
                <w:rFonts w:ascii="Arial" w:cs="Arial" w:eastAsia="Arial" w:hAnsi="Arial"/>
                <w:sz w:val="13"/>
                <w:szCs w:val="13"/>
                <w:u w:val="single" w:color="auto"/>
                <w:color w:val="0000FF"/>
              </w:rPr>
            </w:pPr>
            <w:hyperlink w:anchor="page115">
              <w:r>
                <w:rPr>
                  <w:rFonts w:ascii="Arial" w:cs="Arial" w:eastAsia="Arial" w:hAnsi="Arial"/>
                  <w:sz w:val="13"/>
                  <w:szCs w:val="13"/>
                  <w:u w:val="single" w:color="auto"/>
                  <w:color w:val="0000FF"/>
                </w:rPr>
                <w:t>Exchange Act of 1934, as Adopted Pursuant to Section 302 of the Sarbanes-Oxley Act of 2002</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780" w:type="dxa"/>
            <w:vAlign w:val="bottom"/>
          </w:tcPr>
          <w:p>
            <w:pPr>
              <w:jc w:val="center"/>
              <w:spacing w:after="0"/>
              <w:rPr>
                <w:sz w:val="20"/>
                <w:szCs w:val="20"/>
                <w:color w:val="auto"/>
              </w:rPr>
            </w:pPr>
            <w:r>
              <w:rPr>
                <w:rFonts w:ascii="Arial" w:cs="Arial" w:eastAsia="Arial" w:hAnsi="Arial"/>
                <w:sz w:val="13"/>
                <w:szCs w:val="13"/>
                <w:color w:val="auto"/>
                <w:w w:val="98"/>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20" w:type="dxa"/>
            <w:vAlign w:val="bottom"/>
            <w:gridSpan w:val="3"/>
          </w:tcPr>
          <w:p>
            <w:pPr>
              <w:spacing w:after="0"/>
              <w:rPr>
                <w:rFonts w:ascii="Arial" w:cs="Arial" w:eastAsia="Arial" w:hAnsi="Arial"/>
                <w:sz w:val="13"/>
                <w:szCs w:val="13"/>
                <w:u w:val="single" w:color="auto"/>
                <w:color w:val="0000FF"/>
              </w:rPr>
            </w:pPr>
            <w:hyperlink w:anchor="page116">
              <w:r>
                <w:rPr>
                  <w:rFonts w:ascii="Arial" w:cs="Arial" w:eastAsia="Arial" w:hAnsi="Arial"/>
                  <w:sz w:val="13"/>
                  <w:szCs w:val="13"/>
                  <w:u w:val="single" w:color="auto"/>
                  <w:color w:val="0000FF"/>
                </w:rPr>
                <w:t>Certification of Chief Executive Officer pursuant to Section 906 of the Sarbanes-Oxley Act of 2002</w:t>
              </w:r>
            </w:hyperlink>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r>
      <w:tr>
        <w:trPr>
          <w:trHeight w:val="200"/>
        </w:trPr>
        <w:tc>
          <w:tcPr>
            <w:tcW w:w="780" w:type="dxa"/>
            <w:vAlign w:val="bottom"/>
          </w:tcPr>
          <w:p>
            <w:pPr>
              <w:jc w:val="center"/>
              <w:spacing w:after="0"/>
              <w:rPr>
                <w:sz w:val="20"/>
                <w:szCs w:val="20"/>
                <w:color w:val="auto"/>
              </w:rPr>
            </w:pPr>
            <w:r>
              <w:rPr>
                <w:rFonts w:ascii="Arial" w:cs="Arial" w:eastAsia="Arial" w:hAnsi="Arial"/>
                <w:sz w:val="13"/>
                <w:szCs w:val="13"/>
                <w:color w:val="auto"/>
                <w:w w:val="98"/>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
          </w:tcPr>
          <w:p>
            <w:pPr>
              <w:spacing w:after="0"/>
              <w:rPr>
                <w:rFonts w:ascii="Arial" w:cs="Arial" w:eastAsia="Arial" w:hAnsi="Arial"/>
                <w:sz w:val="13"/>
                <w:szCs w:val="13"/>
                <w:u w:val="single" w:color="auto"/>
                <w:color w:val="0000FF"/>
              </w:rPr>
            </w:pPr>
            <w:hyperlink w:anchor="page117">
              <w:r>
                <w:rPr>
                  <w:rFonts w:ascii="Arial" w:cs="Arial" w:eastAsia="Arial" w:hAnsi="Arial"/>
                  <w:sz w:val="13"/>
                  <w:szCs w:val="13"/>
                  <w:u w:val="single" w:color="auto"/>
                  <w:color w:val="0000FF"/>
                </w:rPr>
                <w:t>Certification of Chief Financial Officer pursuant to Section 906 of the Sarbanes-Oxley Act of 2002</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2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 Previously filed</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Indicates management contract or compensatory plan.</w:t>
      </w:r>
    </w:p>
    <w:p>
      <w:pPr>
        <w:spacing w:after="0" w:line="85" w:lineRule="exact"/>
        <w:rPr>
          <w:sz w:val="20"/>
          <w:szCs w:val="20"/>
          <w:color w:val="auto"/>
        </w:rPr>
      </w:pPr>
    </w:p>
    <w:p>
      <w:pPr>
        <w:ind w:left="420" w:right="200" w:hanging="69"/>
        <w:spacing w:after="0" w:line="180" w:lineRule="auto"/>
        <w:tabs>
          <w:tab w:leader="none" w:pos="420" w:val="left"/>
        </w:tabs>
        <w:numPr>
          <w:ilvl w:val="0"/>
          <w:numId w:val="22"/>
        </w:numPr>
        <w:rPr>
          <w:rFonts w:ascii="Arial" w:cs="Arial" w:eastAsia="Arial" w:hAnsi="Arial"/>
          <w:sz w:val="21"/>
          <w:szCs w:val="21"/>
          <w:color w:val="auto"/>
          <w:vertAlign w:val="superscript"/>
        </w:rPr>
      </w:pPr>
      <w:r>
        <w:rPr>
          <w:rFonts w:ascii="Arial" w:cs="Arial" w:eastAsia="Arial" w:hAnsi="Arial"/>
          <w:sz w:val="11"/>
          <w:szCs w:val="11"/>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78" w:lineRule="exact"/>
        <w:rPr>
          <w:sz w:val="20"/>
          <w:szCs w:val="20"/>
          <w:color w:val="auto"/>
        </w:rPr>
      </w:pPr>
    </w:p>
    <w:p>
      <w:pPr>
        <w:spacing w:after="0"/>
        <w:tabs>
          <w:tab w:leader="none" w:pos="1360" w:val="left"/>
        </w:tabs>
        <w:rPr>
          <w:sz w:val="20"/>
          <w:szCs w:val="20"/>
          <w:color w:val="auto"/>
        </w:rPr>
      </w:pPr>
      <w:r>
        <w:rPr>
          <w:rFonts w:ascii="Arial" w:cs="Arial" w:eastAsia="Arial" w:hAnsi="Arial"/>
          <w:sz w:val="23"/>
          <w:szCs w:val="23"/>
          <w:b w:val="1"/>
          <w:bCs w:val="1"/>
          <w:color w:val="232F84"/>
        </w:rPr>
        <w:t>Item 16.</w:t>
      </w:r>
      <w:r>
        <w:rPr>
          <w:sz w:val="20"/>
          <w:szCs w:val="20"/>
          <w:color w:val="auto"/>
        </w:rPr>
        <w:tab/>
      </w:r>
      <w:r>
        <w:rPr>
          <w:rFonts w:ascii="Arial" w:cs="Arial" w:eastAsia="Arial" w:hAnsi="Arial"/>
          <w:sz w:val="23"/>
          <w:szCs w:val="23"/>
          <w:b w:val="1"/>
          <w:bCs w:val="1"/>
          <w:color w:val="232F84"/>
        </w:rPr>
        <w:t>Form 10-K Summary</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00"/>
          </w:cols>
          <w:pgMar w:left="320" w:top="1378" w:right="37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3"/>
          <w:szCs w:val="23"/>
          <w:b w:val="1"/>
          <w:bCs w:val="1"/>
          <w:color w:val="232F84"/>
        </w:rPr>
        <w:t>SIGNATURES</w:t>
      </w:r>
    </w:p>
    <w:p>
      <w:pPr>
        <w:spacing w:after="0" w:line="239"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annual report to be signed on its behalf by the undersigned, thereunto duly authorized, on January 19, 2021.</w:t>
      </w:r>
    </w:p>
    <w:p>
      <w:pPr>
        <w:spacing w:after="0" w:line="243" w:lineRule="exact"/>
        <w:rPr>
          <w:sz w:val="20"/>
          <w:szCs w:val="20"/>
          <w:color w:val="auto"/>
        </w:rPr>
      </w:pPr>
    </w:p>
    <w:p>
      <w:pPr>
        <w:jc w:val="center"/>
        <w:ind w:left="7320"/>
        <w:spacing w:after="0"/>
        <w:rPr>
          <w:sz w:val="20"/>
          <w:szCs w:val="20"/>
          <w:color w:val="auto"/>
        </w:rPr>
      </w:pPr>
      <w:r>
        <w:rPr>
          <w:rFonts w:ascii="Arial" w:cs="Arial" w:eastAsia="Arial" w:hAnsi="Arial"/>
          <w:sz w:val="15"/>
          <w:szCs w:val="15"/>
          <w:b w:val="1"/>
          <w:bCs w:val="1"/>
          <w:color w:val="232F84"/>
        </w:rPr>
        <w:t>MISSION PRODUCE, INC.</w:t>
      </w:r>
    </w:p>
    <w:p>
      <w:pPr>
        <w:spacing w:after="0" w:line="148" w:lineRule="exact"/>
        <w:rPr>
          <w:sz w:val="20"/>
          <w:szCs w:val="20"/>
          <w:color w:val="auto"/>
        </w:rPr>
      </w:pPr>
    </w:p>
    <w:p>
      <w:pPr>
        <w:ind w:left="8640"/>
        <w:spacing w:after="0"/>
        <w:rPr>
          <w:sz w:val="20"/>
          <w:szCs w:val="20"/>
          <w:color w:val="auto"/>
        </w:rPr>
      </w:pPr>
      <w:r>
        <w:rPr>
          <w:rFonts w:ascii="Arial" w:cs="Arial" w:eastAsia="Arial" w:hAnsi="Arial"/>
          <w:sz w:val="13"/>
          <w:szCs w:val="13"/>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5715</wp:posOffset>
            </wp:positionV>
            <wp:extent cx="24758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2475865" cy="7620"/>
                    </a:xfrm>
                    <a:prstGeom prst="rect">
                      <a:avLst/>
                    </a:prstGeom>
                    <a:noFill/>
                  </pic:spPr>
                </pic:pic>
              </a:graphicData>
            </a:graphic>
          </wp:anchor>
        </w:drawing>
      </w:r>
    </w:p>
    <w:p>
      <w:pPr>
        <w:spacing w:after="0" w:line="30" w:lineRule="exact"/>
        <w:rPr>
          <w:sz w:val="20"/>
          <w:szCs w:val="20"/>
          <w:color w:val="auto"/>
        </w:rPr>
      </w:pPr>
    </w:p>
    <w:p>
      <w:pPr>
        <w:ind w:left="8720"/>
        <w:spacing w:after="0"/>
        <w:rPr>
          <w:sz w:val="20"/>
          <w:szCs w:val="20"/>
          <w:color w:val="auto"/>
        </w:rPr>
      </w:pPr>
      <w:r>
        <w:rPr>
          <w:rFonts w:ascii="Arial" w:cs="Arial" w:eastAsia="Arial" w:hAnsi="Arial"/>
          <w:sz w:val="13"/>
          <w:szCs w:val="13"/>
          <w:color w:val="auto"/>
        </w:rPr>
        <w:t>Stephen J. Barnard</w:t>
      </w:r>
    </w:p>
    <w:p>
      <w:pPr>
        <w:spacing w:after="0" w:line="24" w:lineRule="exact"/>
        <w:rPr>
          <w:sz w:val="20"/>
          <w:szCs w:val="20"/>
          <w:color w:val="auto"/>
        </w:rPr>
      </w:pPr>
    </w:p>
    <w:p>
      <w:pPr>
        <w:ind w:left="8620"/>
        <w:spacing w:after="0"/>
        <w:rPr>
          <w:sz w:val="20"/>
          <w:szCs w:val="20"/>
          <w:color w:val="auto"/>
        </w:rPr>
      </w:pPr>
      <w:r>
        <w:rPr>
          <w:rFonts w:ascii="Arial" w:cs="Arial" w:eastAsia="Arial" w:hAnsi="Arial"/>
          <w:sz w:val="13"/>
          <w:szCs w:val="13"/>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2F84"/>
        </w:rPr>
        <w:t>POWER OF ATTORNEY</w:t>
      </w:r>
    </w:p>
    <w:p>
      <w:pPr>
        <w:spacing w:after="0" w:line="227" w:lineRule="exact"/>
        <w:rPr>
          <w:sz w:val="20"/>
          <w:szCs w:val="20"/>
          <w:color w:val="auto"/>
        </w:rPr>
      </w:pPr>
    </w:p>
    <w:p>
      <w:pPr>
        <w:ind w:right="140" w:firstLine="600"/>
        <w:spacing w:after="0" w:line="24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Stephen J. Barnard and Bryan E. Giles, or either of them,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93" w:lineRule="exact"/>
        <w:rPr>
          <w:sz w:val="20"/>
          <w:szCs w:val="20"/>
          <w:color w:val="auto"/>
        </w:rPr>
      </w:pPr>
    </w:p>
    <w:p>
      <w:pPr>
        <w:ind w:right="100" w:firstLine="600"/>
        <w:spacing w:after="0" w:line="253" w:lineRule="auto"/>
        <w:rPr>
          <w:sz w:val="20"/>
          <w:szCs w:val="20"/>
          <w:color w:val="auto"/>
        </w:rPr>
      </w:pPr>
      <w:r>
        <w:rPr>
          <w:rFonts w:ascii="Arial" w:cs="Arial" w:eastAsia="Arial" w:hAnsi="Arial"/>
          <w:sz w:val="15"/>
          <w:szCs w:val="15"/>
          <w:color w:val="auto"/>
        </w:rPr>
        <w:t>Pursuant to the requirements of the Securities Exchange Act of 1934, this annual report has been signed below on January 19, 2021, by the following persons on behalf of the registrant and in the capacities and on the dates indicated.</w:t>
      </w:r>
    </w:p>
    <w:p>
      <w:pPr>
        <w:spacing w:after="0" w:line="200" w:lineRule="exact"/>
        <w:rPr>
          <w:sz w:val="20"/>
          <w:szCs w:val="20"/>
          <w:color w:val="auto"/>
        </w:rPr>
      </w:pPr>
    </w:p>
    <w:p>
      <w:pPr>
        <w:spacing w:after="0" w:line="248" w:lineRule="exact"/>
        <w:rPr>
          <w:sz w:val="20"/>
          <w:szCs w:val="20"/>
          <w:color w:val="auto"/>
        </w:rPr>
      </w:pPr>
    </w:p>
    <w:tbl>
      <w:tblPr>
        <w:tblLayout w:type="fixed"/>
        <w:tblInd w:w="420" w:type="dxa"/>
        <w:tblCellMar>
          <w:top w:w="0" w:type="dxa"/>
          <w:left w:w="0" w:type="dxa"/>
          <w:bottom w:w="0" w:type="dxa"/>
          <w:right w:w="0" w:type="dxa"/>
        </w:tblCellMar>
      </w:tblPr>
      <w:tr>
        <w:trPr>
          <w:trHeight w:val="177"/>
        </w:trPr>
        <w:tc>
          <w:tcPr>
            <w:tcW w:w="3400" w:type="dxa"/>
            <w:vAlign w:val="bottom"/>
          </w:tcPr>
          <w:p>
            <w:pPr>
              <w:jc w:val="center"/>
              <w:spacing w:after="0"/>
              <w:rPr>
                <w:sz w:val="20"/>
                <w:szCs w:val="20"/>
                <w:color w:val="auto"/>
              </w:rPr>
            </w:pPr>
            <w:r>
              <w:rPr>
                <w:rFonts w:ascii="Arial" w:cs="Arial" w:eastAsia="Arial" w:hAnsi="Arial"/>
                <w:sz w:val="13"/>
                <w:szCs w:val="13"/>
                <w:b w:val="1"/>
                <w:bCs w:val="1"/>
                <w:color w:val="auto"/>
                <w:w w:val="99"/>
              </w:rPr>
              <w:t>Signature</w:t>
            </w:r>
          </w:p>
        </w:tc>
        <w:tc>
          <w:tcPr>
            <w:tcW w:w="5720" w:type="dxa"/>
            <w:vAlign w:val="bottom"/>
          </w:tcPr>
          <w:p>
            <w:pPr>
              <w:jc w:val="center"/>
              <w:ind w:left="1213"/>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6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Stephen J. Barnard</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00" w:type="dxa"/>
            <w:vAlign w:val="bottom"/>
          </w:tcPr>
          <w:p>
            <w:pPr>
              <w:jc w:val="center"/>
              <w:spacing w:after="0"/>
              <w:rPr>
                <w:sz w:val="20"/>
                <w:szCs w:val="20"/>
                <w:color w:val="auto"/>
              </w:rPr>
            </w:pPr>
            <w:r>
              <w:rPr>
                <w:rFonts w:ascii="Arial" w:cs="Arial" w:eastAsia="Arial" w:hAnsi="Arial"/>
                <w:sz w:val="13"/>
                <w:szCs w:val="13"/>
                <w:color w:val="auto"/>
              </w:rPr>
              <w:t>Stephen J. Barnard</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President, Chief Executive Officer and Director (Principal Executive Officer)</w:t>
            </w: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Bryan E. Giles</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400" w:type="dxa"/>
            <w:vAlign w:val="bottom"/>
          </w:tcPr>
          <w:p>
            <w:pPr>
              <w:jc w:val="center"/>
              <w:spacing w:after="0"/>
              <w:rPr>
                <w:sz w:val="20"/>
                <w:szCs w:val="20"/>
                <w:color w:val="auto"/>
              </w:rPr>
            </w:pPr>
            <w:r>
              <w:rPr>
                <w:rFonts w:ascii="Arial" w:cs="Arial" w:eastAsia="Arial" w:hAnsi="Arial"/>
                <w:sz w:val="13"/>
                <w:szCs w:val="13"/>
                <w:color w:val="auto"/>
              </w:rPr>
              <w:t>Bryan E. Giles</w:t>
            </w:r>
          </w:p>
        </w:tc>
        <w:tc>
          <w:tcPr>
            <w:tcW w:w="5720" w:type="dxa"/>
            <w:vAlign w:val="bottom"/>
          </w:tcPr>
          <w:p>
            <w:pPr>
              <w:jc w:val="center"/>
              <w:ind w:left="1193"/>
              <w:spacing w:after="0"/>
              <w:rPr>
                <w:sz w:val="20"/>
                <w:szCs w:val="20"/>
                <w:color w:val="auto"/>
              </w:rPr>
            </w:pPr>
            <w:r>
              <w:rPr>
                <w:rFonts w:ascii="Arial" w:cs="Arial" w:eastAsia="Arial" w:hAnsi="Arial"/>
                <w:sz w:val="13"/>
                <w:szCs w:val="13"/>
                <w:color w:val="auto"/>
              </w:rPr>
              <w:t>Chief Financial Officer (Principal Financial and Accounting Officer)</w:t>
            </w: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Steve A. Beebe</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Steve A. Beebe</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Stephen W. Bershad</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Stephen W. Bershad</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Luis A. Gonzalez</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Luis A. Gonzalez</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Bonnie C. Lind</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Bonnie C. Lind</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Jay A. Pack</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Jay A. Pack</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Bruce C. Taylor</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Bruce C. Taylor</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Linda B. Segre</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Linda B. Segre</w:t>
            </w:r>
          </w:p>
        </w:tc>
        <w:tc>
          <w:tcPr>
            <w:tcW w:w="5720" w:type="dxa"/>
            <w:vAlign w:val="bottom"/>
          </w:tcPr>
          <w:p>
            <w:pPr>
              <w:jc w:val="center"/>
              <w:ind w:left="1213"/>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12"/>
        </w:trPr>
        <w:tc>
          <w:tcPr>
            <w:tcW w:w="3400" w:type="dxa"/>
            <w:vAlign w:val="bottom"/>
            <w:vMerge w:val="continue"/>
          </w:tcPr>
          <w:p>
            <w:pPr>
              <w:spacing w:after="0"/>
              <w:rPr>
                <w:sz w:val="9"/>
                <w:szCs w:val="9"/>
                <w:color w:val="auto"/>
              </w:rPr>
            </w:pPr>
          </w:p>
        </w:tc>
        <w:tc>
          <w:tcPr>
            <w:tcW w:w="5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180"/>
          </w:cols>
          <w:pgMar w:left="320" w:top="1413" w:right="399" w:bottom="1440" w:gutter="0" w:footer="0" w:header="0"/>
          <w:type w:val="continuous"/>
        </w:sectPr>
      </w:pPr>
    </w:p>
    <w:bookmarkStart w:id="40" w:name="page41"/>
    <w:bookmarkEnd w:id="40"/>
    <w:p>
      <w:pPr>
        <w:jc w:val="center"/>
        <w:ind w:left="1160"/>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left="1160"/>
        <w:spacing w:after="0"/>
        <w:rPr>
          <w:sz w:val="20"/>
          <w:szCs w:val="20"/>
          <w:color w:val="auto"/>
        </w:rPr>
      </w:pPr>
      <w:r>
        <w:rPr>
          <w:rFonts w:ascii="Arial" w:cs="Arial" w:eastAsia="Arial" w:hAnsi="Arial"/>
          <w:sz w:val="23"/>
          <w:szCs w:val="23"/>
          <w:b w:val="1"/>
          <w:bCs w:val="1"/>
          <w:color w:val="232F84"/>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348615</wp:posOffset>
            </wp:positionV>
            <wp:extent cx="714248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rFonts w:ascii="Arial" w:cs="Arial" w:eastAsia="Arial" w:hAnsi="Arial"/>
          <w:sz w:val="15"/>
          <w:szCs w:val="15"/>
          <w:u w:val="single" w:color="auto"/>
          <w:color w:val="0563C1"/>
        </w:rPr>
      </w:pPr>
      <w:hyperlink w:anchor="page41">
        <w:r>
          <w:rPr>
            <w:rFonts w:ascii="Arial" w:cs="Arial" w:eastAsia="Arial" w:hAnsi="Arial"/>
            <w:sz w:val="15"/>
            <w:szCs w:val="15"/>
            <w:u w:val="single" w:color="auto"/>
            <w:color w:val="0563C1"/>
          </w:rPr>
          <w:t>Report of Independent Registered Public Accounting Firm</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42">
        <w:r>
          <w:rPr>
            <w:rFonts w:ascii="Arial" w:cs="Arial" w:eastAsia="Arial" w:hAnsi="Arial"/>
            <w:sz w:val="15"/>
            <w:szCs w:val="15"/>
            <w:u w:val="single" w:color="auto"/>
            <w:color w:val="0563C1"/>
          </w:rPr>
          <w:t>Consolidated Balance Sheets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714248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pacing w:after="0" w:line="32" w:lineRule="exact"/>
        <w:rPr>
          <w:sz w:val="20"/>
          <w:szCs w:val="20"/>
          <w:color w:val="auto"/>
        </w:rPr>
      </w:pPr>
    </w:p>
    <w:p>
      <w:pPr>
        <w:spacing w:after="0"/>
        <w:rPr>
          <w:rFonts w:ascii="Arial" w:cs="Arial" w:eastAsia="Arial" w:hAnsi="Arial"/>
          <w:sz w:val="15"/>
          <w:szCs w:val="15"/>
          <w:u w:val="single" w:color="auto"/>
          <w:color w:val="0563C1"/>
        </w:rPr>
      </w:pPr>
      <w:hyperlink w:anchor="page43">
        <w:r>
          <w:rPr>
            <w:rFonts w:ascii="Arial" w:cs="Arial" w:eastAsia="Arial" w:hAnsi="Arial"/>
            <w:sz w:val="15"/>
            <w:szCs w:val="15"/>
            <w:u w:val="single" w:color="auto"/>
            <w:color w:val="0563C1"/>
          </w:rPr>
          <w:t xml:space="preserve">Consolidated Statements of </w:t>
        </w:r>
      </w:hyperlink>
      <w:r>
        <w:rPr>
          <w:rFonts w:ascii="Arial" w:cs="Arial" w:eastAsia="Arial" w:hAnsi="Arial"/>
          <w:sz w:val="15"/>
          <w:szCs w:val="15"/>
          <w:u w:val="single" w:color="auto"/>
          <w:color w:val="0563C1"/>
        </w:rPr>
        <w:t>Comprehensive Income</w:t>
      </w:r>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44">
        <w:r>
          <w:rPr>
            <w:rFonts w:ascii="Arial" w:cs="Arial" w:eastAsia="Arial" w:hAnsi="Arial"/>
            <w:sz w:val="15"/>
            <w:szCs w:val="15"/>
            <w:u w:val="single" w:color="auto"/>
            <w:color w:val="0563C1"/>
          </w:rPr>
          <w:t xml:space="preserve">Consolidated Statements of </w:t>
        </w:r>
      </w:hyperlink>
      <w:r>
        <w:rPr>
          <w:rFonts w:ascii="Arial" w:cs="Arial" w:eastAsia="Arial" w:hAnsi="Arial"/>
          <w:sz w:val="15"/>
          <w:szCs w:val="15"/>
          <w:u w:val="single" w:color="auto"/>
          <w:color w:val="0563C1"/>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714248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pacing w:after="0" w:line="32" w:lineRule="exact"/>
        <w:rPr>
          <w:sz w:val="20"/>
          <w:szCs w:val="20"/>
          <w:color w:val="auto"/>
        </w:rPr>
      </w:pPr>
    </w:p>
    <w:p>
      <w:pPr>
        <w:spacing w:after="0"/>
        <w:rPr>
          <w:rFonts w:ascii="Arial" w:cs="Arial" w:eastAsia="Arial" w:hAnsi="Arial"/>
          <w:sz w:val="15"/>
          <w:szCs w:val="15"/>
          <w:u w:val="single" w:color="auto"/>
          <w:color w:val="0563C1"/>
        </w:rPr>
      </w:pPr>
      <w:hyperlink w:anchor="page45">
        <w:r>
          <w:rPr>
            <w:rFonts w:ascii="Arial" w:cs="Arial" w:eastAsia="Arial" w:hAnsi="Arial"/>
            <w:sz w:val="15"/>
            <w:szCs w:val="15"/>
            <w:u w:val="single" w:color="auto"/>
            <w:color w:val="0563C1"/>
          </w:rPr>
          <w:t>Consolidated Statements of Cash Flows</w:t>
        </w:r>
      </w:hyperlink>
    </w:p>
    <w:p>
      <w:pPr>
        <w:spacing w:after="0" w:line="52" w:lineRule="exact"/>
        <w:rPr>
          <w:sz w:val="20"/>
          <w:szCs w:val="20"/>
          <w:color w:val="auto"/>
        </w:rPr>
      </w:pPr>
    </w:p>
    <w:p>
      <w:pPr>
        <w:spacing w:after="0"/>
        <w:rPr>
          <w:rFonts w:ascii="Arial" w:cs="Arial" w:eastAsia="Arial" w:hAnsi="Arial"/>
          <w:sz w:val="15"/>
          <w:szCs w:val="15"/>
          <w:u w:val="single" w:color="auto"/>
          <w:color w:val="0563C1"/>
        </w:rPr>
      </w:pPr>
      <w:hyperlink w:anchor="page47">
        <w:r>
          <w:rPr>
            <w:rFonts w:ascii="Arial" w:cs="Arial" w:eastAsia="Arial" w:hAnsi="Arial"/>
            <w:sz w:val="15"/>
            <w:szCs w:val="15"/>
            <w:u w:val="single" w:color="auto"/>
            <w:color w:val="0563C1"/>
          </w:rPr>
          <w:t>Notes to Consolidated Financial Statements</w:t>
        </w:r>
      </w:hyperlink>
    </w:p>
    <w:p>
      <w:pPr>
        <w:spacing w:after="0" w:line="200" w:lineRule="exact"/>
        <w:rPr>
          <w:sz w:val="20"/>
          <w:szCs w:val="20"/>
          <w:color w:val="auto"/>
        </w:rPr>
      </w:pPr>
    </w:p>
    <w:p>
      <w:pPr>
        <w:spacing w:after="0" w:line="352"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w:t>
      </w:r>
    </w:p>
    <w:p>
      <w:pPr>
        <w:spacing w:after="0" w:line="70"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1">
        <w:r>
          <w:rPr>
            <w:rFonts w:ascii="Arial" w:cs="Arial" w:eastAsia="Arial" w:hAnsi="Arial"/>
            <w:sz w:val="15"/>
            <w:szCs w:val="15"/>
            <w:color w:val="auto"/>
          </w:rPr>
          <w:t>2</w:t>
        </w:r>
      </w:hyperlink>
    </w:p>
    <w:p>
      <w:pPr>
        <w:spacing w:after="0" w:line="52"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2">
        <w:r>
          <w:rPr>
            <w:rFonts w:ascii="Arial" w:cs="Arial" w:eastAsia="Arial" w:hAnsi="Arial"/>
            <w:sz w:val="15"/>
            <w:szCs w:val="15"/>
            <w:color w:val="auto"/>
          </w:rPr>
          <w:t>3</w:t>
        </w:r>
      </w:hyperlink>
    </w:p>
    <w:p>
      <w:pPr>
        <w:spacing w:after="0" w:line="52"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3">
        <w:r>
          <w:rPr>
            <w:rFonts w:ascii="Arial" w:cs="Arial" w:eastAsia="Arial" w:hAnsi="Arial"/>
            <w:sz w:val="15"/>
            <w:szCs w:val="15"/>
            <w:color w:val="auto"/>
          </w:rPr>
          <w:t>4</w:t>
        </w:r>
      </w:hyperlink>
    </w:p>
    <w:p>
      <w:pPr>
        <w:spacing w:after="0" w:line="52"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4">
        <w:r>
          <w:rPr>
            <w:rFonts w:ascii="Arial" w:cs="Arial" w:eastAsia="Arial" w:hAnsi="Arial"/>
            <w:sz w:val="15"/>
            <w:szCs w:val="15"/>
            <w:color w:val="auto"/>
          </w:rPr>
          <w:t>5</w:t>
        </w:r>
      </w:hyperlink>
    </w:p>
    <w:p>
      <w:pPr>
        <w:spacing w:after="0" w:line="52"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5">
        <w:r>
          <w:rPr>
            <w:rFonts w:ascii="Arial" w:cs="Arial" w:eastAsia="Arial" w:hAnsi="Arial"/>
            <w:sz w:val="15"/>
            <w:szCs w:val="15"/>
            <w:color w:val="auto"/>
          </w:rPr>
          <w:t>6</w:t>
        </w:r>
      </w:hyperlink>
    </w:p>
    <w:p>
      <w:pPr>
        <w:spacing w:after="0" w:line="52" w:lineRule="exact"/>
        <w:rPr>
          <w:sz w:val="20"/>
          <w:szCs w:val="20"/>
          <w:color w:val="auto"/>
        </w:rPr>
      </w:pPr>
    </w:p>
    <w:p>
      <w:pPr>
        <w:jc w:val="center"/>
        <w:spacing w:after="0"/>
        <w:rPr>
          <w:rFonts w:ascii="Arial" w:cs="Arial" w:eastAsia="Arial" w:hAnsi="Arial"/>
          <w:sz w:val="15"/>
          <w:szCs w:val="15"/>
          <w:color w:val="auto"/>
        </w:rPr>
      </w:pPr>
      <w:r>
        <w:rPr>
          <w:rFonts w:ascii="Arial" w:cs="Arial" w:eastAsia="Arial" w:hAnsi="Arial"/>
          <w:sz w:val="15"/>
          <w:szCs w:val="15"/>
          <w:color w:val="auto"/>
        </w:rPr>
        <w:t>F-</w:t>
      </w:r>
      <w:hyperlink w:anchor="page47">
        <w:r>
          <w:rPr>
            <w:rFonts w:ascii="Arial" w:cs="Arial" w:eastAsia="Arial" w:hAnsi="Arial"/>
            <w:sz w:val="15"/>
            <w:szCs w:val="15"/>
            <w:color w:val="auto"/>
          </w:rPr>
          <w:t>8</w:t>
        </w:r>
      </w:hyperlink>
    </w:p>
    <w:p>
      <w:pPr>
        <w:sectPr>
          <w:pgSz w:w="11900" w:h="16838" w:orient="portrait"/>
          <w:cols w:equalWidth="0" w:num="2">
            <w:col w:w="10040" w:space="720"/>
            <w:col w:w="360"/>
          </w:cols>
          <w:pgMar w:left="340" w:top="1375" w:right="439" w:bottom="1440" w:gutter="0" w:footer="0" w:header="0"/>
        </w:sectPr>
      </w:pPr>
    </w:p>
    <w:bookmarkStart w:id="41" w:name="page42"/>
    <w:bookmarkEnd w:id="41"/>
    <w:p>
      <w:pPr>
        <w:ind w:left="2400"/>
        <w:spacing w:after="0"/>
        <w:rPr>
          <w:sz w:val="20"/>
          <w:szCs w:val="20"/>
          <w:color w:val="auto"/>
        </w:rPr>
      </w:pPr>
      <w:r>
        <w:rPr>
          <w:rFonts w:ascii="Arial" w:cs="Arial" w:eastAsia="Arial" w:hAnsi="Arial"/>
          <w:sz w:val="23"/>
          <w:szCs w:val="23"/>
          <w:b w:val="1"/>
          <w:bCs w:val="1"/>
          <w:color w:val="232F84"/>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Mission Produce, Inc.</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Opinion on the Financial Statements</w:t>
      </w:r>
    </w:p>
    <w:p>
      <w:pPr>
        <w:spacing w:after="0" w:line="220"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We have audited the accompanying consolidated balance sheets of Mission Produce, Inc. and subsidiaries (the "Company") as of October 31, 2020 and 2019, the related consolidated statements of comprehensive income, shareholders' equity, and cash flows, for each of the three years in the period ended October 31, 2020, and the related notes (collectively referred to as the "financial statements"). In our opinion, the financial statements present fairly, in all material respects, the financial position of the Company as of October 31, 2020 and 2019, and the results of its operations and its cash flows for each of the three years in the period ended October 31, 2020,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Basis for Opinion</w:t>
      </w:r>
    </w:p>
    <w:p>
      <w:pPr>
        <w:spacing w:after="0" w:line="220"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240" w:firstLine="600"/>
        <w:spacing w:after="0" w:line="245"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232F84"/>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January 19, 2021</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220"/>
          </w:cols>
          <w:pgMar w:left="320" w:top="1413"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October 31,</w:t>
            </w:r>
          </w:p>
        </w:tc>
        <w:tc>
          <w:tcPr>
            <w:tcW w:w="900" w:type="dxa"/>
            <w:vAlign w:val="bottom"/>
            <w:tcBorders>
              <w:bottom w:val="single" w:sz="8" w:color="auto"/>
            </w:tcBorders>
          </w:tcPr>
          <w:p>
            <w:pPr>
              <w:spacing w:after="0"/>
              <w:rPr>
                <w:sz w:val="15"/>
                <w:szCs w:val="15"/>
                <w:color w:val="auto"/>
              </w:rPr>
            </w:pPr>
          </w:p>
        </w:tc>
      </w:tr>
      <w:tr>
        <w:trPr>
          <w:trHeight w:val="192"/>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for shares)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222"/>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232F84"/>
              </w:rPr>
              <w:t>Assets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124.0</w:t>
            </w:r>
          </w:p>
        </w:tc>
        <w:tc>
          <w:tcPr>
            <w:tcW w:w="4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Restricted cash</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1.4</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8460" w:type="dxa"/>
            <w:vAlign w:val="bottom"/>
          </w:tcPr>
          <w:p>
            <w:pPr>
              <w:ind w:left="820"/>
              <w:spacing w:after="0"/>
              <w:rPr>
                <w:sz w:val="20"/>
                <w:szCs w:val="20"/>
                <w:color w:val="auto"/>
              </w:rPr>
            </w:pPr>
            <w:r>
              <w:rPr>
                <w:rFonts w:ascii="Arial" w:cs="Arial" w:eastAsia="Arial" w:hAnsi="Arial"/>
                <w:sz w:val="13"/>
                <w:szCs w:val="13"/>
                <w:color w:val="auto"/>
              </w:rPr>
              <w:t>Trade, net of allowances of $0.3 and $0.2, respectively</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57.5</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67.9</w:t>
            </w:r>
          </w:p>
        </w:tc>
      </w:tr>
      <w:tr>
        <w:trPr>
          <w:trHeight w:val="205"/>
        </w:trPr>
        <w:tc>
          <w:tcPr>
            <w:tcW w:w="8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Grower and fruit advances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1.5</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95"/>
        </w:trPr>
        <w:tc>
          <w:tcPr>
            <w:tcW w:w="8460" w:type="dxa"/>
            <w:vAlign w:val="bottom"/>
          </w:tcPr>
          <w:p>
            <w:pPr>
              <w:ind w:left="820"/>
              <w:spacing w:after="0"/>
              <w:rPr>
                <w:sz w:val="20"/>
                <w:szCs w:val="20"/>
                <w:color w:val="auto"/>
              </w:rPr>
            </w:pPr>
            <w:r>
              <w:rPr>
                <w:rFonts w:ascii="Arial" w:cs="Arial" w:eastAsia="Arial" w:hAnsi="Arial"/>
                <w:sz w:val="13"/>
                <w:szCs w:val="13"/>
                <w:color w:val="auto"/>
              </w:rPr>
              <w:t>Miscellaneous receivables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13.4</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Inventory</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38.6</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8.8</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00"/>
        </w:trPr>
        <w:tc>
          <w:tcPr>
            <w:tcW w:w="8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Income taxes receivable</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2.9</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92"/>
        </w:trPr>
        <w:tc>
          <w:tcPr>
            <w:tcW w:w="8460" w:type="dxa"/>
            <w:vAlign w:val="bottom"/>
          </w:tcPr>
          <w:p>
            <w:pPr>
              <w:ind w:left="1220"/>
              <w:spacing w:after="0"/>
              <w:rPr>
                <w:sz w:val="20"/>
                <w:szCs w:val="20"/>
                <w:color w:val="auto"/>
              </w:rPr>
            </w:pPr>
            <w:r>
              <w:rPr>
                <w:rFonts w:ascii="Arial" w:cs="Arial" w:eastAsia="Arial" w:hAnsi="Arial"/>
                <w:sz w:val="13"/>
                <w:szCs w:val="13"/>
                <w:color w:val="auto"/>
              </w:rPr>
              <w:t>Total current assets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248.1</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206.0</w:t>
            </w: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379.1</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330.3</w:t>
            </w: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Equity method investees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46.7</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62.7</w:t>
            </w: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Loans to equity method investees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4.5</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4.4</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76.4</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r>
      <w:tr>
        <w:trPr>
          <w:trHeight w:val="19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assets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18.1</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r>
      <w:tr>
        <w:trPr>
          <w:trHeight w:val="192"/>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777.3</w:t>
            </w:r>
          </w:p>
        </w:tc>
        <w:tc>
          <w:tcPr>
            <w:tcW w:w="4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689.4</w:t>
            </w:r>
          </w:p>
        </w:tc>
      </w:tr>
      <w:tr>
        <w:trPr>
          <w:trHeight w:val="197"/>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232F84"/>
              </w:rPr>
              <w:t>Liabilities and Shareholders' Equity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20.5</w:t>
            </w:r>
          </w:p>
        </w:tc>
        <w:tc>
          <w:tcPr>
            <w:tcW w:w="4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Accrued expenses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28.3</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Income taxes payable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1.7</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Grower payables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18.8</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Long-term debt—current portion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7.4</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95"/>
        </w:trPr>
        <w:tc>
          <w:tcPr>
            <w:tcW w:w="84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Capital leases—current portion</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1.2</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197"/>
        </w:trPr>
        <w:tc>
          <w:tcPr>
            <w:tcW w:w="846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77.9</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Long-term debt, net of current portion</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166.7</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174.0</w:t>
            </w: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leases, net of current portion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3.3</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Income taxes payable</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3.8</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27.8</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9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24.3</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r>
      <w:tr>
        <w:trPr>
          <w:trHeight w:val="197"/>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303.8</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310.4</w:t>
            </w:r>
          </w:p>
        </w:tc>
      </w:tr>
      <w:tr>
        <w:trPr>
          <w:trHeight w:val="195"/>
        </w:trPr>
        <w:tc>
          <w:tcPr>
            <w:tcW w:w="8460" w:type="dxa"/>
            <w:vAlign w:val="bottom"/>
          </w:tcPr>
          <w:p>
            <w:pPr>
              <w:ind w:left="20"/>
              <w:spacing w:after="0"/>
              <w:rPr>
                <w:sz w:val="20"/>
                <w:szCs w:val="20"/>
                <w:color w:val="auto"/>
              </w:rPr>
            </w:pPr>
            <w:r>
              <w:rPr>
                <w:rFonts w:ascii="Arial" w:cs="Arial" w:eastAsia="Arial" w:hAnsi="Arial"/>
                <w:sz w:val="13"/>
                <w:szCs w:val="13"/>
                <w:color w:val="auto"/>
              </w:rPr>
              <w:t>Commitments and contingencies (Note 7)</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9"/>
        </w:trPr>
        <w:tc>
          <w:tcPr>
            <w:tcW w:w="8460" w:type="dxa"/>
            <w:vAlign w:val="bottom"/>
          </w:tcPr>
          <w:p>
            <w:pPr>
              <w:ind w:left="420"/>
              <w:spacing w:after="0"/>
              <w:rPr>
                <w:sz w:val="20"/>
                <w:szCs w:val="20"/>
                <w:color w:val="auto"/>
              </w:rPr>
            </w:pPr>
            <w:r>
              <w:rPr>
                <w:rFonts w:ascii="Arial" w:cs="Arial" w:eastAsia="Arial" w:hAnsi="Arial"/>
                <w:sz w:val="13"/>
                <w:szCs w:val="13"/>
                <w:color w:val="auto"/>
              </w:rPr>
              <w:t>Common stock ($0.001 par value, 1,000,000,000 shares authorized; 70,550,922 and 63,386,251 shares issued and outstanding as of</w:t>
            </w:r>
          </w:p>
        </w:tc>
        <w:tc>
          <w:tcPr>
            <w:tcW w:w="300" w:type="dxa"/>
            <w:vAlign w:val="bottom"/>
          </w:tcPr>
          <w:p>
            <w:pPr>
              <w:spacing w:after="0"/>
              <w:rPr>
                <w:sz w:val="15"/>
                <w:szCs w:val="15"/>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0.1</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66"/>
        </w:trPr>
        <w:tc>
          <w:tcPr>
            <w:tcW w:w="8460" w:type="dxa"/>
            <w:vAlign w:val="bottom"/>
          </w:tcPr>
          <w:p>
            <w:pPr>
              <w:ind w:left="420"/>
              <w:spacing w:after="0"/>
              <w:rPr>
                <w:sz w:val="20"/>
                <w:szCs w:val="20"/>
                <w:color w:val="auto"/>
              </w:rPr>
            </w:pPr>
            <w:r>
              <w:rPr>
                <w:rFonts w:ascii="Arial" w:cs="Arial" w:eastAsia="Arial" w:hAnsi="Arial"/>
                <w:sz w:val="13"/>
                <w:szCs w:val="13"/>
                <w:color w:val="auto"/>
              </w:rPr>
              <w:t>October 31, 2020 and 2019, respectively)</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Additional paid-in capital</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222.8</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Notes receivable from shareholders</w:t>
            </w:r>
          </w:p>
        </w:tc>
        <w:tc>
          <w:tcPr>
            <w:tcW w:w="300" w:type="dxa"/>
            <w:vAlign w:val="bottom"/>
          </w:tcPr>
          <w:p>
            <w:pPr>
              <w:spacing w:after="0"/>
              <w:rPr>
                <w:sz w:val="16"/>
                <w:szCs w:val="16"/>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(0.1)</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05"/>
        </w:trPr>
        <w:tc>
          <w:tcPr>
            <w:tcW w:w="8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Accumulated other comprehensive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(0.5)</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8460" w:type="dxa"/>
            <w:vAlign w:val="bottom"/>
          </w:tcPr>
          <w:p>
            <w:pPr>
              <w:ind w:left="420"/>
              <w:spacing w:after="0"/>
              <w:rPr>
                <w:sz w:val="20"/>
                <w:szCs w:val="20"/>
                <w:color w:val="auto"/>
              </w:rPr>
            </w:pPr>
            <w:r>
              <w:rPr>
                <w:rFonts w:ascii="Arial" w:cs="Arial" w:eastAsia="Arial" w:hAnsi="Arial"/>
                <w:sz w:val="13"/>
                <w:szCs w:val="13"/>
                <w:color w:val="auto"/>
              </w:rPr>
              <w:t>Retained earnings</w:t>
            </w:r>
          </w:p>
        </w:tc>
        <w:tc>
          <w:tcPr>
            <w:tcW w:w="30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251.2</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239.3</w:t>
            </w:r>
          </w:p>
        </w:tc>
      </w:tr>
      <w:tr>
        <w:trPr>
          <w:trHeight w:val="200"/>
        </w:trPr>
        <w:tc>
          <w:tcPr>
            <w:tcW w:w="8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3"/>
                <w:szCs w:val="13"/>
                <w:color w:val="auto"/>
              </w:rPr>
              <w:t>Total shareholders'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473.5</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379.0</w:t>
            </w:r>
          </w:p>
        </w:tc>
      </w:tr>
      <w:tr>
        <w:trPr>
          <w:trHeight w:val="192"/>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777.3</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93"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240"/>
          </w:cols>
          <w:pgMar w:left="320" w:top="17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for per share 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862.3</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883.3</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859.9</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Cost of sales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728.6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805.9</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154.7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48.2</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106.5</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(10.3)</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Impairment on equity method investment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(expense) income, net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96.0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Provision for income taxes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24.3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71.7</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85"/>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Pr>
          <w:p>
            <w:pPr>
              <w:ind w:left="320"/>
              <w:spacing w:after="0"/>
              <w:rPr>
                <w:sz w:val="20"/>
                <w:szCs w:val="20"/>
                <w:color w:val="auto"/>
              </w:rPr>
            </w:pPr>
            <w:r>
              <w:rPr>
                <w:rFonts w:ascii="Arial" w:cs="Arial" w:eastAsia="Arial" w:hAnsi="Arial"/>
                <w:sz w:val="13"/>
                <w:szCs w:val="13"/>
                <w:color w:val="auto"/>
              </w:rPr>
              <w:t>Basic</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0.45</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1.13</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205"/>
        </w:trPr>
        <w:tc>
          <w:tcPr>
            <w:tcW w:w="71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200"/>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Foreign currency translation adjustments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71.7</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240"/>
          </w:cols>
          <w:pgMar w:left="320" w:top="17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for</w:t>
            </w:r>
          </w:p>
        </w:tc>
        <w:tc>
          <w:tcPr>
            <w:tcW w:w="22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2"/>
                <w:szCs w:val="12"/>
                <w:b w:val="1"/>
                <w:bCs w:val="1"/>
                <w:color w:val="auto"/>
              </w:rPr>
              <w:t>Common stock</w:t>
            </w:r>
          </w:p>
        </w:tc>
        <w:tc>
          <w:tcPr>
            <w:tcW w:w="122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Additional paid-in</w:t>
            </w:r>
          </w:p>
        </w:tc>
        <w:tc>
          <w:tcPr>
            <w:tcW w:w="1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b w:val="1"/>
                <w:bCs w:val="1"/>
                <w:color w:val="auto"/>
                <w:w w:val="96"/>
              </w:rPr>
              <w:t>Notes receivable</w:t>
            </w:r>
          </w:p>
        </w:tc>
        <w:tc>
          <w:tcPr>
            <w:tcW w:w="130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Accumulated other</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rPr>
              <w:t>Total shareholders'</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b w:val="1"/>
                <w:bCs w:val="1"/>
                <w:color w:val="auto"/>
              </w:rPr>
              <w:t>shares and per share data)</w:t>
            </w:r>
          </w:p>
        </w:tc>
        <w:tc>
          <w:tcPr>
            <w:tcW w:w="1140" w:type="dxa"/>
            <w:vAlign w:val="bottom"/>
          </w:tcPr>
          <w:p>
            <w:pPr>
              <w:jc w:val="right"/>
              <w:ind w:right="322"/>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880" w:type="dxa"/>
            <w:vAlign w:val="bottom"/>
          </w:tcPr>
          <w:p>
            <w:pPr>
              <w:jc w:val="right"/>
              <w:ind w:right="262"/>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3"/>
                <w:szCs w:val="13"/>
                <w:color w:val="auto"/>
              </w:rPr>
            </w:pPr>
          </w:p>
        </w:tc>
        <w:tc>
          <w:tcPr>
            <w:tcW w:w="900" w:type="dxa"/>
            <w:vAlign w:val="bottom"/>
          </w:tcPr>
          <w:p>
            <w:pPr>
              <w:jc w:val="right"/>
              <w:ind w:right="342"/>
              <w:spacing w:after="0"/>
              <w:rPr>
                <w:sz w:val="20"/>
                <w:szCs w:val="20"/>
                <w:color w:val="auto"/>
              </w:rPr>
            </w:pPr>
            <w:r>
              <w:rPr>
                <w:rFonts w:ascii="Arial" w:cs="Arial" w:eastAsia="Arial" w:hAnsi="Arial"/>
                <w:sz w:val="12"/>
                <w:szCs w:val="12"/>
                <w:b w:val="1"/>
                <w:bCs w:val="1"/>
                <w:color w:val="auto"/>
              </w:rPr>
              <w:t>capital</w:t>
            </w:r>
          </w:p>
        </w:tc>
        <w:tc>
          <w:tcPr>
            <w:tcW w:w="120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from shareholders</w:t>
            </w:r>
          </w:p>
        </w:tc>
        <w:tc>
          <w:tcPr>
            <w:tcW w:w="130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comprehensive loss</w:t>
            </w:r>
          </w:p>
        </w:tc>
        <w:tc>
          <w:tcPr>
            <w:tcW w:w="118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Retained earnings</w:t>
            </w:r>
          </w:p>
        </w:tc>
        <w:tc>
          <w:tcPr>
            <w:tcW w:w="300" w:type="dxa"/>
            <w:vAlign w:val="bottom"/>
          </w:tcPr>
          <w:p>
            <w:pPr>
              <w:spacing w:after="0"/>
              <w:rPr>
                <w:sz w:val="13"/>
                <w:szCs w:val="13"/>
                <w:color w:val="auto"/>
              </w:rPr>
            </w:pPr>
          </w:p>
        </w:tc>
        <w:tc>
          <w:tcPr>
            <w:tcW w:w="920" w:type="dxa"/>
            <w:vAlign w:val="bottom"/>
          </w:tcPr>
          <w:p>
            <w:pPr>
              <w:jc w:val="right"/>
              <w:ind w:right="342"/>
              <w:spacing w:after="0"/>
              <w:rPr>
                <w:sz w:val="20"/>
                <w:szCs w:val="20"/>
                <w:color w:val="auto"/>
              </w:rPr>
            </w:pPr>
            <w:r>
              <w:rPr>
                <w:rFonts w:ascii="Arial" w:cs="Arial" w:eastAsia="Arial" w:hAnsi="Arial"/>
                <w:sz w:val="12"/>
                <w:szCs w:val="12"/>
                <w:b w:val="1"/>
                <w:bCs w:val="1"/>
                <w:color w:val="auto"/>
              </w:rPr>
              <w:t>equity</w:t>
            </w:r>
          </w:p>
        </w:tc>
      </w:tr>
      <w:tr>
        <w:trPr>
          <w:trHeight w:val="28"/>
        </w:trPr>
        <w:tc>
          <w:tcPr>
            <w:tcW w:w="2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October 31, 2017</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51,421,192</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3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(0.4)</w:t>
            </w: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106.2</w:t>
            </w: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133.2</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Dividends declared ($0.09 per share)</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(4.5)</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Exercise of stock options</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108,800</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Repayment of stock option notes receivable</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0.1</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Issuance of common stock</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11,961,659</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112.3</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112.3</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72.4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72.4</w:t>
            </w:r>
          </w:p>
        </w:tc>
      </w:tr>
      <w:tr>
        <w:trPr>
          <w:trHeight w:val="28"/>
        </w:trPr>
        <w:tc>
          <w:tcPr>
            <w:tcW w:w="2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October 31, 2018</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63,491,651</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3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(0.4)</w:t>
            </w: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174.1</w:t>
            </w: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313.5</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Dividends declared ($0.09 per share)</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(5.6)</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Repayment of stock option notes receivable</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0.3</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Purchase and retirement of stock</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(105,400)</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(0.9)</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71.7</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71.7</w:t>
            </w:r>
          </w:p>
        </w:tc>
      </w:tr>
      <w:tr>
        <w:trPr>
          <w:trHeight w:val="151"/>
        </w:trPr>
        <w:tc>
          <w:tcPr>
            <w:tcW w:w="28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October 31, 2019</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63,386,251</w:t>
            </w: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0.1</w:t>
            </w:r>
          </w:p>
        </w:tc>
        <w:tc>
          <w:tcPr>
            <w:tcW w:w="3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139.7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(0.1)</w:t>
            </w:r>
          </w:p>
        </w:tc>
        <w:tc>
          <w:tcPr>
            <w:tcW w:w="560" w:type="dxa"/>
            <w:vAlign w:val="bottom"/>
            <w:tcBorders>
              <w:top w:val="single" w:sz="8" w:color="auto"/>
            </w:tcBorders>
          </w:tcPr>
          <w:p>
            <w:pPr>
              <w:jc w:val="right"/>
              <w:ind w:right="382"/>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tcPr>
          <w:p>
            <w:pPr>
              <w:jc w:val="right"/>
              <w:ind w:right="282"/>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239.3</w:t>
            </w: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379.0</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Dividends declared ($0.21 per share)</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(13.0)</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(13.0)</w:t>
            </w:r>
          </w:p>
        </w:tc>
      </w:tr>
      <w:tr>
        <w:trPr>
          <w:trHeight w:val="157"/>
        </w:trPr>
        <w:tc>
          <w:tcPr>
            <w:tcW w:w="2840" w:type="dxa"/>
            <w:vAlign w:val="bottom"/>
          </w:tcPr>
          <w:p>
            <w:pPr>
              <w:ind w:left="20"/>
              <w:spacing w:after="0"/>
              <w:rPr>
                <w:sz w:val="20"/>
                <w:szCs w:val="20"/>
                <w:color w:val="auto"/>
              </w:rPr>
            </w:pPr>
            <w:r>
              <w:rPr>
                <w:rFonts w:ascii="Arial" w:cs="Arial" w:eastAsia="Arial" w:hAnsi="Arial"/>
                <w:sz w:val="12"/>
                <w:szCs w:val="12"/>
                <w:color w:val="auto"/>
              </w:rPr>
              <w:t>Issuance of common stock in public offering, net of</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7,450,000</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78.1</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78.1</w:t>
            </w:r>
          </w:p>
        </w:tc>
      </w:tr>
      <w:tr>
        <w:trPr>
          <w:trHeight w:val="140"/>
        </w:trPr>
        <w:tc>
          <w:tcPr>
            <w:tcW w:w="2840" w:type="dxa"/>
            <w:vAlign w:val="bottom"/>
          </w:tcPr>
          <w:p>
            <w:pPr>
              <w:ind w:left="20"/>
              <w:spacing w:after="0"/>
              <w:rPr>
                <w:sz w:val="20"/>
                <w:szCs w:val="20"/>
                <w:color w:val="auto"/>
              </w:rPr>
            </w:pPr>
            <w:r>
              <w:rPr>
                <w:rFonts w:ascii="Arial" w:cs="Arial" w:eastAsia="Arial" w:hAnsi="Arial"/>
                <w:sz w:val="12"/>
                <w:szCs w:val="12"/>
                <w:color w:val="auto"/>
              </w:rPr>
              <w:t>issuance costs</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Issuance of common stock</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7,921</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0.1</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Reclassification of liability-based awards</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0.3</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17,000</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and retirement of stock</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(310,250)</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(3.9)</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Repayment of stock option notes receivable</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28.8</w:t>
            </w: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28.8</w:t>
            </w:r>
          </w:p>
        </w:tc>
      </w:tr>
      <w:tr>
        <w:trPr>
          <w:trHeight w:val="159"/>
        </w:trPr>
        <w:tc>
          <w:tcPr>
            <w:tcW w:w="28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6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8"/>
        </w:trPr>
        <w:tc>
          <w:tcPr>
            <w:tcW w:w="2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October 31, 2020</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70,550,922</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3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(0.5)</w:t>
            </w: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251.2</w:t>
            </w: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473.5</w:t>
            </w:r>
          </w:p>
        </w:tc>
      </w:tr>
      <w:tr>
        <w:trPr>
          <w:trHeight w:val="20"/>
        </w:trPr>
        <w:tc>
          <w:tcPr>
            <w:tcW w:w="28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240"/>
          </w:cols>
          <w:pgMar w:left="320" w:top="17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2"/>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232F84"/>
              </w:rPr>
              <w:t>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28.8</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71.7</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72.4</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Provision for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16.5</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0.3</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Equity method income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Impairment on equity method investment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Remeasurement gain on acquisition of equity method investee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Stock-based compensation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Dividends received from equity method investees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Loss on sale of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0.5</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Other</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Debt refinancing charges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Unrealized losses on derivative financial instruments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3.7</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Trade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Grower fruit advances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Miscellaneous receivables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5.5</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Inventory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(1.3)</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Income taxes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95"/>
        </w:trPr>
        <w:tc>
          <w:tcPr>
            <w:tcW w:w="7120" w:type="dxa"/>
            <w:vAlign w:val="bottom"/>
          </w:tcPr>
          <w:p>
            <w:pPr>
              <w:ind w:left="420"/>
              <w:spacing w:after="0"/>
              <w:rPr>
                <w:sz w:val="20"/>
                <w:szCs w:val="20"/>
                <w:color w:val="auto"/>
              </w:rPr>
            </w:pPr>
            <w:r>
              <w:rPr>
                <w:rFonts w:ascii="Arial" w:cs="Arial" w:eastAsia="Arial" w:hAnsi="Arial"/>
                <w:sz w:val="13"/>
                <w:szCs w:val="13"/>
                <w:color w:val="auto"/>
              </w:rPr>
              <w:t>Income taxes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2.9</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05"/>
        </w:trPr>
        <w:tc>
          <w:tcPr>
            <w:tcW w:w="71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Grower payables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95"/>
        </w:trPr>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92.6</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r>
      <w:tr>
        <w:trPr>
          <w:trHeight w:val="185"/>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232F84"/>
              </w:rPr>
              <w:t>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(67.3)</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(29.7)</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property, plant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0.1</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Purchase of Grupo Arato, net of acquired cash</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(37.3)</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 equity method investees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Loans to equity method investees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Mission Asparagus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Proceeds from sale of Cabilfrut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notes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Proceeds from notes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Supplier deposits,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95"/>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Investments,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(30.7)</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w:t>
            </w:r>
          </w:p>
        </w:tc>
      </w:tr>
      <w:tr>
        <w:trPr>
          <w:trHeight w:val="185"/>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232F84"/>
              </w:rPr>
              <w:t>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Proceeds from issuance of common stock in public offering, net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78.1</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on revolving credit facility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45.0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Payments on revolving credit facility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(51.0)</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(107.0)</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long-term debt obligations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w:t>
            </w:r>
          </w:p>
        </w:tc>
      </w:tr>
      <w:tr>
        <w:trPr>
          <w:trHeight w:val="195"/>
        </w:trPr>
        <w:tc>
          <w:tcPr>
            <w:tcW w:w="7120" w:type="dxa"/>
            <w:vAlign w:val="bottom"/>
          </w:tcPr>
          <w:p>
            <w:pPr>
              <w:ind w:left="20"/>
              <w:spacing w:after="0"/>
              <w:rPr>
                <w:sz w:val="20"/>
                <w:szCs w:val="20"/>
                <w:color w:val="auto"/>
              </w:rPr>
            </w:pPr>
            <w:r>
              <w:rPr>
                <w:rFonts w:ascii="Arial" w:cs="Arial" w:eastAsia="Arial" w:hAnsi="Arial"/>
                <w:sz w:val="13"/>
                <w:szCs w:val="13"/>
                <w:color w:val="auto"/>
              </w:rPr>
              <w:t>Principal payments on long-term debt obligations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(14.2)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(118.3)</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on capital lease obligations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7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87"/>
        </w:trPr>
        <w:tc>
          <w:tcPr>
            <w:tcW w:w="7100" w:type="dxa"/>
            <w:vAlign w:val="bottom"/>
          </w:tcPr>
          <w:p>
            <w:pPr>
              <w:ind w:left="20"/>
              <w:spacing w:after="0"/>
              <w:rPr>
                <w:sz w:val="20"/>
                <w:szCs w:val="20"/>
                <w:color w:val="auto"/>
              </w:rPr>
            </w:pPr>
            <w:r>
              <w:rPr>
                <w:rFonts w:ascii="Arial" w:cs="Arial" w:eastAsia="Arial" w:hAnsi="Arial"/>
                <w:sz w:val="13"/>
                <w:szCs w:val="13"/>
                <w:color w:val="auto"/>
              </w:rPr>
              <w:t>Payments for long-term supplier financing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for debt extinguishment costs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Dividends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(5.6)</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stock option notes receivable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0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Purchase and retirement of stock</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(0.9)</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4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(26.8)</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35.1</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30.5</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65.6</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r>
      <w:tr>
        <w:trPr>
          <w:trHeight w:val="185"/>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232F84"/>
              </w:rPr>
              <w:t>Supplemental Information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Summary of cash, cash equivalents and restricted cash reported within the consolidated balance sheets: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71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64.0</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95"/>
        </w:trPr>
        <w:tc>
          <w:tcPr>
            <w:tcW w:w="7100" w:type="dxa"/>
            <w:vAlign w:val="bottom"/>
          </w:tcPr>
          <w:p>
            <w:pPr>
              <w:ind w:left="420"/>
              <w:spacing w:after="0"/>
              <w:rPr>
                <w:sz w:val="20"/>
                <w:szCs w:val="20"/>
                <w:color w:val="auto"/>
              </w:rPr>
            </w:pPr>
            <w:r>
              <w:rPr>
                <w:rFonts w:ascii="Arial" w:cs="Arial" w:eastAsia="Arial" w:hAnsi="Arial"/>
                <w:sz w:val="13"/>
                <w:szCs w:val="13"/>
                <w:color w:val="auto"/>
              </w:rPr>
              <w:t>Restricted cash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1.6</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00"/>
        </w:trPr>
        <w:tc>
          <w:tcPr>
            <w:tcW w:w="7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Restricted cash included in 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100" w:type="dxa"/>
            <w:vAlign w:val="bottom"/>
          </w:tcPr>
          <w:p>
            <w:pPr>
              <w:ind w:left="580"/>
              <w:spacing w:after="0"/>
              <w:rPr>
                <w:sz w:val="20"/>
                <w:szCs w:val="20"/>
                <w:color w:val="auto"/>
              </w:rPr>
            </w:pPr>
            <w:r>
              <w:rPr>
                <w:rFonts w:ascii="Arial" w:cs="Arial" w:eastAsia="Arial" w:hAnsi="Arial"/>
                <w:sz w:val="13"/>
                <w:szCs w:val="13"/>
                <w:color w:val="auto"/>
              </w:rPr>
              <w:t>Total cash, cash equivalents, and restricted cash shown in the consolidated statements of cash flows</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127.0</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65.6</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30.5</w:t>
            </w:r>
          </w:p>
        </w:tc>
      </w:tr>
      <w:tr>
        <w:trPr>
          <w:trHeight w:val="205"/>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paid during the year for: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Pr>
          <w:p>
            <w:pPr>
              <w:ind w:left="420"/>
              <w:spacing w:after="0"/>
              <w:rPr>
                <w:sz w:val="20"/>
                <w:szCs w:val="20"/>
                <w:color w:val="auto"/>
              </w:rPr>
            </w:pPr>
            <w:r>
              <w:rPr>
                <w:rFonts w:ascii="Arial" w:cs="Arial" w:eastAsia="Arial" w:hAnsi="Arial"/>
                <w:sz w:val="13"/>
                <w:szCs w:val="13"/>
                <w:color w:val="auto"/>
              </w:rPr>
              <w:t>Interest</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10.5</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205"/>
        </w:trPr>
        <w:tc>
          <w:tcPr>
            <w:tcW w:w="71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21.5</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71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Construction-in-progress included in accounts payable and accrued expenses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0.3</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95"/>
        </w:trPr>
        <w:tc>
          <w:tcPr>
            <w:tcW w:w="7100" w:type="dxa"/>
            <w:vAlign w:val="bottom"/>
          </w:tcPr>
          <w:p>
            <w:pPr>
              <w:ind w:left="420"/>
              <w:spacing w:after="0"/>
              <w:rPr>
                <w:sz w:val="20"/>
                <w:szCs w:val="20"/>
                <w:color w:val="auto"/>
              </w:rPr>
            </w:pPr>
            <w:r>
              <w:rPr>
                <w:rFonts w:ascii="Arial" w:cs="Arial" w:eastAsia="Arial" w:hAnsi="Arial"/>
                <w:sz w:val="13"/>
                <w:szCs w:val="13"/>
                <w:color w:val="auto"/>
              </w:rPr>
              <w:t>Capital leases for equipment and machinery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2.8</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05"/>
        </w:trPr>
        <w:tc>
          <w:tcPr>
            <w:tcW w:w="71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Common stock issued in lieu of compensation (7,921 and 58,565 shares issued in 2020 and 2018, respectively)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95"/>
        </w:trPr>
        <w:tc>
          <w:tcPr>
            <w:tcW w:w="7100" w:type="dxa"/>
            <w:vAlign w:val="bottom"/>
          </w:tcPr>
          <w:p>
            <w:pPr>
              <w:ind w:left="420"/>
              <w:spacing w:after="0"/>
              <w:rPr>
                <w:sz w:val="20"/>
                <w:szCs w:val="20"/>
                <w:color w:val="auto"/>
              </w:rPr>
            </w:pPr>
            <w:r>
              <w:rPr>
                <w:rFonts w:ascii="Arial" w:cs="Arial" w:eastAsia="Arial" w:hAnsi="Arial"/>
                <w:sz w:val="13"/>
                <w:szCs w:val="13"/>
                <w:color w:val="auto"/>
              </w:rPr>
              <w:t>Common stock issued as consideration (11,903,094 shares issued) (see Note 4)</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112.0</w:t>
            </w:r>
          </w:p>
        </w:tc>
      </w:tr>
      <w:tr>
        <w:trPr>
          <w:trHeight w:val="200"/>
        </w:trPr>
        <w:tc>
          <w:tcPr>
            <w:tcW w:w="7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Non-cash contribution from equity method investee (See Note 4)</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75"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 w:hanging="440"/>
        <w:spacing w:after="0"/>
        <w:tabs>
          <w:tab w:leader="none" w:pos="440" w:val="left"/>
        </w:tabs>
        <w:numPr>
          <w:ilvl w:val="0"/>
          <w:numId w:val="23"/>
        </w:numPr>
        <w:rPr>
          <w:rFonts w:ascii="Arial" w:cs="Arial" w:eastAsia="Arial" w:hAnsi="Arial"/>
          <w:sz w:val="20"/>
          <w:szCs w:val="20"/>
          <w:b w:val="1"/>
          <w:bCs w:val="1"/>
          <w:color w:val="232F84"/>
        </w:rPr>
      </w:pPr>
      <w:r>
        <w:rPr>
          <w:rFonts w:ascii="Arial" w:cs="Arial" w:eastAsia="Arial" w:hAnsi="Arial"/>
          <w:sz w:val="20"/>
          <w:szCs w:val="20"/>
          <w:b w:val="1"/>
          <w:bCs w:val="1"/>
          <w:color w:val="232F84"/>
        </w:rPr>
        <w:t>Nature of Business</w:t>
      </w:r>
    </w:p>
    <w:p>
      <w:pPr>
        <w:spacing w:after="0" w:line="227" w:lineRule="exact"/>
        <w:rPr>
          <w:sz w:val="20"/>
          <w:szCs w:val="20"/>
          <w:color w:val="auto"/>
        </w:rPr>
      </w:pPr>
    </w:p>
    <w:p>
      <w:pPr>
        <w:ind w:right="160" w:firstLine="600"/>
        <w:spacing w:after="0" w:line="245" w:lineRule="auto"/>
        <w:rPr>
          <w:sz w:val="20"/>
          <w:szCs w:val="20"/>
          <w:color w:val="auto"/>
        </w:rPr>
      </w:pPr>
      <w:r>
        <w:rPr>
          <w:rFonts w:ascii="Arial" w:cs="Arial" w:eastAsia="Arial" w:hAnsi="Arial"/>
          <w:sz w:val="15"/>
          <w:szCs w:val="15"/>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distribute our products both domestically and internationally and report our results of operations in two operating segments: Marketing &amp; Distribution and International Farming (see Note 13).</w:t>
      </w:r>
    </w:p>
    <w:p>
      <w:pPr>
        <w:spacing w:after="0" w:line="400" w:lineRule="exact"/>
        <w:rPr>
          <w:sz w:val="20"/>
          <w:szCs w:val="20"/>
          <w:color w:val="auto"/>
        </w:rPr>
      </w:pPr>
    </w:p>
    <w:p>
      <w:pPr>
        <w:ind w:left="440" w:hanging="440"/>
        <w:spacing w:after="0"/>
        <w:tabs>
          <w:tab w:leader="none" w:pos="440" w:val="left"/>
        </w:tabs>
        <w:numPr>
          <w:ilvl w:val="0"/>
          <w:numId w:val="24"/>
        </w:numPr>
        <w:rPr>
          <w:rFonts w:ascii="Arial" w:cs="Arial" w:eastAsia="Arial" w:hAnsi="Arial"/>
          <w:sz w:val="20"/>
          <w:szCs w:val="20"/>
          <w:b w:val="1"/>
          <w:bCs w:val="1"/>
          <w:color w:val="232F84"/>
        </w:rPr>
      </w:pPr>
      <w:r>
        <w:rPr>
          <w:rFonts w:ascii="Arial" w:cs="Arial" w:eastAsia="Arial" w:hAnsi="Arial"/>
          <w:sz w:val="20"/>
          <w:szCs w:val="20"/>
          <w:b w:val="1"/>
          <w:bCs w:val="1"/>
          <w:color w:val="232F84"/>
        </w:rPr>
        <w:t>Summary of Significant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Basis of presentation and consolidation</w:t>
      </w:r>
    </w:p>
    <w:p>
      <w:pPr>
        <w:spacing w:after="0" w:line="220" w:lineRule="exact"/>
        <w:rPr>
          <w:sz w:val="20"/>
          <w:szCs w:val="20"/>
          <w:color w:val="auto"/>
        </w:rPr>
      </w:pPr>
    </w:p>
    <w:p>
      <w:pPr>
        <w:ind w:right="160" w:firstLine="600"/>
        <w:spacing w:after="0" w:line="259" w:lineRule="auto"/>
        <w:rPr>
          <w:sz w:val="20"/>
          <w:szCs w:val="20"/>
          <w:color w:val="auto"/>
        </w:rPr>
      </w:pPr>
      <w:r>
        <w:rPr>
          <w:rFonts w:ascii="Arial" w:cs="Arial" w:eastAsia="Arial" w:hAnsi="Arial"/>
          <w:sz w:val="15"/>
          <w:szCs w:val="15"/>
          <w:color w:val="auto"/>
        </w:rPr>
        <w:t>The accompanying consolidated financial statements include the accounts of the Company and its consolidated subsidiaries and have been prepared in accordance with accounting principles generally accepted in the United States (“U.S. GAAP”). All intercompany balances have been eliminated in consolidation. Grupo Arato Holdings SAC (“Grupo Arato”) was consolidated on September 20, 2018 (see Note 4). The Company’s fiscal year ends on October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each year.</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Stock split and authorized shares</w:t>
      </w:r>
    </w:p>
    <w:p>
      <w:pPr>
        <w:spacing w:after="0" w:line="245" w:lineRule="exact"/>
        <w:rPr>
          <w:sz w:val="20"/>
          <w:szCs w:val="20"/>
          <w:color w:val="auto"/>
        </w:rPr>
      </w:pPr>
    </w:p>
    <w:p>
      <w:pPr>
        <w:ind w:right="120" w:firstLine="600"/>
        <w:spacing w:after="0" w:line="245" w:lineRule="auto"/>
        <w:rPr>
          <w:sz w:val="20"/>
          <w:szCs w:val="20"/>
          <w:color w:val="auto"/>
        </w:rPr>
      </w:pPr>
      <w:r>
        <w:rPr>
          <w:rFonts w:ascii="Arial" w:cs="Arial" w:eastAsia="Arial" w:hAnsi="Arial"/>
          <w:sz w:val="15"/>
          <w:szCs w:val="15"/>
          <w:color w:val="auto"/>
        </w:rPr>
        <w:t>On September 18, 2020, the Company’s Board of Directors approved a 17-for-1 stock split of the Company’s issued and outstanding shares of common stock. The split was effected on September 18, 2020. On September 21, 2020 the Company reincorporated in the state of Delaware, resulting in an increase to the authorized shares of its common stock to 1,000,000,000 with a new par value per share of $0.001. All information related to the Company’s common stock and per common share amounts for all periods presented in the accompanying consolidated financial statements have been retroactively adjusted to give effect to the 17-for-1 stock split and increase to the authorized shares of the Company’s common stock as a result of reincorporation.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IPO</w:t>
      </w:r>
    </w:p>
    <w:p>
      <w:pPr>
        <w:spacing w:after="0" w:line="220" w:lineRule="exact"/>
        <w:rPr>
          <w:sz w:val="20"/>
          <w:szCs w:val="20"/>
          <w:color w:val="auto"/>
        </w:rPr>
      </w:pPr>
    </w:p>
    <w:p>
      <w:pPr>
        <w:ind w:right="180" w:firstLine="600"/>
        <w:spacing w:after="0" w:line="248" w:lineRule="auto"/>
        <w:rPr>
          <w:sz w:val="20"/>
          <w:szCs w:val="20"/>
          <w:color w:val="auto"/>
        </w:rPr>
      </w:pPr>
      <w:r>
        <w:rPr>
          <w:rFonts w:ascii="Arial" w:cs="Arial" w:eastAsia="Arial" w:hAnsi="Arial"/>
          <w:sz w:val="15"/>
          <w:szCs w:val="15"/>
          <w:color w:val="auto"/>
        </w:rPr>
        <w:t>In October 2020, we completed our initial public offering (“IPO”) of common stock, in which we sold 7,450,000 shares at a public offering price of $12.00 per share. Net proceeds were $78.1 million, after deducting underwriting discounts and commissions of $6.3 million and issuance costs of $5.0 million, which were paid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Use of estimates</w:t>
      </w:r>
    </w:p>
    <w:p>
      <w:pPr>
        <w:spacing w:after="0" w:line="22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Cash, cash equivalents and restricted cash</w:t>
      </w:r>
    </w:p>
    <w:p>
      <w:pPr>
        <w:spacing w:after="0" w:line="220" w:lineRule="exact"/>
        <w:rPr>
          <w:sz w:val="20"/>
          <w:szCs w:val="20"/>
          <w:color w:val="auto"/>
        </w:rPr>
      </w:pPr>
    </w:p>
    <w:p>
      <w:pPr>
        <w:ind w:right="80" w:firstLine="600"/>
        <w:spacing w:after="0" w:line="253" w:lineRule="auto"/>
        <w:rPr>
          <w:sz w:val="20"/>
          <w:szCs w:val="20"/>
          <w:color w:val="auto"/>
        </w:rPr>
      </w:pPr>
      <w:r>
        <w:rPr>
          <w:rFonts w:ascii="Arial" w:cs="Arial" w:eastAsia="Arial" w:hAnsi="Arial"/>
          <w:sz w:val="15"/>
          <w:szCs w:val="15"/>
          <w:color w:val="auto"/>
        </w:rPr>
        <w:t>The Company considers all highly liquid instruments with an original maturity of three months or less to be cash equivalents. The carrying amounts of cash and cash equivalents approximate their fair values.</w:t>
      </w:r>
    </w:p>
    <w:p>
      <w:pPr>
        <w:spacing w:after="0" w:line="186" w:lineRule="exact"/>
        <w:rPr>
          <w:sz w:val="20"/>
          <w:szCs w:val="20"/>
          <w:color w:val="auto"/>
        </w:rPr>
      </w:pPr>
    </w:p>
    <w:p>
      <w:pPr>
        <w:ind w:right="160" w:firstLine="600"/>
        <w:spacing w:after="0" w:line="246" w:lineRule="auto"/>
        <w:rPr>
          <w:sz w:val="20"/>
          <w:szCs w:val="20"/>
          <w:color w:val="auto"/>
        </w:rPr>
      </w:pPr>
      <w:r>
        <w:rPr>
          <w:rFonts w:ascii="Arial" w:cs="Arial" w:eastAsia="Arial" w:hAnsi="Arial"/>
          <w:sz w:val="15"/>
          <w:szCs w:val="15"/>
          <w:color w:val="auto"/>
        </w:rPr>
        <w:t>Restricted cash represents cash and cash equivalents that are restricted to withdrawal or use as of the reporting date under contractual terms or regulatory requirements. As of October 31, 2020 and 2019, the restricted cash balance related to statutory requirements to support various programs at the Company’s farms. Restricted cash is included with cash and cash equivalents when reconciling the beginning-of-period and end-of-period total amounts shown on the statements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Accounts receivable</w:t>
      </w:r>
    </w:p>
    <w:p>
      <w:pPr>
        <w:spacing w:after="0" w:line="220"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Trade accounts receivable are reported at amounts due from customers, net of an allowance for doubtful accounts. Receivables are considered past due based on the contractual terms of the sale. The Company maintains an allowance for doubtful accounts to reflect its estimate of the uncollectability of the trade accounts receivable based on past collection history and the identification of specific potential customer risks. If</w:t>
      </w:r>
    </w:p>
    <w:p>
      <w:pPr>
        <w:spacing w:after="0" w:line="200" w:lineRule="exact"/>
        <w:rPr>
          <w:sz w:val="20"/>
          <w:szCs w:val="20"/>
          <w:color w:val="auto"/>
        </w:rPr>
      </w:pPr>
    </w:p>
    <w:p>
      <w:pPr>
        <w:spacing w:after="0" w:line="215"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00"/>
          </w:cols>
          <w:pgMar w:left="320" w:top="175" w:right="379" w:bottom="1440" w:gutter="0" w:footer="0" w:header="0"/>
        </w:sectPr>
      </w:pPr>
    </w:p>
    <w:bookmarkStart w:id="48" w:name="page49"/>
    <w:bookmarkEnd w:id="48"/>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color w:val="auto"/>
        </w:rPr>
        <w:t>the financial condition of the Company’s customers was to deteriorate beyond the Company’s estimate, resulting in an impairment of their ability to make payments, the Company may charge off receivables from such customers.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Grower and fruit advances</w:t>
      </w:r>
    </w:p>
    <w:p>
      <w:pPr>
        <w:spacing w:after="0" w:line="220" w:lineRule="exact"/>
        <w:rPr>
          <w:sz w:val="20"/>
          <w:szCs w:val="20"/>
          <w:color w:val="auto"/>
        </w:rPr>
      </w:pPr>
    </w:p>
    <w:p>
      <w:pPr>
        <w:ind w:right="560" w:firstLine="600"/>
        <w:spacing w:after="0" w:line="253" w:lineRule="auto"/>
        <w:rPr>
          <w:sz w:val="20"/>
          <w:szCs w:val="20"/>
          <w:color w:val="auto"/>
        </w:rPr>
      </w:pPr>
      <w:r>
        <w:rPr>
          <w:rFonts w:ascii="Arial" w:cs="Arial" w:eastAsia="Arial" w:hAnsi="Arial"/>
          <w:sz w:val="15"/>
          <w:szCs w:val="15"/>
          <w:color w:val="auto"/>
        </w:rPr>
        <w:t>The Company makes advances to growers and foreign suppliers who supply fruit to the Company. Such advances reduce amounts otherwise due to the growers or suppliers for fruit sales.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Miscellaneous receivables</w:t>
      </w:r>
    </w:p>
    <w:p>
      <w:pPr>
        <w:spacing w:after="0" w:line="220" w:lineRule="exact"/>
        <w:rPr>
          <w:sz w:val="20"/>
          <w:szCs w:val="20"/>
          <w:color w:val="auto"/>
        </w:rPr>
      </w:pPr>
    </w:p>
    <w:p>
      <w:pPr>
        <w:ind w:right="280" w:firstLine="600"/>
        <w:spacing w:after="0" w:line="253" w:lineRule="auto"/>
        <w:rPr>
          <w:sz w:val="20"/>
          <w:szCs w:val="20"/>
          <w:color w:val="auto"/>
        </w:rPr>
      </w:pPr>
      <w:r>
        <w:rPr>
          <w:rFonts w:ascii="Arial" w:cs="Arial" w:eastAsia="Arial" w:hAnsi="Arial"/>
          <w:sz w:val="15"/>
          <w:szCs w:val="15"/>
          <w:color w:val="auto"/>
        </w:rPr>
        <w:t>Miscellaneous receivables represent non-trade receivables and primarily consist of value-added taxes collected on behalf of the tax authorities. Value added taxes included in miscellaneous receivables were $10.6 million and $12.2 million as of October 31, 2020 and 2019,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Inventory</w:t>
      </w:r>
    </w:p>
    <w:p>
      <w:pPr>
        <w:spacing w:after="0" w:line="220" w:lineRule="exact"/>
        <w:rPr>
          <w:sz w:val="20"/>
          <w:szCs w:val="20"/>
          <w:color w:val="auto"/>
        </w:rPr>
      </w:pPr>
    </w:p>
    <w:p>
      <w:pPr>
        <w:ind w:right="120" w:firstLine="600"/>
        <w:spacing w:after="0" w:line="253" w:lineRule="auto"/>
        <w:rPr>
          <w:sz w:val="20"/>
          <w:szCs w:val="20"/>
          <w:color w:val="auto"/>
        </w:rPr>
      </w:pPr>
      <w:r>
        <w:rPr>
          <w:rFonts w:ascii="Arial" w:cs="Arial" w:eastAsia="Arial" w:hAnsi="Arial"/>
          <w:sz w:val="15"/>
          <w:szCs w:val="15"/>
          <w:color w:val="auto"/>
        </w:rPr>
        <w:t>Inventories are recorded at the lower of cost or net realizable value using the first-in, first-out method for finished goods and raw materials. Net realizable value is the estimated selling price in the ordinary course of business, less reasonably predictable costs of completion, disposal, and transportation.</w:t>
      </w:r>
    </w:p>
    <w:p>
      <w:pPr>
        <w:spacing w:after="0" w:line="186"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Crop growing costs are valued at the lower of cost or net realizable value and are deferred and charged to cost of goods sold when the related crop is harvested and sold. The deferred crop growing costs included in inventory consist primarily of orchard maintenance costs such as cultivation, irrigation, fertilization, soil amendments, pest control and pruning.</w:t>
      </w:r>
    </w:p>
    <w:p>
      <w:pPr>
        <w:spacing w:after="0" w:line="190" w:lineRule="exact"/>
        <w:rPr>
          <w:sz w:val="20"/>
          <w:szCs w:val="20"/>
          <w:color w:val="auto"/>
        </w:rPr>
      </w:pPr>
    </w:p>
    <w:p>
      <w:pPr>
        <w:jc w:val="both"/>
        <w:ind w:right="140" w:firstLine="600"/>
        <w:spacing w:after="0" w:line="246" w:lineRule="auto"/>
        <w:rPr>
          <w:sz w:val="20"/>
          <w:szCs w:val="20"/>
          <w:color w:val="auto"/>
        </w:rPr>
      </w:pPr>
      <w:r>
        <w:rPr>
          <w:rFonts w:ascii="Arial" w:cs="Arial" w:eastAsia="Arial" w:hAnsi="Arial"/>
          <w:sz w:val="15"/>
          <w:szCs w:val="15"/>
          <w:color w:val="auto"/>
        </w:rPr>
        <w:t>We assess the recoverability of inventories through an ongoing review of inventory levels in relation to sales and forecasts and product marketing plans. When the inventory on hand, at the time of review, exceeds the foreseeable demand, the value of inventory that is not expected to be sold is written down. The amount of the write-down is the excess of historical cost over estimated net realizable value. Once established, these write-downs are considered permanent adjustments to the cost basis of the excess inventory.</w:t>
      </w:r>
    </w:p>
    <w:p>
      <w:pPr>
        <w:spacing w:after="0" w:line="193" w:lineRule="exact"/>
        <w:rPr>
          <w:sz w:val="20"/>
          <w:szCs w:val="20"/>
          <w:color w:val="auto"/>
        </w:rPr>
      </w:pPr>
    </w:p>
    <w:p>
      <w:pPr>
        <w:ind w:firstLine="600"/>
        <w:spacing w:after="0" w:line="248" w:lineRule="auto"/>
        <w:rPr>
          <w:sz w:val="20"/>
          <w:szCs w:val="20"/>
          <w:color w:val="auto"/>
        </w:rPr>
      </w:pPr>
      <w:r>
        <w:rPr>
          <w:rFonts w:ascii="Arial" w:cs="Arial" w:eastAsia="Arial" w:hAnsi="Arial"/>
          <w:sz w:val="15"/>
          <w:szCs w:val="15"/>
          <w:color w:val="auto"/>
        </w:rPr>
        <w:t>The assessment of the recoverability of inventories and the amounts of any write-downs are based on currently available information and assumptions about future demand and market conditions. Demand for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215" w:lineRule="exact"/>
        <w:rPr>
          <w:sz w:val="20"/>
          <w:szCs w:val="20"/>
          <w:color w:val="auto"/>
        </w:rPr>
      </w:pPr>
    </w:p>
    <w:p>
      <w:pPr>
        <w:ind w:right="120" w:firstLine="600"/>
        <w:spacing w:after="0" w:line="248" w:lineRule="auto"/>
        <w:rPr>
          <w:sz w:val="20"/>
          <w:szCs w:val="20"/>
          <w:color w:val="auto"/>
        </w:rPr>
      </w:pPr>
      <w:r>
        <w:rPr>
          <w:rFonts w:ascii="Arial" w:cs="Arial" w:eastAsia="Arial" w:hAnsi="Arial"/>
          <w:sz w:val="15"/>
          <w:szCs w:val="15"/>
          <w:color w:val="auto"/>
        </w:rPr>
        <w:t>As of October 31, 2018, inventories included a $2.0 million purchase accounting adjustment that was recorded to increase inventories related to our acquisition of Grupo Arato (see Note 4). These inventories, including the fair value adjustments, were recognized in cost of sales during the year ended October 31, 2019 as the underlying inventories were sold.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Property, plant and equipment, net</w:t>
      </w:r>
    </w:p>
    <w:p>
      <w:pPr>
        <w:spacing w:after="0" w:line="220"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Property, plant and equipment, net is stated at cost, net of accumulated depreciation. Depreciation is computed using the straight-line method using rates based upon the estimated useful lives of the related assets. Property, plant and equipment includes the costs of planting and developing orchards that are capitalized until the orchards become commercially productive. Net proceeds from the sales of fruit before commercial production begins is applied to the capitalized cost of the trees.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once productive, the orchard maintenance costs are accounted for as crop growing costs.</w:t>
      </w:r>
    </w:p>
    <w:p>
      <w:pPr>
        <w:spacing w:after="0" w:line="192"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Useful lives are as follows: orchards—20 years; buildings and improvements—5 to 40 years; plant and office equipment—3 to 20 years. Leased equipment and leasehold improvements meeting certain criteria are capitalized and amortized over the shorter of the lease term or the useful life of the asset using the straight-line method.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Equity method investees</w:t>
      </w:r>
    </w:p>
    <w:p>
      <w:pPr>
        <w:spacing w:after="0" w:line="220"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The Company maintains investments in other fruit growers, packers and distributors. These investments are accounted for under the equity method of accounting when we have the ability 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200" w:lineRule="exact"/>
        <w:rPr>
          <w:sz w:val="20"/>
          <w:szCs w:val="20"/>
          <w:color w:val="auto"/>
        </w:r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240"/>
          </w:cols>
          <w:pgMar w:left="320" w:top="175"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We evaluate whether our equity method investments are impaired when certain indications of impairment are present. Although a current fair value below the recorded investment is an indicator of impairment, we recognize an impairment loss on our equity method investments only if the loss in value is deemed to be an other-than-temporary-impairment (“OTTI”). If an impairment of an equity method investment is determined to be other than temporary, we would record OTTI sufficient to reduce the investment’s carrying value to its fair value, which results in a new cost basis in the investment.</w:t>
      </w:r>
    </w:p>
    <w:p>
      <w:pPr>
        <w:spacing w:after="0" w:line="193" w:lineRule="exact"/>
        <w:rPr>
          <w:sz w:val="20"/>
          <w:szCs w:val="20"/>
          <w:color w:val="auto"/>
        </w:rPr>
      </w:pPr>
    </w:p>
    <w:p>
      <w:pPr>
        <w:ind w:right="100" w:firstLine="600"/>
        <w:spacing w:after="0" w:line="245" w:lineRule="auto"/>
        <w:rPr>
          <w:sz w:val="20"/>
          <w:szCs w:val="20"/>
          <w:color w:val="auto"/>
        </w:rPr>
      </w:pPr>
      <w:r>
        <w:rPr>
          <w:rFonts w:ascii="Arial" w:cs="Arial" w:eastAsia="Arial" w:hAnsi="Arial"/>
          <w:sz w:val="15"/>
          <w:szCs w:val="15"/>
          <w:color w:val="auto"/>
        </w:rPr>
        <w:t>During the second quarter of fiscal year 2020, industry-wide production information regarding the 2019-2020 blueberry harvest in Peru became available, indicating that there is greater competition and expansion by competitors than what we were previously expecting. We believe that the increase in supply due to expansion will result in a reduction in pricing over the long-term. As a result of this factor, among others, management lowered its long-term revenue and profitability forecasts of Moruga during the second quarter of 2020 and concluded that the reduction in the forecasted revenues was an indicator of impairment. As a result, management tested its investment in Moruga for impairment and concluded that the estimated fair value of the investment in Moruga was less than the carrying value of the investment. Due to the change in long-term pricing and revenue expectations, management concluded that the impairment is other-than-temporary and recorded an impairment charge of $21.2 million during the second quarter of fiscal year 2020 (see Note 5 for more details).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Long-lived assets</w:t>
      </w:r>
    </w:p>
    <w:p>
      <w:pPr>
        <w:spacing w:after="0" w:line="220"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The Company evaluates its long-lived assets for impairment whenever events or changes in circumstances indicate that the carrying amount of any such asset may not be recoverable. Long-lived assets are assessed for impairment by comparing the carrying amount of an asset to future undiscounted net cash flows expected to be generated from the use of the asset and its eventual disposition. If the future undiscounted net cash flows are less than the carrying amount of the asset being tested, an impairment is recorded for the difference between the carrying amount of the asset and the estimated fair value of the asset.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For fiscal years 2020 and 2019, we did not identify any indicators of impairment that would have required the Company to test its long-lived assets for impairment.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Goodwill</w:t>
      </w:r>
    </w:p>
    <w:p>
      <w:pPr>
        <w:spacing w:after="0" w:line="220"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Our goodwill represents the excess of the purchase price of business combinations over the fair value of the net assets acquired. We assess goodwill for impairment on an annual basis during the 4th quarter of each year, and between annual tests whenever events or changes in circumstances indicate that the carrying amount may not be recoverable. An impairment exists by the amount the fair value of a reporting unit to which goodwill has been allocated is less than their respective carrying values. The impairment for goodwill is limited to the total amount of goodwill allocated to the reporting unit.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w:t>
      </w:r>
    </w:p>
    <w:p>
      <w:pPr>
        <w:spacing w:after="0" w:line="192"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color w:val="auto"/>
        </w:rPr>
        <w:t>As of October 31, 2020 and 2019, we had goodwill of $76.4 million which is entirely attributable to our acquisition of Grupo Arato on September 20, 2018 (see Note 4). The goodwill has been allocated to our International Farming reportable segment (see Note 13), which is an operating segment and reporting unit. The results of our annual goodwill impairment assessments indicated that it was more likely than not that the fair value of our reporting unit’s goodwill had exceeded its carrying value. As a result, we concluded that there were no impairments for the years ended October 31,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Fair values of financial instruments</w:t>
      </w:r>
    </w:p>
    <w:p>
      <w:pPr>
        <w:spacing w:after="0" w:line="220" w:lineRule="exact"/>
        <w:rPr>
          <w:sz w:val="20"/>
          <w:szCs w:val="20"/>
          <w:color w:val="auto"/>
        </w:rPr>
      </w:pPr>
    </w:p>
    <w:p>
      <w:pPr>
        <w:ind w:right="260" w:firstLine="600"/>
        <w:spacing w:after="0" w:line="248" w:lineRule="auto"/>
        <w:rPr>
          <w:sz w:val="20"/>
          <w:szCs w:val="20"/>
          <w:color w:val="auto"/>
        </w:rPr>
      </w:pPr>
      <w:r>
        <w:rPr>
          <w:rFonts w:ascii="Arial" w:cs="Arial" w:eastAsia="Arial" w:hAnsi="Arial"/>
          <w:sz w:val="15"/>
          <w:szCs w:val="15"/>
          <w:color w:val="auto"/>
        </w:rPr>
        <w:t>The Company applies the provisions of Accounting Standards Codification (“ASC”) 820, Fair Value Measurements, for fair value measurements of financial assets and financial liabilities and for fair value measurements of nonfinancial items that are recognized or disclosed at fair value in the financial statements. ASC 820 establishes a framework for measuring fair value and expands disclosures about fair value measurements.</w:t>
      </w:r>
    </w:p>
    <w:p>
      <w:pPr>
        <w:spacing w:after="0" w:line="190" w:lineRule="exact"/>
        <w:rPr>
          <w:sz w:val="20"/>
          <w:szCs w:val="20"/>
          <w:color w:val="auto"/>
        </w:rPr>
      </w:pPr>
    </w:p>
    <w:p>
      <w:pPr>
        <w:ind w:right="60" w:firstLine="600"/>
        <w:spacing w:after="0" w:line="248" w:lineRule="auto"/>
        <w:rPr>
          <w:sz w:val="20"/>
          <w:szCs w:val="20"/>
          <w:color w:val="auto"/>
        </w:rPr>
      </w:pPr>
      <w:r>
        <w:rPr>
          <w:rFonts w:ascii="Arial" w:cs="Arial" w:eastAsia="Arial" w:hAnsi="Arial"/>
          <w:sz w:val="15"/>
          <w:szCs w:val="15"/>
          <w:color w:val="auto"/>
        </w:rPr>
        <w:t>Fair value is defined as the price that would be received when selling an asset or paid to transfer a liability in an orderly transaction between market participants at the measurement date. In determining the fair value for the assets and liabilities required or permitted to be recorded, the Company considers the principal or most advantageous market in which it would transact, and it considers assumptions that market participants would use when pricing the asset or liability.</w:t>
      </w:r>
    </w:p>
    <w:p>
      <w:pPr>
        <w:spacing w:after="0" w:line="190" w:lineRule="exact"/>
        <w:rPr>
          <w:sz w:val="20"/>
          <w:szCs w:val="20"/>
          <w:color w:val="auto"/>
        </w:rPr>
      </w:pPr>
    </w:p>
    <w:p>
      <w:pPr>
        <w:ind w:right="60" w:firstLine="600"/>
        <w:spacing w:after="0" w:line="246" w:lineRule="auto"/>
        <w:rPr>
          <w:sz w:val="20"/>
          <w:szCs w:val="20"/>
          <w:color w:val="auto"/>
        </w:rPr>
      </w:pPr>
      <w:r>
        <w:rPr>
          <w:rFonts w:ascii="Arial" w:cs="Arial" w:eastAsia="Arial" w:hAnsi="Arial"/>
          <w:sz w:val="15"/>
          <w:szCs w:val="15"/>
          <w:color w:val="auto"/>
        </w:rPr>
        <w:t>ASC 820 establishes a fair value hierarchy that requires an entity to maximize the use of observable inputs and minimize the use of unobservable inputs when measuring fair value. ASC 820 establishes three levels of inputs that may be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00" w:lineRule="exact"/>
        <w:rPr>
          <w:sz w:val="20"/>
          <w:szCs w:val="20"/>
          <w:color w:val="auto"/>
        </w:rPr>
      </w:pPr>
    </w:p>
    <w:p>
      <w:pPr>
        <w:spacing w:after="0" w:line="21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1220"/>
          </w:cols>
          <w:pgMar w:left="320" w:top="175"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Level 1: Unadjusted quoted prices in active markets that are accessible at the measurement date for identical, unrestricted assets or liabilities;</w:t>
      </w:r>
    </w:p>
    <w:p>
      <w:pPr>
        <w:spacing w:after="0" w:line="202" w:lineRule="exact"/>
        <w:rPr>
          <w:sz w:val="20"/>
          <w:szCs w:val="20"/>
          <w:color w:val="auto"/>
        </w:rPr>
      </w:pPr>
    </w:p>
    <w:p>
      <w:pPr>
        <w:ind w:left="900" w:right="300"/>
        <w:spacing w:after="0" w:line="253" w:lineRule="auto"/>
        <w:rPr>
          <w:sz w:val="20"/>
          <w:szCs w:val="20"/>
          <w:color w:val="auto"/>
        </w:rPr>
      </w:pPr>
      <w:r>
        <w:rPr>
          <w:rFonts w:ascii="Arial" w:cs="Arial" w:eastAsia="Arial" w:hAnsi="Arial"/>
          <w:sz w:val="15"/>
          <w:szCs w:val="15"/>
          <w:color w:val="auto"/>
        </w:rPr>
        <w:t>Level 2: Quoted prices, other than those in Level 1, in markets that are not active or for similar assets and liabilities, or inputs that are observable, either directly or indirectly, for substantially the full term of the asset or liability;</w:t>
      </w:r>
    </w:p>
    <w:p>
      <w:pPr>
        <w:spacing w:after="0" w:line="186" w:lineRule="exact"/>
        <w:rPr>
          <w:sz w:val="20"/>
          <w:szCs w:val="20"/>
          <w:color w:val="auto"/>
        </w:rPr>
      </w:pPr>
    </w:p>
    <w:p>
      <w:pPr>
        <w:ind w:left="900" w:right="20"/>
        <w:spacing w:after="0" w:line="253" w:lineRule="auto"/>
        <w:rPr>
          <w:sz w:val="20"/>
          <w:szCs w:val="20"/>
          <w:color w:val="auto"/>
        </w:rPr>
      </w:pPr>
      <w:r>
        <w:rPr>
          <w:rFonts w:ascii="Arial" w:cs="Arial" w:eastAsia="Arial" w:hAnsi="Arial"/>
          <w:sz w:val="15"/>
          <w:szCs w:val="15"/>
          <w:color w:val="auto"/>
        </w:rPr>
        <w:t>Level 3: Prices or valuation techniques that require inputs that are both significant to the fair value measurement and unobservable (supported by little or no market activity).</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were no transfers between level 1, level 2 or level 3 measurements during the years ended October 31, 2020 and 2019.</w:t>
      </w:r>
    </w:p>
    <w:p>
      <w:pPr>
        <w:spacing w:after="0" w:line="202" w:lineRule="exact"/>
        <w:rPr>
          <w:sz w:val="20"/>
          <w:szCs w:val="20"/>
          <w:color w:val="auto"/>
        </w:rPr>
      </w:pPr>
    </w:p>
    <w:p>
      <w:pPr>
        <w:jc w:val="both"/>
        <w:ind w:right="420" w:firstLine="600"/>
        <w:spacing w:after="0" w:line="248" w:lineRule="auto"/>
        <w:rPr>
          <w:sz w:val="20"/>
          <w:szCs w:val="20"/>
          <w:color w:val="auto"/>
        </w:rPr>
      </w:pPr>
      <w:r>
        <w:rPr>
          <w:rFonts w:ascii="Arial" w:cs="Arial" w:eastAsia="Arial" w:hAnsi="Arial"/>
          <w:sz w:val="15"/>
          <w:szCs w:val="15"/>
          <w:color w:val="auto"/>
        </w:rPr>
        <w:t>We believe that the carrying amounts of cash and cash equivalents, accounts receivable, accounts payable, accrued expenses and short-term borrowings approximates fair value based on either their short-term nature or on terms currently available to the Company in financial markets. Due to current market rates, we believe that our long-term obligations have fair values that approximate carrying values. Refer to Note 10 for further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Derivatives</w:t>
      </w:r>
    </w:p>
    <w:p>
      <w:pPr>
        <w:spacing w:after="0" w:line="220"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From time to time we enter into interest rate swaps to limit our exposure to fluctuations in interest rates with respect to long-term debt. We determine at inception whether the derivative instruments will be designated as cash flow hedges.</w:t>
      </w:r>
    </w:p>
    <w:p>
      <w:pPr>
        <w:spacing w:after="0" w:line="186"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We account for derivatives and hedging activities in accordance with ASC 815, Derivatives and Hedging, as amended. ASC 815 establishes accounting and reporting standards for derivative instruments, including certain derivative instruments embedded in other contracts and hedging activities. It requires the recognition of all derivative instruments as either assets or liabilities in the consolidated balance sheets and measurement of those instruments at fair value. The accounting treatment of changes in fair value depends upon whether or not a derivative instrument is designated as a hedge and, if so, the type of hedge. We record all derivative instruments at fair value in our consolidated balance sheets. For derivatives designated as cash flow hedges, to the extent effective, we recognize the changes in fair value in accumulated other comprehensive income (loss) until the hedged item is recognized in income. Any ineffectiveness in the hedge is recognized immediately in income in the line item that is consistent with the nature of the hedged risk. We formally document all relationships between hedging instruments and hedged items, as well as risk management objectives and strategies for undertaking various hedge transactions, at the inception of the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Revenue recognition</w:t>
      </w:r>
    </w:p>
    <w:p>
      <w:pPr>
        <w:spacing w:after="0" w:line="220"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 Company adopted Accounting Standards Update (“ASU”) 2014-09, Revenue from Contracts with Customers, and all related amendments in ASC 606 at the beginning of our 2020 fiscal year using the modified retrospective transition method. ASC 606 is comprised of a comprehensive revenue recognition standard, which requires the recognition of revenue when performance obligations to customers have been satisfied in amounts equal to the consideration to which the Company expects to be entitled.</w:t>
      </w:r>
    </w:p>
    <w:p>
      <w:pPr>
        <w:spacing w:after="0" w:line="193" w:lineRule="exact"/>
        <w:rPr>
          <w:sz w:val="20"/>
          <w:szCs w:val="20"/>
          <w:color w:val="auto"/>
        </w:rPr>
      </w:pPr>
    </w:p>
    <w:p>
      <w:pPr>
        <w:ind w:right="60" w:firstLine="600"/>
        <w:spacing w:after="0" w:line="244" w:lineRule="auto"/>
        <w:rPr>
          <w:sz w:val="20"/>
          <w:szCs w:val="20"/>
          <w:color w:val="auto"/>
        </w:rPr>
      </w:pPr>
      <w:r>
        <w:rPr>
          <w:rFonts w:ascii="Arial" w:cs="Arial" w:eastAsia="Arial" w:hAnsi="Arial"/>
          <w:sz w:val="15"/>
          <w:szCs w:val="15"/>
          <w:color w:val="auto"/>
        </w:rPr>
        <w:t>For our customer contracts, we identify the performance obligations (products or services), determine the transaction price, allocate the contract transaction price to the performance obligations, and recognize the revenue when the performance obligation is fulfilled, which is when the product is shipped to or received by the customer, depending on the specific terms of the arrangement. Our revenues are recorded at a point in time. Revenue recognized from product sales is based primarily on purchase orders issued by customers which specify shipping terms and details of the transaction. The performance obligations in a given transaction are determined by the individual purchase orders with revenue recognized at the time that the performance obligations have been satisfied. The Company’s customers have an implicit and explicit right to return products that do not conform to the specifications generally agreed upon or detailed in the individual purchase orders. The Company evaluates the need for provisions related to product return allowances based on estimates and records such provisions as a reduction in revenue in the same period that revenue for the related transactions is recognized.</w:t>
      </w:r>
    </w:p>
    <w:p>
      <w:pPr>
        <w:spacing w:after="0" w:line="197"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We offer rebate programs to certain customers. These programs are not significant, and the amounts paid to customers related to rebate programs are recorded as a reduction of the sales price and revenue recognized as a result of the transaction. The Company maintains liabilities for the rebate amounts that remain unremitted to customers as of each period end and are included in accrued expenses.</w:t>
      </w:r>
    </w:p>
    <w:p>
      <w:pPr>
        <w:spacing w:after="0" w:line="190" w:lineRule="exact"/>
        <w:rPr>
          <w:sz w:val="20"/>
          <w:szCs w:val="20"/>
          <w:color w:val="auto"/>
        </w:rPr>
      </w:pPr>
    </w:p>
    <w:p>
      <w:pPr>
        <w:ind w:right="80" w:firstLine="600"/>
        <w:spacing w:after="0" w:line="246" w:lineRule="auto"/>
        <w:rPr>
          <w:sz w:val="20"/>
          <w:szCs w:val="20"/>
          <w:color w:val="auto"/>
        </w:rPr>
      </w:pPr>
      <w:r>
        <w:rPr>
          <w:rFonts w:ascii="Arial" w:cs="Arial" w:eastAsia="Arial" w:hAnsi="Arial"/>
          <w:sz w:val="15"/>
          <w:szCs w:val="15"/>
          <w:color w:val="auto"/>
        </w:rPr>
        <w:t>The Company routinely enters into consignment arrangements to purchase avocados from foreign suppliers in which we do not take legal title of the good prior to selling those goods to customers. The Company has evaluated its role in such transactions and has concluded that it has control of the products due to our ability to determine the sales price and our role as the primary obligor in the transactions with the end customer. As a result, the Company is deemed to act as the principle rather than the agent and recognizes and reports revenue on a gross basis for its consignment arrangements.</w:t>
      </w:r>
    </w:p>
    <w:p>
      <w:pPr>
        <w:spacing w:after="0" w:line="193"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The Company elected the following practical expedients upon its adoption of ASC 606. The Company elected to account for shipping and handling activities that occur prior to the transfer of control of goods to the customer as fulfillment activities related to the promise to transfer goods rather than as a promised service. The Company elected to exclude amounts collected from customers for sales and other similar taxes from the transaction price.</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240"/>
          </w:cols>
          <w:pgMar w:left="320" w:top="17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adoption of ASC 606 did not have an impact on our results as of and for the year ended October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Stock-based compensation</w:t>
      </w:r>
    </w:p>
    <w:p>
      <w:pPr>
        <w:spacing w:after="0" w:line="220"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5"/>
          <w:szCs w:val="15"/>
          <w:color w:val="auto"/>
        </w:rPr>
        <w:t>The Company uses the fair value recognition method for accounting for stock-based compensation. Under the fair value recognition method, cost is measured at the grant date based on the fair value of the award and is recognized as expense on the straight-line basis over the requisite service period, which is generally the vesting period. When vesting is based on the occurrence of certain defined liquidity events, expense relative to such awards is measured based on the grant date fair value of the award and is recorded when the event occurs. Forfeitures are recognized in the period they occur.</w:t>
      </w:r>
    </w:p>
    <w:p>
      <w:pPr>
        <w:spacing w:after="0" w:line="218" w:lineRule="exact"/>
        <w:rPr>
          <w:sz w:val="20"/>
          <w:szCs w:val="20"/>
          <w:color w:val="auto"/>
        </w:rPr>
      </w:pPr>
    </w:p>
    <w:p>
      <w:pPr>
        <w:ind w:right="140" w:firstLine="600"/>
        <w:spacing w:after="0" w:line="253" w:lineRule="auto"/>
        <w:rPr>
          <w:sz w:val="20"/>
          <w:szCs w:val="20"/>
          <w:color w:val="auto"/>
        </w:rPr>
      </w:pPr>
      <w:r>
        <w:rPr>
          <w:rFonts w:ascii="Arial" w:cs="Arial" w:eastAsia="Arial" w:hAnsi="Arial"/>
          <w:sz w:val="15"/>
          <w:szCs w:val="15"/>
          <w:color w:val="auto"/>
        </w:rPr>
        <w:t>The fair value of stock options is estimated as of the date of grant using the Black-Scholes option model, which requires various inputs, including volatility, risk-free interest rate, and the estimated life of the option term. See Note 9 for more information.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fair value of restricted stock units (“RSUs”) is determined based on the market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Advertising costs</w:t>
      </w:r>
    </w:p>
    <w:p>
      <w:pPr>
        <w:spacing w:after="0" w:line="220" w:lineRule="exact"/>
        <w:rPr>
          <w:sz w:val="20"/>
          <w:szCs w:val="20"/>
          <w:color w:val="auto"/>
        </w:rPr>
      </w:pPr>
    </w:p>
    <w:p>
      <w:pPr>
        <w:ind w:right="200" w:firstLine="600"/>
        <w:spacing w:after="0" w:line="253" w:lineRule="auto"/>
        <w:rPr>
          <w:sz w:val="20"/>
          <w:szCs w:val="20"/>
          <w:color w:val="auto"/>
        </w:rPr>
      </w:pPr>
      <w:r>
        <w:rPr>
          <w:rFonts w:ascii="Arial" w:cs="Arial" w:eastAsia="Arial" w:hAnsi="Arial"/>
          <w:sz w:val="15"/>
          <w:szCs w:val="15"/>
          <w:color w:val="auto"/>
        </w:rPr>
        <w:t>Advertising costs are expensed when incurred and are included as a component of selling, general and administrative expense. Such costs were $0.4 million, $0.3 million, and $0.4 million for the years ended October 31, 2020, 2019 and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Employee benefits</w:t>
      </w:r>
    </w:p>
    <w:p>
      <w:pPr>
        <w:spacing w:after="0" w:line="220" w:lineRule="exact"/>
        <w:rPr>
          <w:sz w:val="20"/>
          <w:szCs w:val="20"/>
          <w:color w:val="auto"/>
        </w:rPr>
      </w:pPr>
    </w:p>
    <w:p>
      <w:pPr>
        <w:ind w:right="60" w:firstLine="600"/>
        <w:spacing w:after="0" w:line="246" w:lineRule="auto"/>
        <w:rPr>
          <w:sz w:val="20"/>
          <w:szCs w:val="20"/>
          <w:color w:val="auto"/>
        </w:rPr>
      </w:pPr>
      <w:r>
        <w:rPr>
          <w:rFonts w:ascii="Arial" w:cs="Arial" w:eastAsia="Arial" w:hAnsi="Arial"/>
          <w:sz w:val="15"/>
          <w:szCs w:val="15"/>
          <w:color w:val="auto"/>
        </w:rPr>
        <w:t>Eligible employees of the Company may participate in a 401(k)-retirement plan, whereby the employees may elect to make contributions pursuant to a salary reduction agreement upon meeting age and length-of-service requirements. Employees can defer up to 60% of their compensation subject to fixed annual limits. The Company makes a 100% matching contribution on deferrals up to 3%, and 50% on deferrals over 3% up to 5%. Total contributions made by the Company for each of the years ended October 31, 2020, 2019 and 2018, were $0.7 million.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Income taxes</w:t>
      </w:r>
    </w:p>
    <w:p>
      <w:pPr>
        <w:spacing w:after="0" w:line="220" w:lineRule="exact"/>
        <w:rPr>
          <w:sz w:val="20"/>
          <w:szCs w:val="20"/>
          <w:color w:val="auto"/>
        </w:rPr>
      </w:pPr>
    </w:p>
    <w:p>
      <w:pPr>
        <w:ind w:right="120" w:firstLine="600"/>
        <w:spacing w:after="0" w:line="244" w:lineRule="auto"/>
        <w:rPr>
          <w:sz w:val="20"/>
          <w:szCs w:val="20"/>
          <w:color w:val="auto"/>
        </w:rPr>
      </w:pPr>
      <w:r>
        <w:rPr>
          <w:rFonts w:ascii="Arial" w:cs="Arial" w:eastAsia="Arial" w:hAnsi="Arial"/>
          <w:sz w:val="15"/>
          <w:szCs w:val="15"/>
          <w:color w:val="auto"/>
        </w:rPr>
        <w:t>The Company uses the liability method to account for income taxes as prescribed by ASC 740. Deferred tax assets and liabilities are determined based on the difference between the financial statement and tax bases of assets and liabilities as measured by the enacted tax rates which will be in effect when these differences reverse. Deferred tax expense (benefit) is the result of changes in deferred tax assets and liabilities. Deferred income tax assets and liabilities are adjusted to recognize the effects of changes in tax laws or enacted tax rates in the period during which they are signed into law. The factors used to assess the Company’s ability to realize its deferred tax assets are the Company’s forecast of future taxable income and available tax planning strategies that could be implemented. Under ASC 740 a valuation allowance is required when it is more likely than not that all or some portion of the deferred tax assets will not be realized due to the inability to generate sufficient future taxable income of the correct character. Failure to achieve previous forecasted taxable income could affect the ultimate realization of deferred tax assets and could negatively impact the Company’s effective tax rate on future earnings.</w:t>
      </w:r>
    </w:p>
    <w:p>
      <w:pPr>
        <w:spacing w:after="0" w:line="197" w:lineRule="exact"/>
        <w:rPr>
          <w:sz w:val="20"/>
          <w:szCs w:val="20"/>
          <w:color w:val="auto"/>
        </w:rPr>
      </w:pPr>
    </w:p>
    <w:p>
      <w:pPr>
        <w:ind w:right="140" w:firstLine="600"/>
        <w:spacing w:after="0" w:line="248" w:lineRule="auto"/>
        <w:rPr>
          <w:sz w:val="20"/>
          <w:szCs w:val="20"/>
          <w:color w:val="auto"/>
        </w:rPr>
      </w:pPr>
      <w:r>
        <w:rPr>
          <w:rFonts w:ascii="Arial" w:cs="Arial" w:eastAsia="Arial" w:hAnsi="Arial"/>
          <w:sz w:val="15"/>
          <w:szCs w:val="15"/>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90" w:lineRule="exact"/>
        <w:rPr>
          <w:sz w:val="20"/>
          <w:szCs w:val="20"/>
          <w:color w:val="auto"/>
        </w:rPr>
      </w:pPr>
    </w:p>
    <w:p>
      <w:pPr>
        <w:ind w:right="120" w:firstLine="600"/>
        <w:spacing w:after="0" w:line="246" w:lineRule="auto"/>
        <w:rPr>
          <w:sz w:val="20"/>
          <w:szCs w:val="20"/>
          <w:color w:val="auto"/>
        </w:rPr>
      </w:pPr>
      <w:r>
        <w:rPr>
          <w:rFonts w:ascii="Arial" w:cs="Arial" w:eastAsia="Arial" w:hAnsi="Arial"/>
          <w:sz w:val="15"/>
          <w:szCs w:val="15"/>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93" w:lineRule="exact"/>
        <w:rPr>
          <w:sz w:val="20"/>
          <w:szCs w:val="20"/>
          <w:color w:val="auto"/>
        </w:rPr>
      </w:pPr>
    </w:p>
    <w:p>
      <w:pPr>
        <w:ind w:right="160" w:firstLine="600"/>
        <w:spacing w:after="0" w:line="246" w:lineRule="auto"/>
        <w:rPr>
          <w:sz w:val="20"/>
          <w:szCs w:val="20"/>
          <w:color w:val="auto"/>
        </w:rPr>
      </w:pPr>
      <w:r>
        <w:rPr>
          <w:rFonts w:ascii="Arial" w:cs="Arial" w:eastAsia="Arial" w:hAnsi="Arial"/>
          <w:sz w:val="15"/>
          <w:szCs w:val="15"/>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Foreign currency translation and remeasurement</w:t>
      </w:r>
    </w:p>
    <w:p>
      <w:pPr>
        <w:spacing w:after="0" w:line="220" w:lineRule="exact"/>
        <w:rPr>
          <w:sz w:val="20"/>
          <w:szCs w:val="20"/>
          <w:color w:val="auto"/>
        </w:rPr>
      </w:pPr>
    </w:p>
    <w:p>
      <w:pPr>
        <w:ind w:right="100" w:firstLine="600"/>
        <w:spacing w:after="0" w:line="245" w:lineRule="auto"/>
        <w:rPr>
          <w:sz w:val="20"/>
          <w:szCs w:val="20"/>
          <w:color w:val="auto"/>
        </w:rPr>
      </w:pPr>
      <w:r>
        <w:rPr>
          <w:rFonts w:ascii="Arial" w:cs="Arial" w:eastAsia="Arial" w:hAnsi="Arial"/>
          <w:sz w:val="15"/>
          <w:szCs w:val="15"/>
          <w:color w:val="auto"/>
        </w:rPr>
        <w:t>The Company’s foreign operations are subject to exchange rate fluctuations and foreign currency transaction costs. The functional currency for substantially all of our foreign subsidiaries is the United States dollar. When remeasuring from a local currency to the functional currency, monetary assets and liabilities are remeasured into U.S. dollars at exchange rates in effect at the balance sheet dates and non-monetary assets, liabilities and equity are remeasured at historical rates when remeasuring from a local currency to the functional currency. Sales and expenses are remeasured using weighted-average exchange rates for each period. Gains and losses resulting from foreign currency transactions are recognized in other (expense) income, net in the consolidated statements of comprehensive income.</w:t>
      </w:r>
    </w:p>
    <w:p>
      <w:pPr>
        <w:spacing w:after="0" w:line="200" w:lineRule="exact"/>
        <w:rPr>
          <w:sz w:val="20"/>
          <w:szCs w:val="20"/>
          <w:color w:val="auto"/>
        </w:rPr>
      </w:pP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1240"/>
          </w:cols>
          <w:pgMar w:left="320" w:top="175"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Earnings per share</w:t>
      </w:r>
    </w:p>
    <w:p>
      <w:pPr>
        <w:spacing w:after="0" w:line="220" w:lineRule="exact"/>
        <w:rPr>
          <w:sz w:val="20"/>
          <w:szCs w:val="20"/>
          <w:color w:val="auto"/>
        </w:rPr>
      </w:pPr>
    </w:p>
    <w:p>
      <w:pPr>
        <w:ind w:right="440" w:firstLine="600"/>
        <w:spacing w:after="0" w:line="253" w:lineRule="auto"/>
        <w:rPr>
          <w:sz w:val="20"/>
          <w:szCs w:val="20"/>
          <w:color w:val="auto"/>
        </w:rPr>
      </w:pPr>
      <w:r>
        <w:rPr>
          <w:rFonts w:ascii="Arial" w:cs="Arial" w:eastAsia="Arial" w:hAnsi="Arial"/>
          <w:sz w:val="15"/>
          <w:szCs w:val="15"/>
          <w:color w:val="auto"/>
        </w:rPr>
        <w:t>The Company computes earnings per share (“EPS”) in accordance with ASC 260, Earnings Per Share. ASC 260 requires companies with complex capital structures to present basic and diluted EPS. Basic EPS is measured as net income divided by the weighted average shares outstanding during the period.</w:t>
      </w:r>
    </w:p>
    <w:p>
      <w:pPr>
        <w:spacing w:after="0" w:line="186" w:lineRule="exact"/>
        <w:rPr>
          <w:sz w:val="20"/>
          <w:szCs w:val="20"/>
          <w:color w:val="auto"/>
        </w:rPr>
      </w:pPr>
    </w:p>
    <w:p>
      <w:pPr>
        <w:ind w:right="100" w:firstLine="600"/>
        <w:spacing w:after="0" w:line="246" w:lineRule="auto"/>
        <w:rPr>
          <w:sz w:val="20"/>
          <w:szCs w:val="20"/>
          <w:color w:val="auto"/>
        </w:rPr>
      </w:pPr>
      <w:r>
        <w:rPr>
          <w:rFonts w:ascii="Arial" w:cs="Arial" w:eastAsia="Arial" w:hAnsi="Arial"/>
          <w:sz w:val="15"/>
          <w:szCs w:val="15"/>
          <w:color w:val="auto"/>
        </w:rPr>
        <w:t>Diluted EPS is similar to basic EPS but presents the dilutive effect on a per share basis of contracts to issue shares (e.g., equity awards) as if they had been converted at the beginning of the periods presented, or issuance date, if later. The computation of diluted EPS includes the estimated impact of the exercise of contracts to purchase common stock using the treasury stock method. Potential shares that have an anti-dilutive effect (i.e., those that increase earnings per share or decrease loss per share) are excluded from the calculation of diluted EPS.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Risk concentration</w:t>
      </w:r>
    </w:p>
    <w:p>
      <w:pPr>
        <w:spacing w:after="0" w:line="220" w:lineRule="exact"/>
        <w:rPr>
          <w:sz w:val="20"/>
          <w:szCs w:val="20"/>
          <w:color w:val="auto"/>
        </w:rPr>
      </w:pPr>
    </w:p>
    <w:p>
      <w:pPr>
        <w:ind w:right="280" w:firstLine="600"/>
        <w:spacing w:after="0" w:line="253" w:lineRule="auto"/>
        <w:rPr>
          <w:sz w:val="20"/>
          <w:szCs w:val="20"/>
          <w:color w:val="auto"/>
        </w:rPr>
      </w:pPr>
      <w:r>
        <w:rPr>
          <w:rFonts w:ascii="Arial" w:cs="Arial" w:eastAsia="Arial" w:hAnsi="Arial"/>
          <w:sz w:val="15"/>
          <w:szCs w:val="15"/>
          <w:color w:val="auto"/>
        </w:rPr>
        <w:t>Accounts receivable from one single customer represented 11% and 15% of trade accounts receivables, net of allowance, as of October 31, 2020 and 2019, respectively.</w:t>
      </w:r>
    </w:p>
    <w:p>
      <w:pPr>
        <w:spacing w:after="0" w:line="186"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Sales to our top 10 customers amounted to approximately 64%, 60%, and 57% of our net sales for the years ended October 31, 2020, 2019, and 2018, respectively. For the year ended October 31, 2020, two single customers represented 12% and 10% of net sales, respectively. For the year ended October 31, 2019, one single customer represented 15% of net sales. For the year ended October 31, 2018, two single customers each represented 12% and 11% of net sales, respectively. All of these customers were from our Marketing and Distribution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Recently adopted accounting standards</w:t>
      </w:r>
    </w:p>
    <w:p>
      <w:pPr>
        <w:spacing w:after="0" w:line="220"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In September 2018, the Financial Accounting Standards Board (“FASB”) issued ASU 2018-15, Intangibles-Goodwill and Other-Internal-Use Software (Subtopic 350-40), Customer’s Accounting for Implementation Costs Incurred in a Cloud Computing Arrangement That is a Service Contract. This ASU requires implementation costs incurred by customers in cloud computing arrangements (i.e., hosting 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The Company adopted the new standard early as permitted by the standard, during the fourth quarter of fiscal year 2020, on a prospective basis. As a result of the adoption, cloud hosting implementation costs will be capitalized in prepaid expenses and other current assets and other assets in the consolidated balance sheets and amortized over their expected life.</w:t>
      </w:r>
    </w:p>
    <w:p>
      <w:pPr>
        <w:spacing w:after="0" w:line="192"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In May 2014, the FASB issued ASU 2014-09, Revenue from Contracts with Customers, and subsequent updates following, which is a comprehensive new recognition standard that supersedes previous existing revenue recognition guidance. The standard is intended to clarify the principles of recognizing revenue and create common revenue recognition guidance between GAAP and International Financial Reporting Standards. The new standard consists of a comprehensive model which requires the recognition of revenue when control of promised goods are transferred to customers in an amount that reflects the consideration to which the entity expects to be entitled. It also requires expanded disclosures surrounding revenue recognition. The standard (including clarification guidance issued) is effective for fiscal periods beginning after December 15, 2018. The Company adopted the new standard at the beginning of fiscal year 2020 using the modified retrospective transition method, under which the cumulative effect of initially applying the new guidance is recognized as an adjustment to the opening balance of retained earnings on the first day of our 2020 fiscal year. The adoption of the amendment did not have an impact on the Company’s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Recently issued accounting standards</w:t>
      </w:r>
    </w:p>
    <w:p>
      <w:pPr>
        <w:spacing w:after="0" w:line="220"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As a company with less than $1.07 billion of revenue during our last fiscal year, we qualify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94"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In August 2020, the FASB issued ASU 2020-06, Debt with Conversion and Other Options (Subtopic 470-20) and Derivatives and Hedging- Contracts in Entity’s Own Equity (Subtopic 815-40), to reduce the complexity associated with applying GAAP principles for certain financial instruments with characteristics of liabilities and equity. The amendments in this ASU reduce the number of accounting models for convertible instruments and expand the existing disclosure requirements over EPS as it relates to convertible instruments. This ASU will be effective for our fiscal year beginning November 1, 2024 and interim periods therein. Early adoption is permitted, but no earlier than fiscal years beginning after December 15, 2020. The amendments may be adopted through either a modified retrospective method, or a fully retrospective method. The Company is evaluating the impact of the adoption of this ASU on our financial condition, results of operations and cash flows.</w:t>
      </w:r>
    </w:p>
    <w:p>
      <w:pPr>
        <w:spacing w:after="0" w:line="193"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In March 2020, the FASB issued ASU 2020-04, Reference Rate Reform,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1240"/>
          </w:cols>
          <w:pgMar w:left="320" w:top="175"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0"/>
        <w:spacing w:after="0" w:line="288" w:lineRule="auto"/>
        <w:rPr>
          <w:sz w:val="20"/>
          <w:szCs w:val="20"/>
          <w:color w:val="auto"/>
        </w:rPr>
      </w:pPr>
      <w:r>
        <w:rPr>
          <w:rFonts w:ascii="Arial" w:cs="Arial" w:eastAsia="Arial" w:hAnsi="Arial"/>
          <w:sz w:val="14"/>
          <w:szCs w:val="14"/>
          <w:color w:val="auto"/>
        </w:rPr>
        <w:t>expected to be discontinued as a result of reference rate reform. The optional expedients in this ASU are available for adoption as of March 12, 2020 through December 31, 2022. The Company is evaluating the impact of the adoption of this ASU on our financial condition, results of operations and cash flows.</w:t>
      </w:r>
    </w:p>
    <w:p>
      <w:pPr>
        <w:spacing w:after="0" w:line="164" w:lineRule="exact"/>
        <w:rPr>
          <w:sz w:val="20"/>
          <w:szCs w:val="20"/>
          <w:color w:val="auto"/>
        </w:rPr>
      </w:pPr>
    </w:p>
    <w:p>
      <w:pPr>
        <w:ind w:right="180" w:firstLine="600"/>
        <w:spacing w:after="0" w:line="245" w:lineRule="auto"/>
        <w:rPr>
          <w:sz w:val="20"/>
          <w:szCs w:val="20"/>
          <w:color w:val="auto"/>
        </w:rPr>
      </w:pPr>
      <w:r>
        <w:rPr>
          <w:rFonts w:ascii="Arial" w:cs="Arial" w:eastAsia="Arial" w:hAnsi="Arial"/>
          <w:sz w:val="15"/>
          <w:szCs w:val="15"/>
          <w:color w:val="auto"/>
        </w:rPr>
        <w:t>In December 2019, the FASB issued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This ASU will be effective for us beginning November 1, 2022. The Company is continuing to assess the impact of the adoption of this ASU on our financial condition, results of operations and cash flows.</w:t>
      </w:r>
    </w:p>
    <w:p>
      <w:pPr>
        <w:spacing w:after="0" w:line="194"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In June 2016, the FASB issued ASU No. 2016-13, Financial Instruments—Credit Losses (Topic 326), Measurement of Credit Losses on Financial Instruments. This guidance requires financial assets measured at amortized cost basis to be presented at the net amount expected to be collected. It also requires credit losses on available-for-sale debt securities to be presented as an allowance, rather than reducing the carrying amount. The amendments should be applied on either a prospective transition or modified-retrospective approach depending on the subtopic. This ASU will be effective for us beginning November 1, 2023. Early adoption is permitted. The Company is evaluating the impact of the adoption of this ASU on our financial condition, results of operations and cash flows.</w:t>
      </w:r>
    </w:p>
    <w:p>
      <w:pPr>
        <w:spacing w:after="0" w:line="194"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In February 2016, the FASB issued ASU 2016-02, Leases (Topic 842), and subsequent updates following, which requires a dual approach for lessee accounting under which a lessee would account for leases as finance leases or operating leases. Both finance leases and operating leases will result in the lessee recognizing a right-of use asset (“ROU”)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Topic 842 is effective for our fiscal year beginning November 1, 2022 and interim periods within our fiscal year beginning November 1, 2023. Though we are still evaluating the impact of the adoption of this ASU on our financial condition, results of operations and cash flows, we expect to report increased assets and liabilities as a result of recording right-of-use assets and lease liabilities.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0" w:type="dxa"/>
            <w:vAlign w:val="bottom"/>
          </w:tcPr>
          <w:p>
            <w:pPr>
              <w:spacing w:after="0"/>
              <w:rPr>
                <w:sz w:val="20"/>
                <w:szCs w:val="20"/>
                <w:color w:val="auto"/>
              </w:rPr>
            </w:pPr>
            <w:r>
              <w:rPr>
                <w:rFonts w:ascii="Arial" w:cs="Arial" w:eastAsia="Arial" w:hAnsi="Arial"/>
                <w:sz w:val="20"/>
                <w:szCs w:val="20"/>
                <w:b w:val="1"/>
                <w:bCs w:val="1"/>
                <w:color w:val="232F84"/>
              </w:rPr>
              <w:t>3.</w:t>
            </w:r>
          </w:p>
        </w:tc>
        <w:tc>
          <w:tcPr>
            <w:tcW w:w="8200" w:type="dxa"/>
            <w:vAlign w:val="bottom"/>
          </w:tcPr>
          <w:p>
            <w:pPr>
              <w:ind w:left="60"/>
              <w:spacing w:after="0"/>
              <w:rPr>
                <w:sz w:val="20"/>
                <w:szCs w:val="20"/>
                <w:color w:val="auto"/>
              </w:rPr>
            </w:pPr>
            <w:r>
              <w:rPr>
                <w:rFonts w:ascii="Arial" w:cs="Arial" w:eastAsia="Arial" w:hAnsi="Arial"/>
                <w:sz w:val="20"/>
                <w:szCs w:val="20"/>
                <w:b w:val="1"/>
                <w:bCs w:val="1"/>
                <w:color w:val="232F84"/>
              </w:rPr>
              <w:t>Details of Certain Account Balances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71"/>
        </w:trPr>
        <w:tc>
          <w:tcPr>
            <w:tcW w:w="8580" w:type="dxa"/>
            <w:vAlign w:val="bottom"/>
            <w:gridSpan w:val="2"/>
          </w:tcPr>
          <w:p>
            <w:pPr>
              <w:spacing w:after="0"/>
              <w:rPr>
                <w:sz w:val="20"/>
                <w:szCs w:val="20"/>
                <w:color w:val="auto"/>
              </w:rPr>
            </w:pPr>
            <w:r>
              <w:rPr>
                <w:rFonts w:ascii="Arial" w:cs="Arial" w:eastAsia="Arial" w:hAnsi="Arial"/>
                <w:sz w:val="15"/>
                <w:szCs w:val="15"/>
                <w:b w:val="1"/>
                <w:bCs w:val="1"/>
                <w:i w:val="1"/>
                <w:iCs w:val="1"/>
                <w:color w:val="232F84"/>
              </w:rPr>
              <w:t>Inventory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380" w:type="dxa"/>
            <w:vAlign w:val="bottom"/>
          </w:tcPr>
          <w:p>
            <w:pPr>
              <w:spacing w:after="0"/>
              <w:rPr>
                <w:sz w:val="24"/>
                <w:szCs w:val="24"/>
                <w:color w:val="auto"/>
              </w:rPr>
            </w:pPr>
          </w:p>
        </w:tc>
        <w:tc>
          <w:tcPr>
            <w:tcW w:w="8200" w:type="dxa"/>
            <w:vAlign w:val="bottom"/>
          </w:tcPr>
          <w:p>
            <w:pPr>
              <w:ind w:left="220"/>
              <w:spacing w:after="0"/>
              <w:rPr>
                <w:sz w:val="20"/>
                <w:szCs w:val="20"/>
                <w:color w:val="auto"/>
              </w:rPr>
            </w:pPr>
            <w:r>
              <w:rPr>
                <w:rFonts w:ascii="Arial" w:cs="Arial" w:eastAsia="Arial" w:hAnsi="Arial"/>
                <w:sz w:val="15"/>
                <w:szCs w:val="15"/>
                <w:color w:val="auto"/>
              </w:rPr>
              <w:t>Major classes of inventory were as follows: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8"/>
        </w:trPr>
        <w:tc>
          <w:tcPr>
            <w:tcW w:w="3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October 31,</w:t>
            </w:r>
          </w:p>
        </w:tc>
        <w:tc>
          <w:tcPr>
            <w:tcW w:w="860" w:type="dxa"/>
            <w:vAlign w:val="bottom"/>
            <w:tcBorders>
              <w:bottom w:val="single" w:sz="8" w:color="auto"/>
            </w:tcBorders>
          </w:tcPr>
          <w:p>
            <w:pPr>
              <w:spacing w:after="0"/>
              <w:rPr>
                <w:sz w:val="24"/>
                <w:szCs w:val="24"/>
                <w:color w:val="auto"/>
              </w:rPr>
            </w:pPr>
          </w:p>
        </w:tc>
      </w:tr>
      <w:tr>
        <w:trPr>
          <w:trHeight w:val="192"/>
        </w:trPr>
        <w:tc>
          <w:tcPr>
            <w:tcW w:w="8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97"/>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16.3</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195"/>
        </w:trPr>
        <w:tc>
          <w:tcPr>
            <w:tcW w:w="8580" w:type="dxa"/>
            <w:vAlign w:val="bottom"/>
            <w:gridSpan w:val="2"/>
          </w:tcPr>
          <w:p>
            <w:pPr>
              <w:ind w:left="20"/>
              <w:spacing w:after="0"/>
              <w:rPr>
                <w:sz w:val="20"/>
                <w:szCs w:val="20"/>
                <w:color w:val="auto"/>
              </w:rPr>
            </w:pPr>
            <w:r>
              <w:rPr>
                <w:rFonts w:ascii="Arial" w:cs="Arial" w:eastAsia="Arial" w:hAnsi="Arial"/>
                <w:sz w:val="13"/>
                <w:szCs w:val="13"/>
                <w:color w:val="auto"/>
              </w:rPr>
              <w:t>Crop growing costs</w:t>
            </w:r>
          </w:p>
        </w:tc>
        <w:tc>
          <w:tcPr>
            <w:tcW w:w="28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11.9</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200"/>
        </w:trPr>
        <w:tc>
          <w:tcPr>
            <w:tcW w:w="8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Packaging and supplies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10.4</w:t>
            </w: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92"/>
        </w:trPr>
        <w:tc>
          <w:tcPr>
            <w:tcW w:w="8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Inventory</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38.6</w:t>
            </w: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r>
      <w:tr>
        <w:trPr>
          <w:trHeight w:val="466"/>
        </w:trPr>
        <w:tc>
          <w:tcPr>
            <w:tcW w:w="8580" w:type="dxa"/>
            <w:vAlign w:val="bottom"/>
            <w:gridSpan w:val="2"/>
          </w:tcPr>
          <w:p>
            <w:pPr>
              <w:spacing w:after="0"/>
              <w:rPr>
                <w:sz w:val="20"/>
                <w:szCs w:val="20"/>
                <w:color w:val="auto"/>
              </w:rPr>
            </w:pPr>
            <w:r>
              <w:rPr>
                <w:rFonts w:ascii="Arial" w:cs="Arial" w:eastAsia="Arial" w:hAnsi="Arial"/>
                <w:sz w:val="15"/>
                <w:szCs w:val="15"/>
                <w:b w:val="1"/>
                <w:bCs w:val="1"/>
                <w:i w:val="1"/>
                <w:iCs w:val="1"/>
                <w:color w:val="232F84"/>
              </w:rPr>
              <w:t>Property, plant and equipment, net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380" w:type="dxa"/>
            <w:vAlign w:val="bottom"/>
          </w:tcPr>
          <w:p>
            <w:pPr>
              <w:spacing w:after="0"/>
              <w:rPr>
                <w:sz w:val="24"/>
                <w:szCs w:val="24"/>
                <w:color w:val="auto"/>
              </w:rPr>
            </w:pPr>
          </w:p>
        </w:tc>
        <w:tc>
          <w:tcPr>
            <w:tcW w:w="8200" w:type="dxa"/>
            <w:vAlign w:val="bottom"/>
          </w:tcPr>
          <w:p>
            <w:pPr>
              <w:ind w:left="220"/>
              <w:spacing w:after="0"/>
              <w:rPr>
                <w:sz w:val="20"/>
                <w:szCs w:val="20"/>
                <w:color w:val="auto"/>
              </w:rPr>
            </w:pPr>
            <w:r>
              <w:rPr>
                <w:rFonts w:ascii="Arial" w:cs="Arial" w:eastAsia="Arial" w:hAnsi="Arial"/>
                <w:sz w:val="15"/>
                <w:szCs w:val="15"/>
                <w:color w:val="auto"/>
              </w:rPr>
              <w:t>Property, plant and equipment, net,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8"/>
        </w:trPr>
        <w:tc>
          <w:tcPr>
            <w:tcW w:w="3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October 31,</w:t>
            </w:r>
          </w:p>
        </w:tc>
        <w:tc>
          <w:tcPr>
            <w:tcW w:w="860" w:type="dxa"/>
            <w:vAlign w:val="bottom"/>
            <w:tcBorders>
              <w:bottom w:val="single" w:sz="8" w:color="auto"/>
            </w:tcBorders>
          </w:tcPr>
          <w:p>
            <w:pPr>
              <w:spacing w:after="0"/>
              <w:rPr>
                <w:sz w:val="24"/>
                <w:szCs w:val="24"/>
                <w:color w:val="auto"/>
              </w:rPr>
            </w:pPr>
          </w:p>
        </w:tc>
      </w:tr>
      <w:tr>
        <w:trPr>
          <w:trHeight w:val="192"/>
        </w:trPr>
        <w:tc>
          <w:tcPr>
            <w:tcW w:w="8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97"/>
        </w:trPr>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8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131.0</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r>
      <w:tr>
        <w:trPr>
          <w:trHeight w:val="195"/>
        </w:trPr>
        <w:tc>
          <w:tcPr>
            <w:tcW w:w="8580" w:type="dxa"/>
            <w:vAlign w:val="bottom"/>
            <w:gridSpan w:val="2"/>
          </w:tcPr>
          <w:p>
            <w:pPr>
              <w:ind w:left="20"/>
              <w:spacing w:after="0"/>
              <w:rPr>
                <w:sz w:val="20"/>
                <w:szCs w:val="20"/>
                <w:color w:val="auto"/>
              </w:rPr>
            </w:pPr>
            <w:r>
              <w:rPr>
                <w:rFonts w:ascii="Arial" w:cs="Arial" w:eastAsia="Arial" w:hAnsi="Arial"/>
                <w:sz w:val="13"/>
                <w:szCs w:val="13"/>
                <w:color w:val="auto"/>
              </w:rPr>
              <w:t>Orchard costs</w:t>
            </w:r>
          </w:p>
        </w:tc>
        <w:tc>
          <w:tcPr>
            <w:tcW w:w="28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50.2</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44.7</w:t>
            </w:r>
          </w:p>
        </w:tc>
      </w:tr>
      <w:tr>
        <w:trPr>
          <w:trHeight w:val="205"/>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Buildings and improvements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73.3</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r>
      <w:tr>
        <w:trPr>
          <w:trHeight w:val="195"/>
        </w:trPr>
        <w:tc>
          <w:tcPr>
            <w:tcW w:w="8580" w:type="dxa"/>
            <w:vAlign w:val="bottom"/>
            <w:gridSpan w:val="2"/>
          </w:tcPr>
          <w:p>
            <w:pPr>
              <w:ind w:left="20"/>
              <w:spacing w:after="0"/>
              <w:rPr>
                <w:sz w:val="20"/>
                <w:szCs w:val="20"/>
                <w:color w:val="auto"/>
              </w:rPr>
            </w:pPr>
            <w:r>
              <w:rPr>
                <w:rFonts w:ascii="Arial" w:cs="Arial" w:eastAsia="Arial" w:hAnsi="Arial"/>
                <w:sz w:val="13"/>
                <w:szCs w:val="13"/>
                <w:color w:val="auto"/>
              </w:rPr>
              <w:t>Plant and office equipment</w:t>
            </w:r>
          </w:p>
        </w:tc>
        <w:tc>
          <w:tcPr>
            <w:tcW w:w="28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150.7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137.1</w:t>
            </w:r>
          </w:p>
        </w:tc>
      </w:tr>
      <w:tr>
        <w:trPr>
          <w:trHeight w:val="200"/>
        </w:trPr>
        <w:tc>
          <w:tcPr>
            <w:tcW w:w="8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Construction-in-progress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55.0</w:t>
            </w: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92"/>
        </w:trPr>
        <w:tc>
          <w:tcPr>
            <w:tcW w:w="858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460.2</w:t>
            </w:r>
          </w:p>
        </w:tc>
        <w:tc>
          <w:tcPr>
            <w:tcW w:w="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393.8</w:t>
            </w:r>
          </w:p>
        </w:tc>
      </w:tr>
      <w:tr>
        <w:trPr>
          <w:trHeight w:val="200"/>
        </w:trPr>
        <w:tc>
          <w:tcPr>
            <w:tcW w:w="8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w:t>
            </w:r>
          </w:p>
        </w:tc>
      </w:tr>
      <w:tr>
        <w:trPr>
          <w:trHeight w:val="192"/>
        </w:trPr>
        <w:tc>
          <w:tcPr>
            <w:tcW w:w="8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Property, plant and equipment, net</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379.1</w:t>
            </w: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330.3</w:t>
            </w:r>
          </w:p>
        </w:tc>
      </w:tr>
    </w:tbl>
    <w:p>
      <w:pPr>
        <w:spacing w:after="0" w:line="289" w:lineRule="exact"/>
        <w:rPr>
          <w:sz w:val="20"/>
          <w:szCs w:val="20"/>
          <w:color w:val="auto"/>
        </w:rPr>
      </w:pPr>
    </w:p>
    <w:p>
      <w:pPr>
        <w:jc w:val="both"/>
        <w:ind w:right="20" w:firstLine="600"/>
        <w:spacing w:after="0" w:line="253" w:lineRule="auto"/>
        <w:rPr>
          <w:sz w:val="20"/>
          <w:szCs w:val="20"/>
          <w:color w:val="auto"/>
        </w:rPr>
      </w:pPr>
      <w:r>
        <w:rPr>
          <w:rFonts w:ascii="Arial" w:cs="Arial" w:eastAsia="Arial" w:hAnsi="Arial"/>
          <w:sz w:val="15"/>
          <w:szCs w:val="15"/>
          <w:color w:val="auto"/>
        </w:rPr>
        <w:t>Property, plant and equipment, net, included various capital leases which totaled $5.7 million and $5.6 million, less accumulated depreciation of $0.6 million and $0.3 million as of October 31, 2020 and 2019, respectively.</w:t>
      </w:r>
    </w:p>
    <w:p>
      <w:pPr>
        <w:spacing w:after="0" w:line="200" w:lineRule="exact"/>
        <w:rPr>
          <w:sz w:val="20"/>
          <w:szCs w:val="20"/>
          <w:color w:val="auto"/>
        </w:rPr>
      </w:pP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1200"/>
          </w:cols>
          <w:pgMar w:left="320" w:top="175" w:right="37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0" w:firstLine="600"/>
        <w:spacing w:after="0" w:line="253" w:lineRule="auto"/>
        <w:rPr>
          <w:sz w:val="20"/>
          <w:szCs w:val="20"/>
          <w:color w:val="auto"/>
        </w:rPr>
      </w:pPr>
      <w:r>
        <w:rPr>
          <w:rFonts w:ascii="Arial" w:cs="Arial" w:eastAsia="Arial" w:hAnsi="Arial"/>
          <w:sz w:val="15"/>
          <w:szCs w:val="15"/>
          <w:color w:val="auto"/>
        </w:rPr>
        <w:t>Depreciation expense was $18.1 million, $16.5 million, and $9.4 million for the years ended October 31, 2020, 2019, and 2018, respectively, of which $0.3 million, $0.3 million, and less than $0.1 million was for depreciation on capital leases, respectively.</w:t>
      </w:r>
    </w:p>
    <w:p>
      <w:pPr>
        <w:spacing w:after="0" w:line="186" w:lineRule="exact"/>
        <w:rPr>
          <w:sz w:val="20"/>
          <w:szCs w:val="20"/>
          <w:color w:val="auto"/>
        </w:rPr>
      </w:pPr>
    </w:p>
    <w:p>
      <w:pPr>
        <w:ind w:firstLine="600"/>
        <w:spacing w:after="0" w:line="253" w:lineRule="auto"/>
        <w:rPr>
          <w:sz w:val="20"/>
          <w:szCs w:val="20"/>
          <w:color w:val="auto"/>
        </w:rPr>
      </w:pPr>
      <w:r>
        <w:rPr>
          <w:rFonts w:ascii="Arial" w:cs="Arial" w:eastAsia="Arial" w:hAnsi="Arial"/>
          <w:sz w:val="15"/>
          <w:szCs w:val="15"/>
          <w:color w:val="auto"/>
        </w:rPr>
        <w:t>As of October 31, 2020, $2.1 million of property, plant and equipment, net was held for sale, and accordingly classified in prepaid and other current assets in the consolidated balance sheets. The assets were sold during November 2020 at a gain of $0.2 million.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Accrued expenses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Accrued expenses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October 31,</w:t>
            </w:r>
          </w:p>
        </w:tc>
        <w:tc>
          <w:tcPr>
            <w:tcW w:w="860" w:type="dxa"/>
            <w:vAlign w:val="bottom"/>
            <w:tcBorders>
              <w:bottom w:val="single" w:sz="8" w:color="auto"/>
            </w:tcBorders>
          </w:tcPr>
          <w:p>
            <w:pPr>
              <w:spacing w:after="0"/>
              <w:rPr>
                <w:sz w:val="15"/>
                <w:szCs w:val="15"/>
                <w:color w:val="auto"/>
              </w:rPr>
            </w:pPr>
          </w:p>
        </w:tc>
      </w:t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97"/>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compensation</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15.3</w:t>
            </w:r>
          </w:p>
        </w:tc>
        <w:tc>
          <w:tcPr>
            <w:tcW w:w="46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95"/>
        </w:trPr>
        <w:tc>
          <w:tcPr>
            <w:tcW w:w="8580" w:type="dxa"/>
            <w:vAlign w:val="bottom"/>
          </w:tcPr>
          <w:p>
            <w:pPr>
              <w:ind w:left="20"/>
              <w:spacing w:after="0"/>
              <w:rPr>
                <w:sz w:val="20"/>
                <w:szCs w:val="20"/>
                <w:color w:val="auto"/>
              </w:rPr>
            </w:pPr>
            <w:r>
              <w:rPr>
                <w:rFonts w:ascii="Arial" w:cs="Arial" w:eastAsia="Arial" w:hAnsi="Arial"/>
                <w:sz w:val="13"/>
                <w:szCs w:val="13"/>
                <w:color w:val="auto"/>
              </w:rPr>
              <w:t>Freight</w:t>
            </w:r>
          </w:p>
        </w:tc>
        <w:tc>
          <w:tcPr>
            <w:tcW w:w="28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4.4</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5"/>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8580" w:type="dxa"/>
            <w:vAlign w:val="bottom"/>
          </w:tcPr>
          <w:p>
            <w:pPr>
              <w:ind w:left="20"/>
              <w:spacing w:after="0"/>
              <w:rPr>
                <w:sz w:val="20"/>
                <w:szCs w:val="20"/>
                <w:color w:val="auto"/>
              </w:rPr>
            </w:pPr>
            <w:r>
              <w:rPr>
                <w:rFonts w:ascii="Arial" w:cs="Arial" w:eastAsia="Arial" w:hAnsi="Arial"/>
                <w:sz w:val="13"/>
                <w:szCs w:val="13"/>
                <w:color w:val="auto"/>
              </w:rPr>
              <w:t>Construction-in-progress</w:t>
            </w:r>
          </w:p>
        </w:tc>
        <w:tc>
          <w:tcPr>
            <w:tcW w:w="28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1.8</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4.6</w:t>
            </w: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expenses</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28.3</w:t>
            </w: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Other long-term liabilities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 long-term liabilities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October 31,</w:t>
            </w:r>
          </w:p>
        </w:tc>
        <w:tc>
          <w:tcPr>
            <w:tcW w:w="860" w:type="dxa"/>
            <w:vAlign w:val="bottom"/>
            <w:tcBorders>
              <w:bottom w:val="single" w:sz="8" w:color="auto"/>
            </w:tcBorders>
          </w:tcPr>
          <w:p>
            <w:pPr>
              <w:spacing w:after="0"/>
              <w:rPr>
                <w:sz w:val="15"/>
                <w:szCs w:val="15"/>
                <w:color w:val="auto"/>
              </w:rPr>
            </w:pPr>
          </w:p>
        </w:tc>
      </w:t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97"/>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Uncertain tax positions</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13.9</w:t>
            </w:r>
          </w:p>
        </w:tc>
        <w:tc>
          <w:tcPr>
            <w:tcW w:w="46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95"/>
        </w:trPr>
        <w:tc>
          <w:tcPr>
            <w:tcW w:w="8580" w:type="dxa"/>
            <w:vAlign w:val="bottom"/>
          </w:tcPr>
          <w:p>
            <w:pPr>
              <w:ind w:left="20"/>
              <w:spacing w:after="0"/>
              <w:rPr>
                <w:sz w:val="20"/>
                <w:szCs w:val="20"/>
                <w:color w:val="auto"/>
              </w:rPr>
            </w:pPr>
            <w:r>
              <w:rPr>
                <w:rFonts w:ascii="Arial" w:cs="Arial" w:eastAsia="Arial" w:hAnsi="Arial"/>
                <w:sz w:val="13"/>
                <w:szCs w:val="13"/>
                <w:color w:val="auto"/>
              </w:rPr>
              <w:t>Interest rate swaps</w:t>
            </w:r>
          </w:p>
        </w:tc>
        <w:tc>
          <w:tcPr>
            <w:tcW w:w="28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4.3</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05"/>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compensation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95"/>
        </w:trPr>
        <w:tc>
          <w:tcPr>
            <w:tcW w:w="8580" w:type="dxa"/>
            <w:vAlign w:val="bottom"/>
          </w:tcPr>
          <w:p>
            <w:pPr>
              <w:ind w:left="20"/>
              <w:spacing w:after="0"/>
              <w:rPr>
                <w:sz w:val="20"/>
                <w:szCs w:val="20"/>
                <w:color w:val="auto"/>
              </w:rPr>
            </w:pPr>
            <w:r>
              <w:rPr>
                <w:rFonts w:ascii="Arial" w:cs="Arial" w:eastAsia="Arial" w:hAnsi="Arial"/>
                <w:sz w:val="13"/>
                <w:szCs w:val="13"/>
                <w:color w:val="auto"/>
              </w:rPr>
              <w:t>Deferred rent</w:t>
            </w:r>
          </w:p>
        </w:tc>
        <w:tc>
          <w:tcPr>
            <w:tcW w:w="28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1.4</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2.9</w:t>
            </w: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long-term liabilities</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24.3</w:t>
            </w: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Other (expense) income, net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 (expense) income, net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3"/>
                <w:szCs w:val="13"/>
                <w:b w:val="1"/>
                <w:bCs w:val="1"/>
                <w:color w:val="auto"/>
              </w:rPr>
              <w:t>Year Ended October 31,</w:t>
            </w:r>
          </w:p>
        </w:tc>
        <w:tc>
          <w:tcPr>
            <w:tcW w:w="980" w:type="dxa"/>
            <w:vAlign w:val="bottom"/>
            <w:tcBorders>
              <w:bottom w:val="single" w:sz="8" w:color="auto"/>
            </w:tcBorders>
          </w:tcPr>
          <w:p>
            <w:pPr>
              <w:spacing w:after="0"/>
              <w:rPr>
                <w:sz w:val="15"/>
                <w:szCs w:val="15"/>
                <w:color w:val="auto"/>
              </w:rPr>
            </w:pPr>
          </w:p>
        </w:tc>
      </w:t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2018</w:t>
            </w:r>
          </w:p>
        </w:tc>
      </w:tr>
      <w:tr>
        <w:trPr>
          <w:trHeight w:val="197"/>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derivative financial instruments</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7240" w:type="dxa"/>
            <w:vAlign w:val="bottom"/>
          </w:tcPr>
          <w:p>
            <w:pPr>
              <w:ind w:left="20"/>
              <w:spacing w:after="0"/>
              <w:rPr>
                <w:sz w:val="20"/>
                <w:szCs w:val="20"/>
                <w:color w:val="auto"/>
              </w:rPr>
            </w:pPr>
            <w:r>
              <w:rPr>
                <w:rFonts w:ascii="Arial" w:cs="Arial" w:eastAsia="Arial" w:hAnsi="Arial"/>
                <w:sz w:val="13"/>
                <w:szCs w:val="13"/>
                <w:color w:val="auto"/>
              </w:rPr>
              <w:t>Realized losses on derivative financial instruments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32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gains and (losses)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95"/>
        </w:trPr>
        <w:tc>
          <w:tcPr>
            <w:tcW w:w="724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2.4</w:t>
            </w:r>
          </w:p>
        </w:tc>
        <w:tc>
          <w:tcPr>
            <w:tcW w:w="32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1.7</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05"/>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extinguishment costs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95"/>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r>
      <w:tr>
        <w:trPr>
          <w:trHeight w:val="192"/>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bl>
    <w:p>
      <w:pPr>
        <w:spacing w:after="0" w:line="200" w:lineRule="exact"/>
        <w:rPr>
          <w:sz w:val="20"/>
          <w:szCs w:val="20"/>
          <w:color w:val="auto"/>
        </w:rPr>
      </w:pPr>
    </w:p>
    <w:p>
      <w:pPr>
        <w:spacing w:after="0" w:line="307" w:lineRule="exact"/>
        <w:rPr>
          <w:sz w:val="20"/>
          <w:szCs w:val="20"/>
          <w:color w:val="auto"/>
        </w:rPr>
      </w:pPr>
    </w:p>
    <w:p>
      <w:pPr>
        <w:ind w:left="440" w:hanging="440"/>
        <w:spacing w:after="0"/>
        <w:tabs>
          <w:tab w:leader="none" w:pos="440" w:val="left"/>
        </w:tabs>
        <w:numPr>
          <w:ilvl w:val="0"/>
          <w:numId w:val="25"/>
        </w:numPr>
        <w:rPr>
          <w:rFonts w:ascii="Arial" w:cs="Arial" w:eastAsia="Arial" w:hAnsi="Arial"/>
          <w:sz w:val="20"/>
          <w:szCs w:val="20"/>
          <w:b w:val="1"/>
          <w:bCs w:val="1"/>
          <w:color w:val="232F84"/>
        </w:rPr>
      </w:pPr>
      <w:r>
        <w:rPr>
          <w:rFonts w:ascii="Arial" w:cs="Arial" w:eastAsia="Arial" w:hAnsi="Arial"/>
          <w:sz w:val="20"/>
          <w:szCs w:val="20"/>
          <w:b w:val="1"/>
          <w:bCs w:val="1"/>
          <w:color w:val="232F84"/>
        </w:rPr>
        <w:t>Acquisitions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Prior to September 20, 2018, the Company owned 50% of the outstanding capital stock of Grupo Arato and 30% of the outstanding capital stock of Moruga Inc.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SAC (“Moruga”). The Company had historically accounted for these investments under the equity method of accounting.</w:t>
      </w:r>
    </w:p>
    <w:p>
      <w:pPr>
        <w:spacing w:after="0" w:line="202"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Grupo Arato owns, farms, packs and sells avocados to the Company, with the Company marketing and distributing substantially all of the supply produced by Grupo Arato. Prior to September 20, 2018 the Company owned 50% of Grupo Arato, and the remaining 50% was owned by a third party (Shareholder B) who was a pre-existing shareholder of the Company.</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1200"/>
          </w:cols>
          <w:pgMar w:left="320" w:top="175"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Moruga is an entity that develops and operates blueberry orchards on land owned by Grupo Arato as well as land leased from third parties. The fruit is marketed for sale in domestic and foreign markets by a third-party. Moruga predominantly farms blueberries on land that cannot grow avocados due to the conditions of the land (i.e. the altitude and slope of the land) and allows the Company to utilize its hourly labor force during the time in which the harvests have been completed for the avocados. The blueberry operation is not a core business of the Company, and the Company does not plan on changing its strategy and further expanding into blueberries. Prior to September 20, 2018, the Company owned 30% of the capital stock of Moruga, Shareholder B owned 30% of the capital stock and another independent third party (Shareholder C) owned 40% of the capital stock.</w:t>
      </w:r>
    </w:p>
    <w:p>
      <w:pPr>
        <w:spacing w:after="0" w:line="193" w:lineRule="exact"/>
        <w:rPr>
          <w:sz w:val="20"/>
          <w:szCs w:val="20"/>
          <w:color w:val="auto"/>
        </w:rPr>
      </w:pPr>
    </w:p>
    <w:p>
      <w:pPr>
        <w:ind w:right="100" w:firstLine="600"/>
        <w:spacing w:after="0" w:line="245" w:lineRule="auto"/>
        <w:rPr>
          <w:sz w:val="20"/>
          <w:szCs w:val="20"/>
          <w:color w:val="auto"/>
        </w:rPr>
      </w:pPr>
      <w:r>
        <w:rPr>
          <w:rFonts w:ascii="Arial" w:cs="Arial" w:eastAsia="Arial" w:hAnsi="Arial"/>
          <w:sz w:val="15"/>
          <w:szCs w:val="15"/>
          <w:color w:val="auto"/>
        </w:rPr>
        <w:t>On September 20, 2018, the Company concurrently acquired all of Shareholder B’s interests in Grupo Arato and Moruga. Because the Company increased its ownership interest in Grupo Arato to 100%, the acquisition of Grupo Arato was accounted for in accordance with ASC 805, Business Combinations, by using the acquisition method of accounting. The Company evaluated the accounting treatment of its post-acquisition 60% ownership interest in Moruga in accordance with ASC 810, Consolidation, and concluded that the investment should continue to be accounted for under the equity method of accounting because the Company does not have a controlling financial interest in Moruga.</w:t>
      </w:r>
    </w:p>
    <w:p>
      <w:pPr>
        <w:spacing w:after="0" w:line="194"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The Company acquired the remaining outstanding capital stock of Grupo Arato to gain control of a significant volume of fruit at the source which the Company can then allocate to global markets and customers in a manner consistent with its financial and strategic objectives. The total consideration paid by the Company amounted to $163.1 million, which included $158.7 million to acquire the additional interests in Grupo Arato and Moruga, and $4.4 million to settle a pre-existing liability with Shareholder B. The consideration included cash consideration of $11.1 million, a short-term note payable to Shareholder B of $40 million, and the issuance of shares of common stock of the Company determined to have a fair value of $112 million. The short-term note payable was paid in full by October 31, 2018.</w:t>
      </w:r>
    </w:p>
    <w:p>
      <w:pPr>
        <w:spacing w:after="0" w:line="194" w:lineRule="exact"/>
        <w:rPr>
          <w:sz w:val="20"/>
          <w:szCs w:val="20"/>
          <w:color w:val="auto"/>
        </w:rPr>
      </w:pPr>
    </w:p>
    <w:p>
      <w:pPr>
        <w:ind w:right="20" w:firstLine="600"/>
        <w:spacing w:after="0" w:line="244" w:lineRule="auto"/>
        <w:rPr>
          <w:sz w:val="20"/>
          <w:szCs w:val="20"/>
          <w:color w:val="auto"/>
        </w:rPr>
      </w:pPr>
      <w:r>
        <w:rPr>
          <w:rFonts w:ascii="Arial" w:cs="Arial" w:eastAsia="Arial" w:hAnsi="Arial"/>
          <w:sz w:val="15"/>
          <w:szCs w:val="15"/>
          <w:color w:val="auto"/>
        </w:rPr>
        <w:t>A valuation analysis was performed by management, with the assistance of a third-party valuation specialist, to determine the fair value of the equity instruments issued by the Company as consideration, the fair value of Grupo Arato, and the fair value of the 30% interest acquired in Moruga. These values were determined by using discounted cash flows under the income approach, with the resulting values supported by using a market approach. The fair value of the common stock issued by the Company as purchase consideration was determined to be $107.6 million, the fair value of the 50% interest acquired in Grupo Arato was determined to be $121.8 million, and the fair value of the 30% interest acquired in Moruga was determined to be $36.9 million. The acquisition of Grupo Arato represents a business combination in stages. Accordingly, the Company recognized a $62 million remeasurement gain on the step-up of its non-controlling pre-acquisition interest in Grupo Arato which has been included in remeasurement gain on acquisition of equity method investee in the consolidated statements of comprehensive income. The remeasurement gain was calculated by subtracting the carrying balance of our investment in Grupo Arato of $59.7 million from the estimated fair value of our 50% interest in Grupo Arato determined just prior to our acquisition of the remaining 50% interest which was estimated to be $121.7 million.</w:t>
      </w:r>
    </w:p>
    <w:p>
      <w:pPr>
        <w:spacing w:after="0" w:line="196"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Determining fair values using the discounted cash flow method is based on significant inputs that are not observable in the market, which are defined as Level 3 inputs in accordance with ASC 820-10-35. Key assumptions used in determining the fair value of the common stock issued, the acquired interest in Grupo Arato, and the 30% acquired interest in Moruga using the discounted cash flows include the determination of the weighted average cost of capital used to discount the cash flows, assumptions around future revenue growth, profitability, and capital expenditures. The weighted average discount rate used to determine the fair value of the common stock issued, the 50% acquired interest in Grupo Arato and the 30% acquired interest in Moruga was 10%, 15% and 15%, respectively.</w:t>
      </w:r>
    </w:p>
    <w:p>
      <w:pPr>
        <w:spacing w:after="0" w:line="194" w:lineRule="exact"/>
        <w:rPr>
          <w:sz w:val="20"/>
          <w:szCs w:val="20"/>
          <w:color w:val="auto"/>
        </w:rPr>
      </w:pPr>
    </w:p>
    <w:p>
      <w:pPr>
        <w:ind w:right="540" w:firstLine="600"/>
        <w:spacing w:after="0" w:line="253" w:lineRule="auto"/>
        <w:rPr>
          <w:sz w:val="20"/>
          <w:szCs w:val="20"/>
          <w:color w:val="auto"/>
        </w:rPr>
      </w:pPr>
      <w:r>
        <w:rPr>
          <w:rFonts w:ascii="Arial" w:cs="Arial" w:eastAsia="Arial" w:hAnsi="Arial"/>
          <w:sz w:val="15"/>
          <w:szCs w:val="15"/>
          <w:color w:val="auto"/>
        </w:rPr>
        <w:t>The following table summarizes the consideration paid for Grupo Arato and the amounts of the assets acquired and liabilities assumed recognized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for shares)</w:t>
            </w:r>
          </w:p>
        </w:tc>
        <w:tc>
          <w:tcPr>
            <w:tcW w:w="26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Consideration</w:t>
            </w:r>
          </w:p>
        </w:tc>
      </w:tr>
      <w:tr>
        <w:trPr>
          <w:trHeight w:val="197"/>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2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95"/>
        </w:trPr>
        <w:tc>
          <w:tcPr>
            <w:tcW w:w="6960" w:type="dxa"/>
            <w:vAlign w:val="bottom"/>
          </w:tcPr>
          <w:p>
            <w:pPr>
              <w:ind w:left="20"/>
              <w:spacing w:after="0"/>
              <w:rPr>
                <w:sz w:val="20"/>
                <w:szCs w:val="20"/>
                <w:color w:val="auto"/>
              </w:rPr>
            </w:pPr>
            <w:r>
              <w:rPr>
                <w:rFonts w:ascii="Arial" w:cs="Arial" w:eastAsia="Arial" w:hAnsi="Arial"/>
                <w:sz w:val="13"/>
                <w:szCs w:val="13"/>
                <w:color w:val="auto"/>
              </w:rPr>
              <w:t>Short-term notes</w:t>
            </w:r>
          </w:p>
        </w:tc>
        <w:tc>
          <w:tcPr>
            <w:tcW w:w="2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200"/>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Equity instruments (11,903,094 shares of the Company’s common stock)</w:t>
            </w:r>
          </w:p>
        </w:tc>
        <w:tc>
          <w:tcPr>
            <w:tcW w:w="26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r>
      <w:tr>
        <w:trPr>
          <w:trHeight w:val="192"/>
        </w:trPr>
        <w:tc>
          <w:tcPr>
            <w:tcW w:w="6960" w:type="dxa"/>
            <w:vAlign w:val="bottom"/>
          </w:tcPr>
          <w:p>
            <w:pPr>
              <w:ind w:left="20"/>
              <w:spacing w:after="0"/>
              <w:rPr>
                <w:sz w:val="20"/>
                <w:szCs w:val="20"/>
                <w:color w:val="auto"/>
              </w:rPr>
            </w:pPr>
            <w:r>
              <w:rPr>
                <w:rFonts w:ascii="Arial" w:cs="Arial" w:eastAsia="Arial" w:hAnsi="Arial"/>
                <w:sz w:val="13"/>
                <w:szCs w:val="13"/>
                <w:color w:val="auto"/>
              </w:rPr>
              <w:t>Fair value of consideration issued</w:t>
            </w:r>
          </w:p>
        </w:tc>
        <w:tc>
          <w:tcPr>
            <w:tcW w:w="2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163.1</w:t>
            </w:r>
          </w:p>
        </w:tc>
      </w:tr>
      <w:tr>
        <w:trPr>
          <w:trHeight w:val="205"/>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fair value of the consideration issued to settle liability to Shareholder B</w:t>
            </w:r>
          </w:p>
        </w:tc>
        <w:tc>
          <w:tcPr>
            <w:tcW w:w="26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9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fair value of the consideration issued allocated to Moruga</w:t>
            </w:r>
          </w:p>
        </w:tc>
        <w:tc>
          <w:tcPr>
            <w:tcW w:w="26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r>
      <w:tr>
        <w:trPr>
          <w:trHeight w:val="192"/>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Fair value consideration issued to acquire a 50% interest in Grupo Arato</w:t>
            </w:r>
          </w:p>
        </w:tc>
        <w:tc>
          <w:tcPr>
            <w:tcW w:w="2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w:t>
            </w:r>
          </w:p>
        </w:tc>
      </w:tr>
      <w:tr>
        <w:trPr>
          <w:trHeight w:val="192"/>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Grupo Arato at 100%</w:t>
            </w:r>
          </w:p>
        </w:tc>
        <w:tc>
          <w:tcPr>
            <w:tcW w:w="2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243.5</w:t>
            </w:r>
          </w:p>
        </w:tc>
      </w:tr>
      <w:tr>
        <w:trPr>
          <w:trHeight w:val="197"/>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Recognized amounts of identifiable assets acquired and liabilities assumed</w:t>
            </w:r>
          </w:p>
        </w:tc>
        <w:tc>
          <w:tcPr>
            <w:tcW w:w="2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5"/>
        </w:trPr>
        <w:tc>
          <w:tcPr>
            <w:tcW w:w="69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48.0</w:t>
            </w:r>
          </w:p>
        </w:tc>
      </w:tr>
      <w:tr>
        <w:trPr>
          <w:trHeight w:val="205"/>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6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r>
      <w:tr>
        <w:trPr>
          <w:trHeight w:val="195"/>
        </w:trPr>
        <w:tc>
          <w:tcPr>
            <w:tcW w:w="6960" w:type="dxa"/>
            <w:vAlign w:val="bottom"/>
          </w:tcPr>
          <w:p>
            <w:pPr>
              <w:ind w:left="20"/>
              <w:spacing w:after="0"/>
              <w:rPr>
                <w:sz w:val="20"/>
                <w:szCs w:val="20"/>
                <w:color w:val="auto"/>
              </w:rPr>
            </w:pPr>
            <w:r>
              <w:rPr>
                <w:rFonts w:ascii="Arial" w:cs="Arial" w:eastAsia="Arial" w:hAnsi="Arial"/>
                <w:sz w:val="13"/>
                <w:szCs w:val="13"/>
                <w:color w:val="auto"/>
              </w:rPr>
              <w:t>Goodwill</w:t>
            </w:r>
          </w:p>
        </w:tc>
        <w:tc>
          <w:tcPr>
            <w:tcW w:w="2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76.4</w:t>
            </w:r>
          </w:p>
        </w:tc>
      </w:tr>
      <w:tr>
        <w:trPr>
          <w:trHeight w:val="205"/>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6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95"/>
        </w:trPr>
        <w:tc>
          <w:tcPr>
            <w:tcW w:w="696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(29.8)</w:t>
            </w:r>
          </w:p>
        </w:tc>
      </w:tr>
      <w:tr>
        <w:trPr>
          <w:trHeight w:val="200"/>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26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92"/>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identifiable assets</w:t>
            </w:r>
          </w:p>
        </w:tc>
        <w:tc>
          <w:tcPr>
            <w:tcW w:w="2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243.5</w:t>
            </w:r>
          </w:p>
        </w:tc>
      </w:tr>
    </w:tbl>
    <w:p>
      <w:pPr>
        <w:spacing w:after="0" w:line="200" w:lineRule="exact"/>
        <w:rPr>
          <w:sz w:val="20"/>
          <w:szCs w:val="20"/>
          <w:color w:val="auto"/>
        </w:rPr>
      </w:pPr>
    </w:p>
    <w:p>
      <w:pPr>
        <w:spacing w:after="0" w:line="314"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1240"/>
          </w:cols>
          <w:pgMar w:left="320" w:top="17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The $76.4 million allocated to goodwill on our consolidated balance sheets represents the excess of the purchase price over the values of assets acquired and liabilities assumed and is attributable to improved coordination of the supply chain resulting from vertical integration. The goodwill is not tax deductible. We recognized $0.3 million of acquisition related costs in which have been included in selling, general and administrative expenses in the consolidated statements of comprehensive income. The unaudited, pro forma consolidated statements of comprehensive income as if Grupo Arato had been included in the consolidated results of the Company as of the beginning of the year ended October 31, 2018 would have resulted in revenues of $862.3 million and net income of $82.7 million for the year ended October 31, 2018. Included in the unaudited pro forma net income for the year ended October 31, 2018 is the remeasurement gain of $62 million, which has been reduced by income taxes of $13 million.</w:t>
      </w:r>
    </w:p>
    <w:p>
      <w:pPr>
        <w:spacing w:after="0" w:line="398" w:lineRule="exact"/>
        <w:rPr>
          <w:sz w:val="20"/>
          <w:szCs w:val="20"/>
          <w:color w:val="auto"/>
        </w:rPr>
      </w:pPr>
    </w:p>
    <w:p>
      <w:pPr>
        <w:ind w:left="440" w:hanging="440"/>
        <w:spacing w:after="0"/>
        <w:tabs>
          <w:tab w:leader="none" w:pos="440" w:val="left"/>
        </w:tabs>
        <w:numPr>
          <w:ilvl w:val="0"/>
          <w:numId w:val="26"/>
        </w:numPr>
        <w:rPr>
          <w:rFonts w:ascii="Arial" w:cs="Arial" w:eastAsia="Arial" w:hAnsi="Arial"/>
          <w:sz w:val="20"/>
          <w:szCs w:val="20"/>
          <w:b w:val="1"/>
          <w:bCs w:val="1"/>
          <w:color w:val="232F84"/>
        </w:rPr>
      </w:pPr>
      <w:r>
        <w:rPr>
          <w:rFonts w:ascii="Arial" w:cs="Arial" w:eastAsia="Arial" w:hAnsi="Arial"/>
          <w:sz w:val="20"/>
          <w:szCs w:val="20"/>
          <w:b w:val="1"/>
          <w:bCs w:val="1"/>
          <w:color w:val="232F84"/>
        </w:rPr>
        <w:t>Equity Method Investees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Henry Avocado</w:t>
      </w:r>
    </w:p>
    <w:p>
      <w:pPr>
        <w:spacing w:after="0" w:line="220" w:lineRule="exact"/>
        <w:rPr>
          <w:sz w:val="20"/>
          <w:szCs w:val="20"/>
          <w:color w:val="auto"/>
        </w:rPr>
      </w:pPr>
    </w:p>
    <w:p>
      <w:pPr>
        <w:ind w:right="160" w:firstLine="600"/>
        <w:spacing w:after="0" w:line="245" w:lineRule="auto"/>
        <w:rPr>
          <w:sz w:val="20"/>
          <w:szCs w:val="20"/>
          <w:color w:val="auto"/>
        </w:rPr>
      </w:pPr>
      <w:r>
        <w:rPr>
          <w:rFonts w:ascii="Arial" w:cs="Arial" w:eastAsia="Arial" w:hAnsi="Arial"/>
          <w:sz w:val="15"/>
          <w:szCs w:val="15"/>
          <w:color w:val="auto"/>
        </w:rPr>
        <w:t>The Company owns a 49% interest in Henry Avocado Corporation (“Henry Avocado”), based in Escondido, California. Henry Avocado packs, distributes and sells fresh avocados in the domestic market from California growers and also imports packed Chilean and Mexican avocados. Henry Avocado also operates a farm management and orchard leasing business where it performs various farming functions on behalf of growers. There is a basis difference between the Company’s historical investment in Henry Avocado and the amount recorded in members’ capital by the investee of $4.0 million as of October 31, 2020 and 2019, comprised solely of goodwill.</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Mr. Avocado</w:t>
      </w:r>
    </w:p>
    <w:p>
      <w:pPr>
        <w:spacing w:after="0" w:line="220" w:lineRule="exact"/>
        <w:rPr>
          <w:sz w:val="20"/>
          <w:szCs w:val="20"/>
          <w:color w:val="auto"/>
        </w:rPr>
      </w:pPr>
    </w:p>
    <w:p>
      <w:pPr>
        <w:jc w:val="both"/>
        <w:ind w:right="140" w:firstLine="600"/>
        <w:spacing w:after="0" w:line="248" w:lineRule="auto"/>
        <w:rPr>
          <w:sz w:val="20"/>
          <w:szCs w:val="20"/>
          <w:color w:val="auto"/>
        </w:rPr>
      </w:pPr>
      <w:r>
        <w:rPr>
          <w:rFonts w:ascii="Arial" w:cs="Arial" w:eastAsia="Arial" w:hAnsi="Arial"/>
          <w:sz w:val="15"/>
          <w:szCs w:val="15"/>
          <w:color w:val="auto"/>
        </w:rPr>
        <w:t>The Company owns a 33% interest in Shanghai Mr. Avocado Limited (“Mr. Avocado”), a Chinese joint venture enterprise, through its Mission Produce Asia Ltd. subsidiary. The primary business operations include the marketing, ripening and distribution of fresh avocados within China. The entity was established in April 2017 to begin distribution through a single cold-storage and distribution facility.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Moruga</w:t>
      </w:r>
    </w:p>
    <w:p>
      <w:pPr>
        <w:spacing w:after="0" w:line="220"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 Company owns a 60% interest in Moruga. Moruga’s primary business activity is to develop and operate blueberry farms. The entity was established in August 2014 to begin small-scale plantings. Refer to Note 4 for additional information. There is a basis difference between the Company’s historical investment in Moruga and the amount of underlying equity in net assets of $10.3 million and $31.9 million as of October 31, 2020 and 2019, respectively. The basis difference is primarily comprised of goodwill.</w:t>
      </w:r>
    </w:p>
    <w:p>
      <w:pPr>
        <w:spacing w:after="0" w:line="193" w:lineRule="exact"/>
        <w:rPr>
          <w:sz w:val="20"/>
          <w:szCs w:val="20"/>
          <w:color w:val="auto"/>
        </w:rPr>
      </w:pPr>
    </w:p>
    <w:p>
      <w:pPr>
        <w:ind w:right="120" w:firstLine="600"/>
        <w:spacing w:after="0" w:line="245" w:lineRule="auto"/>
        <w:rPr>
          <w:sz w:val="20"/>
          <w:szCs w:val="20"/>
          <w:color w:val="auto"/>
        </w:rPr>
      </w:pPr>
      <w:r>
        <w:rPr>
          <w:rFonts w:ascii="Arial" w:cs="Arial" w:eastAsia="Arial" w:hAnsi="Arial"/>
          <w:sz w:val="15"/>
          <w:szCs w:val="15"/>
          <w:color w:val="auto"/>
        </w:rPr>
        <w:t>During the second quarter of fiscal year 2020, industry-wide production information regarding the 2019-2020 blueberry harvest in Peru became available, indicating that there is greater competition and expansion by competitors than what we were previously expecting. We believe that the increase in supply due to expansion will result in a reduction in pricing over the long-term. As a result of this factor, among others, management lowered its long-term revenue and profitability forecasts of Moruga during the second quarter of 2020 and concluded that the reduction in the forecasted revenues was an indicator of impairment. As a result, management tested its investment in Moruga for impairment and concluded that the estimated fair value of the investment in Moruga was less than the carrying value of the investment. Due to the change in long-term pricing and revenue expectations, management concluded that the impairment is other-than-temporary.</w:t>
      </w:r>
    </w:p>
    <w:p>
      <w:pPr>
        <w:spacing w:after="0" w:line="193"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The Company recorded an impairment charge of $21.2 million to reduce the carrying balance of the investment to its estimated fair value of $22.2 million during the second quarter of fiscal year 2020. The fair value of the investment is a Level 3 measurement in the fair value hierarchy and management estimated the fair value of the investment, with the assistance of a third-party valuation specialist, using a combination of the guideline publicly-traded companies (“GPC”) method under the market approach and the discounted cash flow (“DCF”) method under the income approach. We applied an equal weighting to the value conclusions resulting from the two employed approaches, because there was sufficient information available to estimate the fair value of the investment under both methods.</w:t>
      </w:r>
    </w:p>
    <w:p>
      <w:pPr>
        <w:spacing w:after="0" w:line="194"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Under the GPC method, valuation multiples are calculated from the operating data and market metrics of the guideline publicly traded companies and the selected multiples are evaluated and adjusted based on the strengths and weaknesses of the entity relative to the comparable guideline publicly-traded companies. The most significant input used to estimate the fair value of the investment under the GPC method is the selected Business Enterprise Value (“BEV”) to EBITDA multiple. We utilized the derived BEV to EBITDA multiples of the guideline publicly traded companies to select a multiple of 10.5x for the first forecast year and 10.0x for the second forecast year. The median and mean BEV to EBITDA multiple of the comparable publicly traded entities that we evaluated was 12.3x and 12.8x, respectively.</w:t>
      </w:r>
    </w:p>
    <w:p>
      <w:pPr>
        <w:spacing w:after="0" w:line="194"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Under the DCF method, the most significant inputs used to estimate the fair value of the investment are the cash flow projections, which are most sensitive to the revenue projections, and the weighted average cost of capital (or discount rate) which is used to discount and present value the projected cash flows. For our revenue projections, we assumed a compounded annual growth rate of 4.8% for the discrete forecast period from 2020 to 2030, prior to reaching the terminal period. The weighted average cost of capital was estimated using a capital asset pricing model and the discount rate used to present value the future cash flows was 9.0%.</w:t>
      </w:r>
    </w:p>
    <w:p>
      <w:pPr>
        <w:spacing w:after="0" w:line="200" w:lineRule="exact"/>
        <w:rPr>
          <w:sz w:val="20"/>
          <w:szCs w:val="20"/>
          <w:color w:val="auto"/>
        </w:rPr>
      </w:pPr>
    </w:p>
    <w:p>
      <w:pPr>
        <w:spacing w:after="0" w:line="21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1240"/>
          </w:cols>
          <w:pgMar w:left="320" w:top="17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Copaltas</w:t>
      </w:r>
    </w:p>
    <w:p>
      <w:pPr>
        <w:spacing w:after="0" w:line="220" w:lineRule="exact"/>
        <w:rPr>
          <w:sz w:val="20"/>
          <w:szCs w:val="20"/>
          <w:color w:val="auto"/>
        </w:rPr>
      </w:pPr>
    </w:p>
    <w:p>
      <w:pPr>
        <w:ind w:right="700" w:firstLine="600"/>
        <w:spacing w:after="0" w:line="253" w:lineRule="auto"/>
        <w:rPr>
          <w:sz w:val="20"/>
          <w:szCs w:val="20"/>
          <w:color w:val="auto"/>
        </w:rPr>
      </w:pPr>
      <w:r>
        <w:rPr>
          <w:rFonts w:ascii="Arial" w:cs="Arial" w:eastAsia="Arial" w:hAnsi="Arial"/>
          <w:sz w:val="15"/>
          <w:szCs w:val="15"/>
          <w:color w:val="auto"/>
        </w:rPr>
        <w:t>The Company owns a 50% interest in Copaltas S.A.S. (“Copaltas”), a Colombian joint venture enterprise. The primary business operations include the development and operation of avocado farms within Colombia. The entity was established in December 2017.</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Cabilfrut</w:t>
      </w:r>
    </w:p>
    <w:p>
      <w:pPr>
        <w:spacing w:after="0" w:line="220"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 Company owned a 50% interest in Agricola y Comercial Cabilfrut S.A. (“Cabilfrut”), organized and incorporated in Chile with its primary operations located in Cabildo, Valparaiso Region, Chile. The primary business operations included the packing, marketing and distribution of fresh avocados and citrus. In April 2018, the Company finalized an agreement to sell its entire interest in Cabilfrut for $6.1 million in cash. The Company recognized a gain of $0.1 million that was included in equity method income in the consolidated statements of comprehensive income during the year ended October 31, 2018. Transaction costs were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Grupo Arato</w:t>
      </w:r>
    </w:p>
    <w:p>
      <w:pPr>
        <w:spacing w:after="0" w:line="220" w:lineRule="exact"/>
        <w:rPr>
          <w:sz w:val="20"/>
          <w:szCs w:val="20"/>
          <w:color w:val="auto"/>
        </w:rPr>
      </w:pPr>
    </w:p>
    <w:p>
      <w:pPr>
        <w:ind w:right="160" w:firstLine="600"/>
        <w:spacing w:after="0" w:line="253" w:lineRule="auto"/>
        <w:rPr>
          <w:sz w:val="20"/>
          <w:szCs w:val="20"/>
          <w:color w:val="auto"/>
        </w:rPr>
      </w:pPr>
      <w:r>
        <w:rPr>
          <w:rFonts w:ascii="Arial" w:cs="Arial" w:eastAsia="Arial" w:hAnsi="Arial"/>
          <w:sz w:val="15"/>
          <w:szCs w:val="15"/>
          <w:color w:val="auto"/>
        </w:rPr>
        <w:t>The Company acquired the remaining 50% interest in Grupo Arato on September 20, 2018, and ceased accounting for its investment under the equity method on this date. Refer to Note 4 for additional information regarding Grupo Arato.</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Financial information for our equity method investees as of October 31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b w:val="1"/>
                <w:bCs w:val="1"/>
                <w:color w:val="auto"/>
              </w:rPr>
              <w:t>Mr.</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Henry Avocado</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Avocado</w:t>
            </w: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Moruga</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Copaltas</w:t>
            </w: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8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35.3</w:t>
            </w:r>
          </w:p>
        </w:tc>
        <w:tc>
          <w:tcPr>
            <w:tcW w:w="1080" w:type="dxa"/>
            <w:vAlign w:val="bottom"/>
          </w:tcPr>
          <w:p>
            <w:pPr>
              <w:jc w:val="right"/>
              <w:ind w:right="873"/>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2.6</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19.9</w:t>
            </w:r>
          </w:p>
        </w:tc>
        <w:tc>
          <w:tcPr>
            <w:tcW w:w="3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assets</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17.9</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20.1</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8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14.3</w:t>
            </w:r>
          </w:p>
        </w:tc>
        <w:tc>
          <w:tcPr>
            <w:tcW w:w="108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1.9</w:t>
            </w:r>
          </w:p>
        </w:tc>
        <w:tc>
          <w:tcPr>
            <w:tcW w:w="3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9.8</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liabilities</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10.6</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Sales</w:t>
            </w:r>
          </w:p>
        </w:tc>
        <w:tc>
          <w:tcPr>
            <w:tcW w:w="228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254.1</w:t>
            </w:r>
          </w:p>
        </w:tc>
        <w:tc>
          <w:tcPr>
            <w:tcW w:w="108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11.7</w:t>
            </w:r>
          </w:p>
        </w:tc>
        <w:tc>
          <w:tcPr>
            <w:tcW w:w="3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28.7</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22.8</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7.7</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2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4.4</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3.8</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2019</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8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45.2</w:t>
            </w:r>
          </w:p>
        </w:tc>
        <w:tc>
          <w:tcPr>
            <w:tcW w:w="1080" w:type="dxa"/>
            <w:vAlign w:val="bottom"/>
          </w:tcPr>
          <w:p>
            <w:pPr>
              <w:jc w:val="right"/>
              <w:ind w:right="873"/>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2.6</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15.8</w:t>
            </w:r>
          </w:p>
        </w:tc>
        <w:tc>
          <w:tcPr>
            <w:tcW w:w="3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assets</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16.9</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0.7</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18.5</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8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24.4</w:t>
            </w:r>
          </w:p>
        </w:tc>
        <w:tc>
          <w:tcPr>
            <w:tcW w:w="108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1.7</w:t>
            </w:r>
          </w:p>
        </w:tc>
        <w:tc>
          <w:tcPr>
            <w:tcW w:w="3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8.2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liabilities</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10.4</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7.3</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3300" w:type="dxa"/>
            <w:vAlign w:val="bottom"/>
          </w:tcPr>
          <w:p>
            <w:pPr>
              <w:ind w:left="20"/>
              <w:spacing w:after="0"/>
              <w:rPr>
                <w:sz w:val="20"/>
                <w:szCs w:val="20"/>
                <w:color w:val="auto"/>
              </w:rPr>
            </w:pPr>
            <w:r>
              <w:rPr>
                <w:rFonts w:ascii="Arial" w:cs="Arial" w:eastAsia="Arial" w:hAnsi="Arial"/>
                <w:sz w:val="13"/>
                <w:szCs w:val="13"/>
                <w:color w:val="auto"/>
              </w:rPr>
              <w:t>Sales</w:t>
            </w:r>
          </w:p>
        </w:tc>
        <w:tc>
          <w:tcPr>
            <w:tcW w:w="228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286.7</w:t>
            </w:r>
          </w:p>
        </w:tc>
        <w:tc>
          <w:tcPr>
            <w:tcW w:w="108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9.1</w:t>
            </w:r>
          </w:p>
        </w:tc>
        <w:tc>
          <w:tcPr>
            <w:tcW w:w="32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19.7</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26.9</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0.5</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(loss)</w:t>
            </w:r>
          </w:p>
        </w:tc>
        <w:tc>
          <w:tcPr>
            <w:tcW w:w="2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7.1</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bl>
    <w:p>
      <w:pPr>
        <w:spacing w:after="0" w:line="200" w:lineRule="exact"/>
        <w:rPr>
          <w:sz w:val="20"/>
          <w:szCs w:val="20"/>
          <w:color w:val="auto"/>
        </w:rPr>
      </w:pPr>
    </w:p>
    <w:p>
      <w:pPr>
        <w:spacing w:after="0" w:line="314"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1240"/>
          </w:cols>
          <w:pgMar w:left="320" w:top="17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Company’s investments in its equity method investees have been impacted by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93"/>
              <w:spacing w:after="0"/>
              <w:rPr>
                <w:sz w:val="20"/>
                <w:szCs w:val="20"/>
                <w:color w:val="auto"/>
              </w:rPr>
            </w:pPr>
            <w:r>
              <w:rPr>
                <w:rFonts w:ascii="Arial" w:cs="Arial" w:eastAsia="Arial" w:hAnsi="Arial"/>
                <w:sz w:val="13"/>
                <w:szCs w:val="13"/>
                <w:b w:val="1"/>
                <w:bCs w:val="1"/>
                <w:color w:val="auto"/>
              </w:rPr>
              <w:t>Mr.</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93"/>
              <w:spacing w:after="0"/>
              <w:rPr>
                <w:sz w:val="20"/>
                <w:szCs w:val="20"/>
                <w:color w:val="auto"/>
              </w:rPr>
            </w:pPr>
            <w:r>
              <w:rPr>
                <w:rFonts w:ascii="Arial" w:cs="Arial" w:eastAsia="Arial" w:hAnsi="Arial"/>
                <w:sz w:val="13"/>
                <w:szCs w:val="13"/>
                <w:b w:val="1"/>
                <w:bCs w:val="1"/>
                <w:color w:val="auto"/>
              </w:rPr>
              <w:t>Grupo</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160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b w:val="1"/>
                <w:bCs w:val="1"/>
                <w:color w:val="auto"/>
              </w:rPr>
              <w:t>Henry Avocado</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Avocado</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Moruga</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Copaltas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Cabilfrut</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Arato</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Total</w:t>
            </w: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balance October 31, 2017</w:t>
            </w:r>
          </w:p>
        </w:tc>
        <w:tc>
          <w:tcPr>
            <w:tcW w:w="9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14.1</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58.7</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Equity method income (losses)</w:t>
            </w:r>
          </w:p>
        </w:tc>
        <w:tc>
          <w:tcPr>
            <w:tcW w:w="9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44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8.4</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received</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Non-cash distributions</w:t>
            </w:r>
          </w:p>
        </w:tc>
        <w:tc>
          <w:tcPr>
            <w:tcW w:w="9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contributions</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Remeasurement gain</w:t>
            </w:r>
          </w:p>
        </w:tc>
        <w:tc>
          <w:tcPr>
            <w:tcW w:w="9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62.0</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62.0</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additional interests</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r>
      <w:tr>
        <w:trPr>
          <w:trHeight w:val="19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Sale of investment</w:t>
            </w:r>
          </w:p>
        </w:tc>
        <w:tc>
          <w:tcPr>
            <w:tcW w:w="9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balance October 31, 2018</w:t>
            </w:r>
          </w:p>
        </w:tc>
        <w:tc>
          <w:tcPr>
            <w:tcW w:w="9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15.3</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0.2</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Equity method income (losses)</w:t>
            </w:r>
          </w:p>
        </w:tc>
        <w:tc>
          <w:tcPr>
            <w:tcW w:w="9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(0.4)</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0.4</w:t>
            </w:r>
          </w:p>
        </w:tc>
        <w:tc>
          <w:tcPr>
            <w:tcW w:w="440" w:type="dxa"/>
            <w:vAlign w:val="bottom"/>
          </w:tcPr>
          <w:p>
            <w:pPr>
              <w:jc w:val="right"/>
              <w:ind w:right="261"/>
              <w:spacing w:after="0"/>
              <w:rPr>
                <w:sz w:val="20"/>
                <w:szCs w:val="20"/>
                <w:color w:val="auto"/>
              </w:rPr>
            </w:pPr>
            <w:r>
              <w:rPr>
                <w:rFonts w:ascii="Arial" w:cs="Arial" w:eastAsia="Arial" w:hAnsi="Arial"/>
                <w:sz w:val="9"/>
                <w:szCs w:val="9"/>
                <w:color w:val="auto"/>
                <w:w w:val="90"/>
              </w:rPr>
              <w:t>(1)</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received</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9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Investment contributions</w:t>
            </w:r>
          </w:p>
        </w:tc>
        <w:tc>
          <w:tcPr>
            <w:tcW w:w="9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0.7</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balance October 31, 2019</w:t>
            </w:r>
          </w:p>
        </w:tc>
        <w:tc>
          <w:tcPr>
            <w:tcW w:w="9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17.4</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Equity method income (losses)</w:t>
            </w:r>
          </w:p>
        </w:tc>
        <w:tc>
          <w:tcPr>
            <w:tcW w:w="9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440" w:type="dxa"/>
            <w:vAlign w:val="bottom"/>
          </w:tcPr>
          <w:p>
            <w:pPr>
              <w:jc w:val="right"/>
              <w:ind w:right="261"/>
              <w:spacing w:after="0"/>
              <w:rPr>
                <w:sz w:val="20"/>
                <w:szCs w:val="20"/>
                <w:color w:val="auto"/>
              </w:rPr>
            </w:pPr>
            <w:r>
              <w:rPr>
                <w:rFonts w:ascii="Arial" w:cs="Arial" w:eastAsia="Arial" w:hAnsi="Arial"/>
                <w:sz w:val="9"/>
                <w:szCs w:val="9"/>
                <w:color w:val="auto"/>
                <w:w w:val="90"/>
              </w:rPr>
              <w:t>(1)</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(0.5)</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95"/>
        </w:trPr>
        <w:tc>
          <w:tcPr>
            <w:tcW w:w="2760" w:type="dxa"/>
            <w:vAlign w:val="bottom"/>
          </w:tcPr>
          <w:p>
            <w:pPr>
              <w:ind w:left="20"/>
              <w:spacing w:after="0"/>
              <w:rPr>
                <w:sz w:val="20"/>
                <w:szCs w:val="20"/>
                <w:color w:val="auto"/>
              </w:rPr>
            </w:pPr>
            <w:r>
              <w:rPr>
                <w:rFonts w:ascii="Arial" w:cs="Arial" w:eastAsia="Arial" w:hAnsi="Arial"/>
                <w:sz w:val="13"/>
                <w:szCs w:val="13"/>
                <w:color w:val="auto"/>
              </w:rPr>
              <w:t>Dividends received</w:t>
            </w:r>
          </w:p>
        </w:tc>
        <w:tc>
          <w:tcPr>
            <w:tcW w:w="92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0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contributions</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9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Impairment</w:t>
            </w:r>
          </w:p>
        </w:tc>
        <w:tc>
          <w:tcPr>
            <w:tcW w:w="9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r>
      <w:tr>
        <w:trPr>
          <w:trHeight w:val="192"/>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Investment balance October 31, 2020</w:t>
            </w:r>
          </w:p>
        </w:tc>
        <w:tc>
          <w:tcPr>
            <w:tcW w:w="9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17.9</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0.4</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4.5</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w:t>
            </w:r>
          </w:p>
        </w:tc>
      </w:tr>
    </w:tbl>
    <w:p>
      <w:pPr>
        <w:spacing w:after="0" w:line="82" w:lineRule="exact"/>
        <w:rPr>
          <w:sz w:val="20"/>
          <w:szCs w:val="20"/>
          <w:color w:val="auto"/>
        </w:rPr>
      </w:pPr>
    </w:p>
    <w:p>
      <w:pPr>
        <w:ind w:left="160" w:right="100" w:hanging="160"/>
        <w:spacing w:after="0" w:line="214" w:lineRule="auto"/>
        <w:tabs>
          <w:tab w:leader="none" w:pos="165"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Included amortization of customer relationship intangible of $0.4 million and $0.6 million during the years ended October 31, 2020 and 2019, respectively. The customer relationship intangible was fully amortized as of October 31, 2020.</w:t>
      </w:r>
    </w:p>
    <w:p>
      <w:pPr>
        <w:spacing w:after="0" w:line="200" w:lineRule="exact"/>
        <w:rPr>
          <w:sz w:val="20"/>
          <w:szCs w:val="20"/>
          <w:color w:val="auto"/>
        </w:rPr>
      </w:pPr>
    </w:p>
    <w:p>
      <w:pPr>
        <w:spacing w:after="0" w:line="261" w:lineRule="exact"/>
        <w:rPr>
          <w:sz w:val="20"/>
          <w:szCs w:val="20"/>
          <w:color w:val="auto"/>
        </w:rPr>
      </w:pPr>
    </w:p>
    <w:p>
      <w:pPr>
        <w:ind w:left="440" w:hanging="440"/>
        <w:spacing w:after="0"/>
        <w:tabs>
          <w:tab w:leader="none" w:pos="440" w:val="left"/>
        </w:tabs>
        <w:numPr>
          <w:ilvl w:val="0"/>
          <w:numId w:val="28"/>
        </w:numPr>
        <w:rPr>
          <w:rFonts w:ascii="Arial" w:cs="Arial" w:eastAsia="Arial" w:hAnsi="Arial"/>
          <w:sz w:val="20"/>
          <w:szCs w:val="20"/>
          <w:b w:val="1"/>
          <w:bCs w:val="1"/>
          <w:color w:val="232F84"/>
        </w:rPr>
      </w:pPr>
      <w:r>
        <w:rPr>
          <w:rFonts w:ascii="Arial" w:cs="Arial" w:eastAsia="Arial" w:hAnsi="Arial"/>
          <w:sz w:val="20"/>
          <w:szCs w:val="20"/>
          <w:b w:val="1"/>
          <w:bCs w:val="1"/>
          <w:color w:val="232F84"/>
        </w:rPr>
        <w:t>Debt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Credit facilities</w:t>
      </w:r>
    </w:p>
    <w:p>
      <w:pPr>
        <w:spacing w:after="0" w:line="220"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In October 2018 the Company entered into a $275 million syndicated credit facility with Bank of America (“BoA”) Merrill Lynch. The credit facility is comprised of two senior term loans totaling $175 million (Term A-1 and Term A-2) and a revolving credit agreement providing up to $100 million in borrowings. The loans are secured by real property, personal property and the capital stock of the Company’s subsidiaries. Borrowings under the credit facility bear interest at a spread over LIBOR ranging from 1.50% to 2.75% depending on the Company’s leverage ratio. The credit facility also includes a swing line facility and an accordion feature which allows the Company to increase the borrowings by up to $125 million, with bank approval. We pay fees on unused commitments on the credit facility that accrue at rates ranging from 0.18% to 0.3% depending upon the Company’s leverage ratio.</w:t>
      </w:r>
    </w:p>
    <w:p>
      <w:pPr>
        <w:spacing w:after="0" w:line="193" w:lineRule="exact"/>
        <w:rPr>
          <w:sz w:val="20"/>
          <w:szCs w:val="20"/>
          <w:color w:val="auto"/>
        </w:rPr>
      </w:pPr>
    </w:p>
    <w:p>
      <w:pPr>
        <w:ind w:right="20" w:firstLine="600"/>
        <w:spacing w:after="0" w:line="248" w:lineRule="auto"/>
        <w:rPr>
          <w:sz w:val="20"/>
          <w:szCs w:val="20"/>
          <w:color w:val="auto"/>
        </w:rPr>
      </w:pPr>
      <w:r>
        <w:rPr>
          <w:rFonts w:ascii="Arial" w:cs="Arial" w:eastAsia="Arial" w:hAnsi="Arial"/>
          <w:sz w:val="15"/>
          <w:szCs w:val="15"/>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October 31, 2020, the Company was in compliance with all covenants of the credit facility.</w:t>
      </w:r>
    </w:p>
    <w:p>
      <w:pPr>
        <w:spacing w:after="0" w:line="190" w:lineRule="exact"/>
        <w:rPr>
          <w:sz w:val="20"/>
          <w:szCs w:val="20"/>
          <w:color w:val="auto"/>
        </w:rPr>
      </w:pPr>
    </w:p>
    <w:p>
      <w:pPr>
        <w:ind w:right="120" w:firstLine="600"/>
        <w:spacing w:after="0" w:line="248" w:lineRule="auto"/>
        <w:rPr>
          <w:sz w:val="20"/>
          <w:szCs w:val="20"/>
          <w:color w:val="auto"/>
        </w:rPr>
      </w:pPr>
      <w:r>
        <w:rPr>
          <w:rFonts w:ascii="Arial" w:cs="Arial" w:eastAsia="Arial" w:hAnsi="Arial"/>
          <w:sz w:val="15"/>
          <w:szCs w:val="15"/>
          <w:color w:val="auto"/>
        </w:rPr>
        <w:t>The Company capitalized debt issuance costs of $1.3 million and expensed $0.1 million of refinancing charges in connection with this credit facility during the year ended October 31, 2018. In addition, the Company paid $0.9 million of debt extinguishment costs on a former debt facility during the year ended October 31, 2018, which have been included in other (expense) income, net in the consolidated statements of</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1240"/>
          </w:cols>
          <w:pgMar w:left="320" w:top="17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80"/>
        <w:spacing w:after="0" w:line="253" w:lineRule="auto"/>
        <w:rPr>
          <w:sz w:val="20"/>
          <w:szCs w:val="20"/>
          <w:color w:val="auto"/>
        </w:rPr>
      </w:pPr>
      <w:r>
        <w:rPr>
          <w:rFonts w:ascii="Arial" w:cs="Arial" w:eastAsia="Arial" w:hAnsi="Arial"/>
          <w:sz w:val="15"/>
          <w:szCs w:val="15"/>
          <w:color w:val="auto"/>
        </w:rPr>
        <w:t>comprehensive income. Debt issuance costs are reflected as a reduction of long-term debt and amortized using the effective interest method over the term of the underlying debt.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Long-term debt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October 31</w:t>
            </w:r>
          </w:p>
        </w:tc>
        <w:tc>
          <w:tcPr>
            <w:tcW w:w="860" w:type="dxa"/>
            <w:vAlign w:val="bottom"/>
            <w:tcBorders>
              <w:bottom w:val="single" w:sz="8" w:color="auto"/>
            </w:tcBorders>
          </w:tcPr>
          <w:p>
            <w:pPr>
              <w:spacing w:after="0"/>
              <w:rPr>
                <w:sz w:val="15"/>
                <w:szCs w:val="15"/>
                <w:color w:val="auto"/>
              </w:rPr>
            </w:pPr>
          </w:p>
        </w:tc>
      </w:t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77"/>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Revolving line of credit. The interest rate is variable, based on LIBOR plus a spread that varies with the Company’s leverage ratio. As of</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31, 2020 and 2019, the interest rate was 1.90% and 3.54%, respectively. Interest is payable monthly and principal is due in full in</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2023.</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9"/>
        </w:trPr>
        <w:tc>
          <w:tcPr>
            <w:tcW w:w="8580" w:type="dxa"/>
            <w:vAlign w:val="bottom"/>
          </w:tcPr>
          <w:p>
            <w:pPr>
              <w:ind w:left="20"/>
              <w:spacing w:after="0"/>
              <w:rPr>
                <w:sz w:val="20"/>
                <w:szCs w:val="20"/>
                <w:color w:val="auto"/>
              </w:rPr>
            </w:pPr>
            <w:r>
              <w:rPr>
                <w:rFonts w:ascii="Arial" w:cs="Arial" w:eastAsia="Arial" w:hAnsi="Arial"/>
                <w:sz w:val="13"/>
                <w:szCs w:val="13"/>
                <w:color w:val="auto"/>
              </w:rPr>
              <w:t>Senior term loan (A-1). The interest rate is variable, based on LIBOR plus a spread that varies with the Company’s leverage ratio. As of</w:t>
            </w:r>
          </w:p>
        </w:tc>
        <w:tc>
          <w:tcPr>
            <w:tcW w:w="2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95.0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97.5</w:t>
            </w:r>
          </w:p>
        </w:tc>
      </w:tr>
      <w:tr>
        <w:trPr>
          <w:trHeight w:val="150"/>
        </w:trPr>
        <w:tc>
          <w:tcPr>
            <w:tcW w:w="8580" w:type="dxa"/>
            <w:vAlign w:val="bottom"/>
          </w:tcPr>
          <w:p>
            <w:pPr>
              <w:ind w:left="20"/>
              <w:spacing w:after="0"/>
              <w:rPr>
                <w:sz w:val="20"/>
                <w:szCs w:val="20"/>
                <w:color w:val="auto"/>
              </w:rPr>
            </w:pPr>
            <w:r>
              <w:rPr>
                <w:rFonts w:ascii="Arial" w:cs="Arial" w:eastAsia="Arial" w:hAnsi="Arial"/>
                <w:sz w:val="13"/>
                <w:szCs w:val="13"/>
                <w:color w:val="auto"/>
              </w:rPr>
              <w:t>October 31, 2020 and 2019, the interest rate was 1.90% and 3.54%, respectively. Interest is payable monthly, principal is payable quarterly and</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8580" w:type="dxa"/>
            <w:vAlign w:val="bottom"/>
          </w:tcPr>
          <w:p>
            <w:pPr>
              <w:ind w:left="20"/>
              <w:spacing w:after="0"/>
              <w:rPr>
                <w:sz w:val="20"/>
                <w:szCs w:val="20"/>
                <w:color w:val="auto"/>
              </w:rPr>
            </w:pPr>
            <w:r>
              <w:rPr>
                <w:rFonts w:ascii="Arial" w:cs="Arial" w:eastAsia="Arial" w:hAnsi="Arial"/>
                <w:sz w:val="13"/>
                <w:szCs w:val="13"/>
                <w:color w:val="auto"/>
              </w:rPr>
              <w:t>due in full in October 2023.</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4"/>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term loan (A-2). The interest rate is variable, based on LIBOR plus a spread that varies with the Company’s leverage ratio. As of</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73.5</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r>
      <w:tr>
        <w:trPr>
          <w:trHeight w:val="150"/>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31, 2020 and 2019, the interest rate was 2.40% and 4.04% respectively. Interest is payable monthly, principal is payable quarterly and</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full in October 2025.</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9"/>
        </w:trPr>
        <w:tc>
          <w:tcPr>
            <w:tcW w:w="8580" w:type="dxa"/>
            <w:vAlign w:val="bottom"/>
          </w:tcPr>
          <w:p>
            <w:pPr>
              <w:ind w:left="20"/>
              <w:spacing w:after="0"/>
              <w:rPr>
                <w:sz w:val="20"/>
                <w:szCs w:val="20"/>
                <w:color w:val="auto"/>
              </w:rPr>
            </w:pPr>
            <w:r>
              <w:rPr>
                <w:rFonts w:ascii="Arial" w:cs="Arial" w:eastAsia="Arial" w:hAnsi="Arial"/>
                <w:sz w:val="13"/>
                <w:szCs w:val="13"/>
                <w:color w:val="auto"/>
              </w:rPr>
              <w:t>Notes payable to BoA. Payable in monthly installments including interest at a weight average rate of 4.52% and 4.33% as of October 31, 2020</w:t>
            </w:r>
          </w:p>
        </w:tc>
        <w:tc>
          <w:tcPr>
            <w:tcW w:w="28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6.2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66"/>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and 2019, respectively. Principal is due September 2025.</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97"/>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long-term debt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174.7</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r>
      <w:tr>
        <w:trPr>
          <w:trHeight w:val="195"/>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debt issuance costs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(0.6)</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97"/>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net of debt issuance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174.1</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w:t>
            </w:r>
          </w:p>
        </w:tc>
      </w:tr>
      <w:tr>
        <w:trPr>
          <w:trHeight w:val="195"/>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current portion of long-term debt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(7.4)</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92"/>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Long-term debt, net of current portion</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166.7</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174.0</w:t>
            </w:r>
          </w:p>
        </w:tc>
      </w:tr>
    </w:tbl>
    <w:p>
      <w:pPr>
        <w:spacing w:after="0" w:line="2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October 31, 2020, future principal payments for our total debt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October 31,</w:t>
            </w:r>
          </w:p>
        </w:tc>
        <w:tc>
          <w:tcPr>
            <w:tcW w:w="4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(In millions)</w:t>
            </w:r>
          </w:p>
        </w:tc>
      </w:tr>
      <w:tr>
        <w:trPr>
          <w:trHeight w:val="197"/>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4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95"/>
        </w:trPr>
        <w:tc>
          <w:tcPr>
            <w:tcW w:w="5580" w:type="dxa"/>
            <w:vAlign w:val="bottom"/>
          </w:tcPr>
          <w:p>
            <w:pPr>
              <w:ind w:left="20"/>
              <w:spacing w:after="0"/>
              <w:rPr>
                <w:sz w:val="20"/>
                <w:szCs w:val="20"/>
                <w:color w:val="auto"/>
              </w:rPr>
            </w:pPr>
            <w:r>
              <w:rPr>
                <w:rFonts w:ascii="Arial" w:cs="Arial" w:eastAsia="Arial" w:hAnsi="Arial"/>
                <w:sz w:val="13"/>
                <w:szCs w:val="13"/>
                <w:color w:val="auto"/>
              </w:rPr>
              <w:t>2022</w:t>
            </w:r>
          </w:p>
        </w:tc>
        <w:tc>
          <w:tcPr>
            <w:tcW w:w="4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205"/>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4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r>
      <w:tr>
        <w:trPr>
          <w:trHeight w:val="195"/>
        </w:trPr>
        <w:tc>
          <w:tcPr>
            <w:tcW w:w="5580" w:type="dxa"/>
            <w:vAlign w:val="bottom"/>
          </w:tcPr>
          <w:p>
            <w:pPr>
              <w:ind w:left="20"/>
              <w:spacing w:after="0"/>
              <w:rPr>
                <w:sz w:val="20"/>
                <w:szCs w:val="20"/>
                <w:color w:val="auto"/>
              </w:rPr>
            </w:pPr>
            <w:r>
              <w:rPr>
                <w:rFonts w:ascii="Arial" w:cs="Arial" w:eastAsia="Arial" w:hAnsi="Arial"/>
                <w:sz w:val="13"/>
                <w:szCs w:val="13"/>
                <w:color w:val="auto"/>
              </w:rPr>
              <w:t>2024</w:t>
            </w:r>
          </w:p>
        </w:tc>
        <w:tc>
          <w:tcPr>
            <w:tcW w:w="4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205"/>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4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r>
      <w:tr>
        <w:trPr>
          <w:trHeight w:val="195"/>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4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5580" w:type="dxa"/>
            <w:vAlign w:val="bottom"/>
            <w:tcBorders>
              <w:bottom w:val="single" w:sz="8" w:color="auto"/>
            </w:tcBorders>
            <w:shd w:val="clear" w:color="auto" w:fill="CCEEFF"/>
          </w:tcPr>
          <w:p>
            <w:pPr>
              <w:spacing w:after="0"/>
              <w:rPr>
                <w:sz w:val="16"/>
                <w:szCs w:val="16"/>
                <w:color w:val="auto"/>
              </w:rPr>
            </w:pPr>
          </w:p>
        </w:tc>
        <w:tc>
          <w:tcPr>
            <w:tcW w:w="4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174.7</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Interest rate swaps</w:t>
      </w:r>
    </w:p>
    <w:p>
      <w:pPr>
        <w:spacing w:after="0" w:line="220" w:lineRule="exact"/>
        <w:rPr>
          <w:sz w:val="20"/>
          <w:szCs w:val="20"/>
          <w:color w:val="auto"/>
        </w:rPr>
      </w:pPr>
    </w:p>
    <w:p>
      <w:pPr>
        <w:ind w:right="100" w:firstLine="600"/>
        <w:spacing w:after="0" w:line="246" w:lineRule="auto"/>
        <w:rPr>
          <w:sz w:val="20"/>
          <w:szCs w:val="20"/>
          <w:color w:val="auto"/>
        </w:rPr>
      </w:pPr>
      <w:r>
        <w:rPr>
          <w:rFonts w:ascii="Arial" w:cs="Arial" w:eastAsia="Arial" w:hAnsi="Arial"/>
          <w:sz w:val="15"/>
          <w:szCs w:val="15"/>
          <w:color w:val="auto"/>
        </w:rPr>
        <w:t>During fiscal year 2019, the Company entered into four separate interest rate swaps with a total notional amount of $100 million to hedge changes in the variable interest rate on $100 million of principal value of the Company’s term loans. The Company has not designated the interest rate swaps as cash flow hedges, and as a result, changes in the fair value of the interest rate swaps have been recorded in other (expense) income, net in the consolidated statements of comprehensive income. Refer to Note 10 for more details.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Supplier financing arrangements</w:t>
      </w:r>
    </w:p>
    <w:p>
      <w:pPr>
        <w:spacing w:after="0" w:line="220"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The Company participated in various financing arrangements for the purchase of equipment under extended payment terms and interest rates ranging between 4.5% and 10.0%. As of October 31, 2020, all principal balances under these arrangements had been repaid. As of October 31, 2019, outstanding principal balances on these arrangements were $2.7 million and were included in accounts payable and other long-term liabilities in the consolidated balance sheets.</w:t>
      </w:r>
    </w:p>
    <w:p>
      <w:pPr>
        <w:spacing w:after="0" w:line="396" w:lineRule="exact"/>
        <w:rPr>
          <w:sz w:val="20"/>
          <w:szCs w:val="20"/>
          <w:color w:val="auto"/>
        </w:rPr>
      </w:pPr>
    </w:p>
    <w:p>
      <w:pPr>
        <w:ind w:left="440" w:hanging="440"/>
        <w:spacing w:after="0"/>
        <w:tabs>
          <w:tab w:leader="none" w:pos="440" w:val="left"/>
        </w:tabs>
        <w:numPr>
          <w:ilvl w:val="0"/>
          <w:numId w:val="29"/>
        </w:numPr>
        <w:rPr>
          <w:rFonts w:ascii="Arial" w:cs="Arial" w:eastAsia="Arial" w:hAnsi="Arial"/>
          <w:sz w:val="20"/>
          <w:szCs w:val="20"/>
          <w:b w:val="1"/>
          <w:bCs w:val="1"/>
          <w:color w:val="232F84"/>
        </w:rPr>
      </w:pPr>
      <w:r>
        <w:rPr>
          <w:rFonts w:ascii="Arial" w:cs="Arial" w:eastAsia="Arial" w:hAnsi="Arial"/>
          <w:sz w:val="20"/>
          <w:szCs w:val="20"/>
          <w:b w:val="1"/>
          <w:bCs w:val="1"/>
          <w:color w:val="232F84"/>
        </w:rPr>
        <w:t>Commitments and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Leases</w:t>
      </w:r>
    </w:p>
    <w:p>
      <w:pPr>
        <w:spacing w:after="0" w:line="220" w:lineRule="exact"/>
        <w:rPr>
          <w:sz w:val="20"/>
          <w:szCs w:val="20"/>
          <w:color w:val="auto"/>
        </w:rPr>
      </w:pPr>
    </w:p>
    <w:p>
      <w:pPr>
        <w:jc w:val="both"/>
        <w:ind w:right="400" w:firstLine="600"/>
        <w:spacing w:after="0" w:line="248" w:lineRule="auto"/>
        <w:rPr>
          <w:sz w:val="20"/>
          <w:szCs w:val="20"/>
          <w:color w:val="auto"/>
        </w:rPr>
      </w:pPr>
      <w:r>
        <w:rPr>
          <w:rFonts w:ascii="Arial" w:cs="Arial" w:eastAsia="Arial" w:hAnsi="Arial"/>
          <w:sz w:val="15"/>
          <w:szCs w:val="15"/>
          <w:color w:val="auto"/>
        </w:rPr>
        <w:t>We lease facilities, land, and equipment under operating leases, expiring at various dates through 2048. Certain of these leases have stipulated escalation provisions and require the payment of property taxes, insurance, maintenance and other costs. We also lease equipment under capital lease obligations, expiring at various dates through 2025. Capital lease obligations vary in amount and interest rates ranging from</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1240"/>
          </w:cols>
          <w:pgMar w:left="320" w:top="17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6.0% to 8.4%. Rent expense for operating leases for the years ended October 31, 2020, 2019, and 2018, was $5.2 million, $4.6 million, and $4 million, respectively, for facilities and $1.7 million, $1.5 million, and $1.6 million, respectively, for equipment.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October 31, 2020, future minimum lease payments under noncancelable agreements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(In millions)</w:t>
            </w:r>
          </w:p>
        </w:tc>
        <w:tc>
          <w:tcPr>
            <w:tcW w:w="1360" w:type="dxa"/>
            <w:vAlign w:val="bottom"/>
            <w:tcBorders>
              <w:bottom w:val="single" w:sz="8" w:color="auto"/>
            </w:tcBorders>
          </w:tcPr>
          <w:p>
            <w:pPr>
              <w:spacing w:after="0"/>
              <w:rPr>
                <w:sz w:val="15"/>
                <w:szCs w:val="15"/>
                <w:color w:val="auto"/>
              </w:rPr>
            </w:pPr>
          </w:p>
        </w:tc>
      </w:tr>
      <w:tr>
        <w:trPr>
          <w:trHeight w:val="19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October 31,</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Capital Leases</w:t>
            </w: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95"/>
        </w:trPr>
        <w:tc>
          <w:tcPr>
            <w:tcW w:w="7720" w:type="dxa"/>
            <w:vAlign w:val="bottom"/>
          </w:tcPr>
          <w:p>
            <w:pPr>
              <w:ind w:left="20"/>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4.7</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0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95"/>
        </w:trPr>
        <w:tc>
          <w:tcPr>
            <w:tcW w:w="7720" w:type="dxa"/>
            <w:vAlign w:val="bottom"/>
          </w:tcPr>
          <w:p>
            <w:pPr>
              <w:ind w:left="20"/>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20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95"/>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Minimum lease payments</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92"/>
        </w:trPr>
        <w:tc>
          <w:tcPr>
            <w:tcW w:w="7720" w:type="dxa"/>
            <w:vAlign w:val="bottom"/>
          </w:tcPr>
          <w:p>
            <w:pPr>
              <w:ind w:left="20"/>
              <w:spacing w:after="0"/>
              <w:rPr>
                <w:sz w:val="20"/>
                <w:szCs w:val="20"/>
                <w:color w:val="auto"/>
              </w:rPr>
            </w:pPr>
            <w:r>
              <w:rPr>
                <w:rFonts w:ascii="Arial" w:cs="Arial" w:eastAsia="Arial" w:hAnsi="Arial"/>
                <w:sz w:val="13"/>
                <w:szCs w:val="13"/>
                <w:color w:val="auto"/>
              </w:rPr>
              <w:t>Less interest</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00"/>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Present value of future lease payments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Other commitments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October 31, 2020, the Company had outstanding commitments for the purchase of property, plant and equipment totaling $4.3 million.</w:t>
      </w:r>
    </w:p>
    <w:p>
      <w:pPr>
        <w:spacing w:after="0" w:line="202" w:lineRule="exact"/>
        <w:rPr>
          <w:sz w:val="20"/>
          <w:szCs w:val="20"/>
          <w:color w:val="auto"/>
        </w:rPr>
      </w:pPr>
    </w:p>
    <w:p>
      <w:pPr>
        <w:ind w:right="100" w:firstLine="600"/>
        <w:spacing w:after="0" w:line="246" w:lineRule="auto"/>
        <w:rPr>
          <w:sz w:val="20"/>
          <w:szCs w:val="20"/>
          <w:color w:val="auto"/>
        </w:rPr>
      </w:pPr>
      <w:r>
        <w:rPr>
          <w:rFonts w:ascii="Arial" w:cs="Arial" w:eastAsia="Arial" w:hAnsi="Arial"/>
          <w:sz w:val="15"/>
          <w:szCs w:val="15"/>
          <w:color w:val="auto"/>
        </w:rPr>
        <w:t>In April 2020, we entered into an agreement with a general contractor to construct a new distribution facility in Laredo, Texas. This facility will support our distribution of Mexican sourced fruit into North American markets and will include border crossing, cold storage and value-added processing capabilities. The total estimated cost of the contract is $42 million, of which $25.2 million has been incurred as of October 31, 2020. The project is scheduled for completion in the third quarter of fiscal year 2021.</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Litigation</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is involved from time to time in claims, proceedings, and litigation, including the following:</w:t>
      </w:r>
    </w:p>
    <w:p>
      <w:pPr>
        <w:spacing w:after="0" w:line="202" w:lineRule="exact"/>
        <w:rPr>
          <w:sz w:val="20"/>
          <w:szCs w:val="20"/>
          <w:color w:val="auto"/>
        </w:rPr>
      </w:pPr>
    </w:p>
    <w:p>
      <w:pPr>
        <w:ind w:right="20" w:firstLine="600"/>
        <w:spacing w:after="0" w:line="244"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We are currently seeking to consolidate the two cases and narrow the potential classes. We believe that we have not violated any wage or labor laws and are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97"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96" w:lineRule="exact"/>
        <w:rPr>
          <w:sz w:val="20"/>
          <w:szCs w:val="20"/>
          <w:color w:val="auto"/>
        </w:rPr>
      </w:pPr>
    </w:p>
    <w:p>
      <w:pPr>
        <w:ind w:left="440" w:hanging="440"/>
        <w:spacing w:after="0"/>
        <w:tabs>
          <w:tab w:leader="none" w:pos="440" w:val="left"/>
        </w:tabs>
        <w:numPr>
          <w:ilvl w:val="0"/>
          <w:numId w:val="30"/>
        </w:numPr>
        <w:rPr>
          <w:rFonts w:ascii="Arial" w:cs="Arial" w:eastAsia="Arial" w:hAnsi="Arial"/>
          <w:sz w:val="20"/>
          <w:szCs w:val="20"/>
          <w:b w:val="1"/>
          <w:bCs w:val="1"/>
          <w:color w:val="232F84"/>
        </w:rPr>
      </w:pPr>
      <w:r>
        <w:rPr>
          <w:rFonts w:ascii="Arial" w:cs="Arial" w:eastAsia="Arial" w:hAnsi="Arial"/>
          <w:sz w:val="20"/>
          <w:szCs w:val="20"/>
          <w:b w:val="1"/>
          <w:bCs w:val="1"/>
          <w:color w:val="232F84"/>
        </w:rPr>
        <w:t>Income Taxes</w:t>
      </w:r>
    </w:p>
    <w:p>
      <w:pPr>
        <w:spacing w:after="0" w:line="227" w:lineRule="exact"/>
        <w:rPr>
          <w:sz w:val="20"/>
          <w:szCs w:val="20"/>
          <w:color w:val="auto"/>
        </w:rPr>
      </w:pPr>
    </w:p>
    <w:p>
      <w:pPr>
        <w:ind w:right="40" w:firstLine="600"/>
        <w:spacing w:after="0" w:line="245" w:lineRule="auto"/>
        <w:rPr>
          <w:sz w:val="20"/>
          <w:szCs w:val="20"/>
          <w:color w:val="auto"/>
        </w:rPr>
      </w:pPr>
      <w:r>
        <w:rPr>
          <w:rFonts w:ascii="Arial" w:cs="Arial" w:eastAsia="Arial" w:hAnsi="Arial"/>
          <w:sz w:val="15"/>
          <w:szCs w:val="15"/>
          <w:color w:val="auto"/>
        </w:rPr>
        <w:t>On December 22, 2017, the Tax Cuts and Jobs Act (“TCJ Act”) was signed into law. The TCJ Act significantly revised the U.S. corporate income tax by, among other things, lowering of the U.S. federal corporate income tax rate from 35% to 21%, imposing a mandatory one-time tax on accumulated earnings of foreign subsidiaries, eliminating certain deductions, and changing how foreign earnings are subject to U.S. tax. Due to the Company’s October 31 fiscal year-end, the lower U.S. federal corporate income tax rate was phased in, resulting in a 23.3% tax rate in fiscal year 2018 and 21% for subsequent fiscal years. In fiscal year 2018, the Company recognized a $6.5 million tax benefit for the remeasurement of the federal net deferred tax liabilities resulting from the permanent reduction in the U.S. federal corporate tax rate and a $3.7 million tax benefit related to the transition tax on the accumulated foreign earnings. The transition tax resulted in a tax benefit due to the recognition of foreign tax credits against outside basis differences of foreign equity method investments previously recorded as deferred tax liabilities.</w:t>
      </w:r>
    </w:p>
    <w:p>
      <w:pPr>
        <w:spacing w:after="0" w:line="200" w:lineRule="exact"/>
        <w:rPr>
          <w:sz w:val="20"/>
          <w:szCs w:val="20"/>
          <w:color w:val="auto"/>
        </w:rPr>
      </w:pPr>
    </w:p>
    <w:p>
      <w:pPr>
        <w:spacing w:after="0" w:line="2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1240"/>
          </w:cols>
          <w:pgMar w:left="320" w:top="17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600"/>
        <w:spacing w:after="0" w:line="245" w:lineRule="auto"/>
        <w:rPr>
          <w:sz w:val="20"/>
          <w:szCs w:val="20"/>
          <w:color w:val="auto"/>
        </w:rPr>
      </w:pPr>
      <w:r>
        <w:rPr>
          <w:rFonts w:ascii="Arial" w:cs="Arial" w:eastAsia="Arial" w:hAnsi="Arial"/>
          <w:sz w:val="15"/>
          <w:szCs w:val="15"/>
          <w:color w:val="auto"/>
        </w:rPr>
        <w:t>On March 27, 2020, the Coronavirus Aid, Relief and Economic Security (“CARES Act”) was signed into law. Among other things, the CARES Act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Company recorded a discrete benefit of $1.2 million due to the revaluation of deferred tax assets due to the utilization of NOLs at a higher tax rate in the carryback period. The CARES Act also contains modifications on the limitation of business interest for tax years beginning in 2019 and 2020. The modifications to Section 163(j) increase the allowable business interest deduction from 30% of adjusted taxable income to 50% of adjusted taxable income which did not have an impact to the company for fiscal year 2020.</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components of the provision for income taxes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100" w:type="dxa"/>
            <w:vAlign w:val="bottom"/>
          </w:tcPr>
          <w:p>
            <w:pPr>
              <w:ind w:left="320"/>
              <w:spacing w:after="0"/>
              <w:rPr>
                <w:sz w:val="20"/>
                <w:szCs w:val="20"/>
                <w:color w:val="auto"/>
              </w:rPr>
            </w:pPr>
            <w:r>
              <w:rPr>
                <w:rFonts w:ascii="Arial" w:cs="Arial" w:eastAsia="Arial" w:hAnsi="Arial"/>
                <w:sz w:val="13"/>
                <w:szCs w:val="13"/>
                <w:color w:val="auto"/>
              </w:rPr>
              <w:t>Federal</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11.8</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05"/>
        </w:trPr>
        <w:tc>
          <w:tcPr>
            <w:tcW w:w="71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State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95"/>
        </w:trPr>
        <w:tc>
          <w:tcPr>
            <w:tcW w:w="71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Foreign</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95"/>
        </w:trPr>
        <w:tc>
          <w:tcPr>
            <w:tcW w:w="7100" w:type="dxa"/>
            <w:vAlign w:val="bottom"/>
          </w:tcPr>
          <w:p>
            <w:pPr>
              <w:ind w:left="20"/>
              <w:spacing w:after="0"/>
              <w:rPr>
                <w:sz w:val="20"/>
                <w:szCs w:val="20"/>
                <w:color w:val="auto"/>
              </w:rPr>
            </w:pPr>
            <w:r>
              <w:rPr>
                <w:rFonts w:ascii="Arial" w:cs="Arial" w:eastAsia="Arial" w:hAnsi="Arial"/>
                <w:sz w:val="13"/>
                <w:szCs w:val="13"/>
                <w:color w:val="auto"/>
              </w:rPr>
              <w:t>Deferred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71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Federal</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95"/>
        </w:trPr>
        <w:tc>
          <w:tcPr>
            <w:tcW w:w="7100" w:type="dxa"/>
            <w:vAlign w:val="bottom"/>
          </w:tcPr>
          <w:p>
            <w:pPr>
              <w:ind w:left="3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00"/>
        </w:trPr>
        <w:tc>
          <w:tcPr>
            <w:tcW w:w="7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Foreign</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deferred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0.6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24.3</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r>
    </w:tbl>
    <w:p>
      <w:pPr>
        <w:spacing w:after="0" w:line="2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U.S. and foreign components of income before income taxes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2018</w:t>
            </w: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51.7</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r>
      <w:tr>
        <w:trPr>
          <w:trHeight w:val="19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44.3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19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96.0</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r>
    </w:tbl>
    <w:p>
      <w:pPr>
        <w:spacing w:after="0" w:line="2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provision for income taxes computed at the federal statutory tax rate to income taxes as reflected in the financial statements is as follows:</w:t>
      </w:r>
    </w:p>
    <w:p>
      <w:pPr>
        <w:spacing w:after="0" w:line="264"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23495</wp:posOffset>
            </wp:positionV>
            <wp:extent cx="27774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2777490" cy="762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Borders>
              <w:bottom w:val="single" w:sz="8" w:color="auto"/>
            </w:tcBorders>
          </w:tcPr>
          <w:p>
            <w:pPr>
              <w:ind w:left="7420"/>
              <w:spacing w:after="0"/>
              <w:rPr>
                <w:sz w:val="20"/>
                <w:szCs w:val="20"/>
                <w:color w:val="auto"/>
              </w:rPr>
            </w:pPr>
            <w:r>
              <w:rPr>
                <w:rFonts w:ascii="Arial" w:cs="Arial" w:eastAsia="Arial" w:hAnsi="Arial"/>
                <w:sz w:val="13"/>
                <w:szCs w:val="13"/>
                <w:b w:val="1"/>
                <w:bCs w:val="1"/>
                <w:color w:val="auto"/>
              </w:rPr>
              <w:t>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2018</w:t>
            </w: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statutory rate</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21.0 %</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21.0 %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23.3 %</w:t>
            </w:r>
          </w:p>
        </w:tc>
      </w:tr>
      <w:tr>
        <w:trPr>
          <w:trHeight w:val="195"/>
        </w:trPr>
        <w:tc>
          <w:tcPr>
            <w:tcW w:w="7780" w:type="dxa"/>
            <w:vAlign w:val="bottom"/>
          </w:tcPr>
          <w:p>
            <w:pPr>
              <w:ind w:left="20"/>
              <w:spacing w:after="0"/>
              <w:rPr>
                <w:sz w:val="20"/>
                <w:szCs w:val="20"/>
                <w:color w:val="auto"/>
              </w:rPr>
            </w:pPr>
            <w:r>
              <w:rPr>
                <w:rFonts w:ascii="Arial" w:cs="Arial" w:eastAsia="Arial" w:hAnsi="Arial"/>
                <w:sz w:val="13"/>
                <w:szCs w:val="13"/>
                <w:color w:val="auto"/>
              </w:rPr>
              <w:t>State income taxes, net of federal tax benefit</w:t>
            </w:r>
          </w:p>
        </w:tc>
        <w:tc>
          <w:tcPr>
            <w:tcW w:w="1480" w:type="dxa"/>
            <w:vAlign w:val="bottom"/>
          </w:tcPr>
          <w:p>
            <w:pPr>
              <w:jc w:val="right"/>
              <w:ind w:right="933"/>
              <w:spacing w:after="0"/>
              <w:rPr>
                <w:sz w:val="20"/>
                <w:szCs w:val="20"/>
                <w:color w:val="auto"/>
              </w:rPr>
            </w:pPr>
            <w:r>
              <w:rPr>
                <w:rFonts w:ascii="Arial" w:cs="Arial" w:eastAsia="Arial" w:hAnsi="Arial"/>
                <w:sz w:val="13"/>
                <w:szCs w:val="13"/>
                <w:color w:val="auto"/>
              </w:rPr>
              <w:t>2.0 %</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1.9 %</w:t>
            </w:r>
          </w:p>
        </w:tc>
        <w:tc>
          <w:tcPr>
            <w:tcW w:w="1160" w:type="dxa"/>
            <w:vAlign w:val="bottom"/>
          </w:tcPr>
          <w:p>
            <w:pPr>
              <w:jc w:val="right"/>
              <w:spacing w:after="0"/>
              <w:rPr>
                <w:sz w:val="20"/>
                <w:szCs w:val="20"/>
                <w:color w:val="auto"/>
              </w:rPr>
            </w:pPr>
            <w:r>
              <w:rPr>
                <w:rFonts w:ascii="Arial" w:cs="Arial" w:eastAsia="Arial" w:hAnsi="Arial"/>
                <w:sz w:val="13"/>
                <w:szCs w:val="13"/>
                <w:color w:val="auto"/>
              </w:rPr>
              <w:t>2.1 %</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GILTI</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5.6 %</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3.1 %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95"/>
        </w:trPr>
        <w:tc>
          <w:tcPr>
            <w:tcW w:w="7780" w:type="dxa"/>
            <w:vAlign w:val="bottom"/>
          </w:tcPr>
          <w:p>
            <w:pPr>
              <w:ind w:left="20"/>
              <w:spacing w:after="0"/>
              <w:rPr>
                <w:sz w:val="20"/>
                <w:szCs w:val="20"/>
                <w:color w:val="auto"/>
              </w:rPr>
            </w:pPr>
            <w:r>
              <w:rPr>
                <w:rFonts w:ascii="Arial" w:cs="Arial" w:eastAsia="Arial" w:hAnsi="Arial"/>
                <w:sz w:val="13"/>
                <w:szCs w:val="13"/>
                <w:color w:val="auto"/>
              </w:rPr>
              <w:t>Non-deductible executive compensation</w:t>
            </w:r>
          </w:p>
        </w:tc>
        <w:tc>
          <w:tcPr>
            <w:tcW w:w="1480" w:type="dxa"/>
            <w:vAlign w:val="bottom"/>
          </w:tcPr>
          <w:p>
            <w:pPr>
              <w:jc w:val="right"/>
              <w:ind w:right="933"/>
              <w:spacing w:after="0"/>
              <w:rPr>
                <w:sz w:val="20"/>
                <w:szCs w:val="20"/>
                <w:color w:val="auto"/>
              </w:rPr>
            </w:pPr>
            <w:r>
              <w:rPr>
                <w:rFonts w:ascii="Arial" w:cs="Arial" w:eastAsia="Arial" w:hAnsi="Arial"/>
                <w:sz w:val="13"/>
                <w:szCs w:val="13"/>
                <w:color w:val="auto"/>
              </w:rPr>
              <w:t>3.9 %</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Moruga impairment</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10.1 %</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95"/>
        </w:trPr>
        <w:tc>
          <w:tcPr>
            <w:tcW w:w="7780" w:type="dxa"/>
            <w:vAlign w:val="bottom"/>
          </w:tcPr>
          <w:p>
            <w:pPr>
              <w:ind w:left="20"/>
              <w:spacing w:after="0"/>
              <w:rPr>
                <w:sz w:val="20"/>
                <w:szCs w:val="20"/>
                <w:color w:val="auto"/>
              </w:rPr>
            </w:pPr>
            <w:r>
              <w:rPr>
                <w:rFonts w:ascii="Arial" w:cs="Arial" w:eastAsia="Arial" w:hAnsi="Arial"/>
                <w:sz w:val="13"/>
                <w:szCs w:val="13"/>
                <w:color w:val="auto"/>
              </w:rPr>
              <w:t>Withholding taxes</w:t>
            </w:r>
          </w:p>
        </w:tc>
        <w:tc>
          <w:tcPr>
            <w:tcW w:w="1480" w:type="dxa"/>
            <w:vAlign w:val="bottom"/>
          </w:tcPr>
          <w:p>
            <w:pPr>
              <w:jc w:val="right"/>
              <w:ind w:right="933"/>
              <w:spacing w:after="0"/>
              <w:rPr>
                <w:sz w:val="20"/>
                <w:szCs w:val="20"/>
                <w:color w:val="auto"/>
              </w:rPr>
            </w:pPr>
            <w:r>
              <w:rPr>
                <w:rFonts w:ascii="Arial" w:cs="Arial" w:eastAsia="Arial" w:hAnsi="Arial"/>
                <w:sz w:val="13"/>
                <w:szCs w:val="13"/>
                <w:color w:val="auto"/>
              </w:rPr>
              <w:t>— %</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Transition tax</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 %</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r>
      <w:tr>
        <w:trPr>
          <w:trHeight w:val="195"/>
        </w:trPr>
        <w:tc>
          <w:tcPr>
            <w:tcW w:w="7780" w:type="dxa"/>
            <w:vAlign w:val="bottom"/>
          </w:tcPr>
          <w:p>
            <w:pPr>
              <w:ind w:left="20"/>
              <w:spacing w:after="0"/>
              <w:rPr>
                <w:sz w:val="20"/>
                <w:szCs w:val="20"/>
                <w:color w:val="auto"/>
              </w:rPr>
            </w:pPr>
            <w:r>
              <w:rPr>
                <w:rFonts w:ascii="Arial" w:cs="Arial" w:eastAsia="Arial" w:hAnsi="Arial"/>
                <w:sz w:val="13"/>
                <w:szCs w:val="13"/>
                <w:color w:val="auto"/>
              </w:rPr>
              <w:t>Foreign tax credits</w:t>
            </w:r>
          </w:p>
        </w:tc>
        <w:tc>
          <w:tcPr>
            <w:tcW w:w="1480" w:type="dxa"/>
            <w:vAlign w:val="bottom"/>
          </w:tcPr>
          <w:p>
            <w:pPr>
              <w:jc w:val="right"/>
              <w:ind w:right="933"/>
              <w:spacing w:after="0"/>
              <w:rPr>
                <w:sz w:val="20"/>
                <w:szCs w:val="20"/>
                <w:color w:val="auto"/>
              </w:rPr>
            </w:pPr>
            <w:r>
              <w:rPr>
                <w:rFonts w:ascii="Arial" w:cs="Arial" w:eastAsia="Arial" w:hAnsi="Arial"/>
                <w:sz w:val="13"/>
                <w:szCs w:val="13"/>
                <w:color w:val="auto"/>
              </w:rPr>
              <w:t>(4.6)%</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(2.4)%</w:t>
            </w:r>
          </w:p>
        </w:tc>
        <w:tc>
          <w:tcPr>
            <w:tcW w:w="116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NOL carryback – CARES Act</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(2.8)%</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95"/>
        </w:trPr>
        <w:tc>
          <w:tcPr>
            <w:tcW w:w="7780" w:type="dxa"/>
            <w:vAlign w:val="bottom"/>
          </w:tcPr>
          <w:p>
            <w:pPr>
              <w:ind w:left="20"/>
              <w:spacing w:after="0"/>
              <w:rPr>
                <w:sz w:val="20"/>
                <w:szCs w:val="20"/>
                <w:color w:val="auto"/>
              </w:rPr>
            </w:pPr>
            <w:r>
              <w:rPr>
                <w:rFonts w:ascii="Arial" w:cs="Arial" w:eastAsia="Arial" w:hAnsi="Arial"/>
                <w:sz w:val="13"/>
                <w:szCs w:val="13"/>
                <w:color w:val="auto"/>
              </w:rPr>
              <w:t>Income tax reform</w:t>
            </w:r>
          </w:p>
        </w:tc>
        <w:tc>
          <w:tcPr>
            <w:tcW w:w="1480" w:type="dxa"/>
            <w:vAlign w:val="bottom"/>
          </w:tcPr>
          <w:p>
            <w:pPr>
              <w:jc w:val="right"/>
              <w:ind w:right="933"/>
              <w:spacing w:after="0"/>
              <w:rPr>
                <w:sz w:val="20"/>
                <w:szCs w:val="20"/>
                <w:color w:val="auto"/>
              </w:rPr>
            </w:pPr>
            <w:r>
              <w:rPr>
                <w:rFonts w:ascii="Arial" w:cs="Arial" w:eastAsia="Arial" w:hAnsi="Arial"/>
                <w:sz w:val="13"/>
                <w:szCs w:val="13"/>
                <w:color w:val="auto"/>
              </w:rPr>
              <w:t>— %</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 %</w:t>
            </w:r>
          </w:p>
        </w:tc>
        <w:tc>
          <w:tcPr>
            <w:tcW w:w="11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tax benefits increase</w:t>
            </w:r>
          </w:p>
        </w:tc>
        <w:tc>
          <w:tcPr>
            <w:tcW w:w="14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rPr>
              <w:t>0.6 %</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1.5 %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r>
      <w:tr>
        <w:trPr>
          <w:trHeight w:val="19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net</w:t>
            </w:r>
          </w:p>
        </w:tc>
        <w:tc>
          <w:tcPr>
            <w:tcW w:w="148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color w:val="auto"/>
              </w:rPr>
              <w:t>(1.6)%</w:t>
            </w: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0.2 %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1.6 %</w:t>
            </w:r>
          </w:p>
        </w:tc>
      </w:tr>
      <w:tr>
        <w:trPr>
          <w:trHeight w:val="192"/>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48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3"/>
                <w:szCs w:val="13"/>
                <w:color w:val="auto"/>
              </w:rPr>
              <w:t>34.2 %</w:t>
            </w:r>
          </w:p>
        </w:tc>
        <w:tc>
          <w:tcPr>
            <w:tcW w:w="8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25.3 %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18.3 %</w:t>
            </w:r>
          </w:p>
        </w:tc>
      </w:tr>
    </w:tbl>
    <w:p>
      <w:pPr>
        <w:spacing w:after="0" w:line="200" w:lineRule="exact"/>
        <w:rPr>
          <w:sz w:val="20"/>
          <w:szCs w:val="20"/>
          <w:color w:val="auto"/>
        </w:rPr>
      </w:pPr>
    </w:p>
    <w:p>
      <w:pPr>
        <w:spacing w:after="0" w:line="30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1240"/>
          </w:cols>
          <w:pgMar w:left="320" w:top="17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60" w:firstLine="600"/>
        <w:spacing w:after="0" w:line="253" w:lineRule="auto"/>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 The significant components of deferred tax assets and liabilities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October 31,</w:t>
            </w:r>
          </w:p>
        </w:tc>
        <w:tc>
          <w:tcPr>
            <w:tcW w:w="960" w:type="dxa"/>
            <w:vAlign w:val="bottom"/>
            <w:tcBorders>
              <w:bottom w:val="single" w:sz="8" w:color="auto"/>
            </w:tcBorders>
          </w:tcPr>
          <w:p>
            <w:pPr>
              <w:spacing w:after="0"/>
              <w:rPr>
                <w:sz w:val="15"/>
                <w:szCs w:val="15"/>
                <w:color w:val="auto"/>
              </w:rPr>
            </w:pPr>
          </w:p>
        </w:tc>
      </w:tr>
      <w:tr>
        <w:trPr>
          <w:trHeight w:val="192"/>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2019</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w:t>
            </w: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95"/>
        </w:trPr>
        <w:tc>
          <w:tcPr>
            <w:tcW w:w="8320" w:type="dxa"/>
            <w:vAlign w:val="bottom"/>
          </w:tcPr>
          <w:p>
            <w:pPr>
              <w:ind w:left="20"/>
              <w:spacing w:after="0"/>
              <w:rPr>
                <w:sz w:val="20"/>
                <w:szCs w:val="20"/>
                <w:color w:val="auto"/>
              </w:rPr>
            </w:pPr>
            <w:r>
              <w:rPr>
                <w:rFonts w:ascii="Arial" w:cs="Arial" w:eastAsia="Arial" w:hAnsi="Arial"/>
                <w:sz w:val="13"/>
                <w:szCs w:val="13"/>
                <w:color w:val="auto"/>
              </w:rPr>
              <w:t>Net operating loss carryforward</w:t>
            </w:r>
          </w:p>
        </w:tc>
        <w:tc>
          <w:tcPr>
            <w:tcW w:w="32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1.8</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0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0.8</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95"/>
        </w:trPr>
        <w:tc>
          <w:tcPr>
            <w:tcW w:w="8320" w:type="dxa"/>
            <w:vAlign w:val="bottom"/>
          </w:tcPr>
          <w:p>
            <w:pPr>
              <w:ind w:left="20"/>
              <w:spacing w:after="0"/>
              <w:rPr>
                <w:sz w:val="20"/>
                <w:szCs w:val="20"/>
                <w:color w:val="auto"/>
              </w:rPr>
            </w:pPr>
            <w:r>
              <w:rPr>
                <w:rFonts w:ascii="Arial" w:cs="Arial" w:eastAsia="Arial" w:hAnsi="Arial"/>
                <w:sz w:val="13"/>
                <w:szCs w:val="13"/>
                <w:color w:val="auto"/>
              </w:rPr>
              <w:t>Interest rate swaps</w:t>
            </w:r>
          </w:p>
        </w:tc>
        <w:tc>
          <w:tcPr>
            <w:tcW w:w="32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1.5</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0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Allowances, reserves, and other</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0.3</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92"/>
        </w:trPr>
        <w:tc>
          <w:tcPr>
            <w:tcW w:w="8320" w:type="dxa"/>
            <w:vAlign w:val="bottom"/>
          </w:tcPr>
          <w:p>
            <w:pPr>
              <w:ind w:left="20"/>
              <w:spacing w:after="0"/>
              <w:rPr>
                <w:sz w:val="20"/>
                <w:szCs w:val="20"/>
                <w:color w:val="auto"/>
              </w:rPr>
            </w:pPr>
            <w:r>
              <w:rPr>
                <w:rFonts w:ascii="Arial" w:cs="Arial" w:eastAsia="Arial" w:hAnsi="Arial"/>
                <w:sz w:val="13"/>
                <w:szCs w:val="13"/>
                <w:color w:val="auto"/>
              </w:rPr>
              <w:t>Total deferred tax assets</w:t>
            </w:r>
          </w:p>
        </w:tc>
        <w:tc>
          <w:tcPr>
            <w:tcW w:w="32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8.5</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20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valuation allowance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92"/>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deferred tax assets</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7.3</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interest in unconsolidated subsidiaries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95"/>
        </w:trPr>
        <w:tc>
          <w:tcPr>
            <w:tcW w:w="83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(14.4)</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20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Repatriation of foreign earnings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92"/>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deferred tax liabilities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r>
      <w:tr>
        <w:trPr>
          <w:trHeight w:val="192"/>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deferred tax assets/(liabilities)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r>
    </w:tbl>
    <w:p>
      <w:pPr>
        <w:spacing w:after="0" w:line="2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October 31, 2020, the Company had foreign net operating loss carryforwards in Peru of $10.3 million which can be carried forward indefinitely.</w:t>
      </w:r>
    </w:p>
    <w:p>
      <w:pPr>
        <w:spacing w:after="0" w:line="202" w:lineRule="exact"/>
        <w:rPr>
          <w:sz w:val="20"/>
          <w:szCs w:val="20"/>
          <w:color w:val="auto"/>
        </w:rPr>
      </w:pPr>
    </w:p>
    <w:p>
      <w:pPr>
        <w:ind w:right="120" w:firstLine="600"/>
        <w:spacing w:after="0" w:line="248" w:lineRule="auto"/>
        <w:rPr>
          <w:sz w:val="20"/>
          <w:szCs w:val="20"/>
          <w:color w:val="auto"/>
        </w:rPr>
      </w:pPr>
      <w:r>
        <w:rPr>
          <w:rFonts w:ascii="Arial" w:cs="Arial" w:eastAsia="Arial" w:hAnsi="Arial"/>
          <w:sz w:val="15"/>
          <w:szCs w:val="15"/>
          <w:color w:val="auto"/>
        </w:rPr>
        <w:t>The net change in the valuation allowance for deferred tax assets was $0.3 million and $(0.4) million for the years ended October 31, 2020 and 2019, respectively. The valuation allowance as of October 31, 2020 and October 31, 2019 primarily relates to deferred tax assets which would generate capital losses and can only be realizable upon the generation of future capital gains.</w:t>
      </w:r>
    </w:p>
    <w:p>
      <w:pPr>
        <w:spacing w:after="0" w:line="190" w:lineRule="exact"/>
        <w:rPr>
          <w:sz w:val="20"/>
          <w:szCs w:val="20"/>
          <w:color w:val="auto"/>
        </w:rPr>
      </w:pPr>
    </w:p>
    <w:p>
      <w:pPr>
        <w:ind w:right="140" w:firstLine="600"/>
        <w:spacing w:after="0" w:line="246" w:lineRule="auto"/>
        <w:rPr>
          <w:sz w:val="20"/>
          <w:szCs w:val="20"/>
          <w:color w:val="auto"/>
        </w:rPr>
      </w:pPr>
      <w:r>
        <w:rPr>
          <w:rFonts w:ascii="Arial" w:cs="Arial" w:eastAsia="Arial" w:hAnsi="Arial"/>
          <w:sz w:val="15"/>
          <w:szCs w:val="15"/>
          <w:color w:val="auto"/>
        </w:rPr>
        <w:t>At October 31, 2020 the Company recorded a deferred tax liability for the withholding tax that will be due upon future distribution of approximately $28.1 million of foreign earnings from its international farming operations in Peru. The Company has determined all other accumulated foreign earnings of $96.1 million to be indefinitely reinvested, as it is our intent to permanently reinvest these funds outside of the United States and our current plans do not demonstrate a need to repatriate the cash to fund our U.S. operations.</w:t>
      </w:r>
    </w:p>
    <w:p>
      <w:pPr>
        <w:spacing w:after="0" w:line="193" w:lineRule="exact"/>
        <w:rPr>
          <w:sz w:val="20"/>
          <w:szCs w:val="20"/>
          <w:color w:val="auto"/>
        </w:rPr>
      </w:pPr>
    </w:p>
    <w:p>
      <w:pPr>
        <w:ind w:right="280" w:firstLine="600"/>
        <w:spacing w:after="0" w:line="248" w:lineRule="auto"/>
        <w:rPr>
          <w:sz w:val="20"/>
          <w:szCs w:val="20"/>
          <w:color w:val="auto"/>
        </w:rPr>
      </w:pPr>
      <w:r>
        <w:rPr>
          <w:rFonts w:ascii="Arial" w:cs="Arial" w:eastAsia="Arial" w:hAnsi="Arial"/>
          <w:sz w:val="15"/>
          <w:szCs w:val="15"/>
          <w:color w:val="auto"/>
        </w:rPr>
        <w:t>The Company may recognize the tax benefit from an uncertain tax position claimed on a tax return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total amounts of unrecognized tax benefits (exclusive of interest and penalties)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October 31,</w:t>
            </w:r>
          </w:p>
        </w:tc>
        <w:tc>
          <w:tcPr>
            <w:tcW w:w="900" w:type="dxa"/>
            <w:vAlign w:val="bottom"/>
            <w:tcBorders>
              <w:bottom w:val="single" w:sz="8" w:color="auto"/>
            </w:tcBorders>
          </w:tcPr>
          <w:p>
            <w:pPr>
              <w:spacing w:after="0"/>
              <w:rPr>
                <w:sz w:val="15"/>
                <w:szCs w:val="15"/>
                <w:color w:val="auto"/>
              </w:rPr>
            </w:pPr>
          </w:p>
        </w:tc>
      </w:tr>
      <w:tr>
        <w:trPr>
          <w:trHeight w:val="192"/>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2019</w:t>
            </w:r>
          </w:p>
        </w:tc>
      </w:tr>
      <w:tr>
        <w:trPr>
          <w:trHeight w:val="197"/>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tax benefits beginning of year</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9"/>
              </w:rPr>
              <w:t>6.2</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95"/>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remeasurement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573"/>
              <w:spacing w:after="0"/>
              <w:rPr>
                <w:sz w:val="20"/>
                <w:szCs w:val="20"/>
                <w:color w:val="auto"/>
              </w:rPr>
            </w:pPr>
            <w:r>
              <w:rPr>
                <w:rFonts w:ascii="Arial" w:cs="Arial" w:eastAsia="Arial" w:hAnsi="Arial"/>
                <w:sz w:val="13"/>
                <w:szCs w:val="13"/>
                <w:color w:val="auto"/>
              </w:rPr>
              <w:t>(0.2)</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192"/>
        </w:trPr>
        <w:tc>
          <w:tcPr>
            <w:tcW w:w="8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Unrecognized tax benefits end of year</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3"/>
                <w:szCs w:val="13"/>
                <w:color w:val="auto"/>
                <w:w w:val="99"/>
              </w:rPr>
              <w:t>6.0</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r>
    </w:tbl>
    <w:p>
      <w:pPr>
        <w:spacing w:after="0" w:line="289" w:lineRule="exact"/>
        <w:rPr>
          <w:sz w:val="20"/>
          <w:szCs w:val="20"/>
          <w:color w:val="auto"/>
        </w:rPr>
      </w:pPr>
    </w:p>
    <w:p>
      <w:pPr>
        <w:ind w:right="440" w:firstLine="600"/>
        <w:spacing w:after="0" w:line="253" w:lineRule="auto"/>
        <w:rPr>
          <w:sz w:val="20"/>
          <w:szCs w:val="20"/>
          <w:color w:val="auto"/>
        </w:rPr>
      </w:pPr>
      <w:r>
        <w:rPr>
          <w:rFonts w:ascii="Arial" w:cs="Arial" w:eastAsia="Arial" w:hAnsi="Arial"/>
          <w:sz w:val="15"/>
          <w:szCs w:val="15"/>
          <w:color w:val="auto"/>
        </w:rPr>
        <w:t>If recognized, the total amount of unrecognized tax benefits as of October 31, 2020 and 2019 would impact the effective tax rate. We do not anticipate any significant changes to unrecognized tax benefits by the end of fiscal year 2021.</w:t>
      </w:r>
    </w:p>
    <w:p>
      <w:pPr>
        <w:spacing w:after="0" w:line="186"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The Company recognizes interest and penalties related to uncertain tax positions in income tax expense. The Company recorded $(1.9) million, $1.4 million, and $0.7 million of interest and penalties in the years ended October 31, 2020, 2019, and 2018, respectively, in the consolidated statements of comprehensive income and had $6.8 million and $8.7 million for interest and penalties accrued as of October 31, 2020 and 2019, respectively, which have been included in other long-term liabilities in the consolidated balance sheets.</w:t>
      </w:r>
    </w:p>
    <w:p>
      <w:pPr>
        <w:spacing w:after="0" w:line="193" w:lineRule="exact"/>
        <w:rPr>
          <w:sz w:val="20"/>
          <w:szCs w:val="20"/>
          <w:color w:val="auto"/>
        </w:rPr>
      </w:pPr>
    </w:p>
    <w:p>
      <w:pPr>
        <w:ind w:right="40" w:firstLine="600"/>
        <w:spacing w:after="0" w:line="246" w:lineRule="auto"/>
        <w:rPr>
          <w:sz w:val="20"/>
          <w:szCs w:val="20"/>
          <w:color w:val="auto"/>
        </w:rPr>
      </w:pPr>
      <w:r>
        <w:rPr>
          <w:rFonts w:ascii="Arial" w:cs="Arial" w:eastAsia="Arial" w:hAnsi="Arial"/>
          <w:sz w:val="15"/>
          <w:szCs w:val="15"/>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the United States, Mexico and Peru. The Company is no longer subject to U.S. federal tax examinations for the fiscal years prior to and including October 31, 2015. The statute of limitations for the tax years ended October 31, 2016 and forward are still open as of October 31, 2020.</w:t>
      </w:r>
    </w:p>
    <w:p>
      <w:pPr>
        <w:spacing w:after="0" w:line="200" w:lineRule="exact"/>
        <w:rPr>
          <w:sz w:val="20"/>
          <w:szCs w:val="20"/>
          <w:color w:val="auto"/>
        </w:rPr>
      </w:pPr>
    </w:p>
    <w:p>
      <w:pPr>
        <w:spacing w:after="0" w:line="21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1240"/>
          </w:cols>
          <w:pgMar w:left="320" w:top="175"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5"/>
          <w:szCs w:val="15"/>
          <w:color w:val="auto"/>
        </w:rPr>
        <w:t>The Company’s wholly owned subsidiary in Mexico is currently under audit for the fiscal year 2013 and received certain proposed adjustments during fiscal year 2018 from the Mexican taxing authorities. During June 2018, the Company filed an administrative appeal challenging the 2013 tax assessment. The Company is currently waiting for the resolution of the appeal to be issued. The Company believes that is has adequately provided taxes for this matter.</w:t>
      </w:r>
    </w:p>
    <w:p>
      <w:pPr>
        <w:spacing w:after="0" w:line="215" w:lineRule="exact"/>
        <w:rPr>
          <w:sz w:val="20"/>
          <w:szCs w:val="20"/>
          <w:color w:val="auto"/>
        </w:rPr>
      </w:pPr>
    </w:p>
    <w:p>
      <w:pPr>
        <w:ind w:right="200" w:firstLine="600"/>
        <w:spacing w:after="0" w:line="248" w:lineRule="auto"/>
        <w:rPr>
          <w:sz w:val="20"/>
          <w:szCs w:val="20"/>
          <w:color w:val="auto"/>
        </w:rPr>
      </w:pPr>
      <w:r>
        <w:rPr>
          <w:rFonts w:ascii="Arial" w:cs="Arial" w:eastAsia="Arial" w:hAnsi="Arial"/>
          <w:sz w:val="15"/>
          <w:szCs w:val="15"/>
          <w:color w:val="auto"/>
        </w:rPr>
        <w:t>On December 30, 2020, Peru enacted tax law repealing current tax law which provided benefits to agribusiness entities. The new law will subject us to higher Peruvian corporate income tax rates than our current rate of 15% as follows: 20% for calendar years 2023 to 2024, 25% for calendar years 2025 to 2027, and 29.5% thereafter.</w:t>
      </w:r>
    </w:p>
    <w:p>
      <w:pPr>
        <w:spacing w:after="0" w:line="396" w:lineRule="exact"/>
        <w:rPr>
          <w:sz w:val="20"/>
          <w:szCs w:val="20"/>
          <w:color w:val="auto"/>
        </w:rPr>
      </w:pPr>
    </w:p>
    <w:p>
      <w:pPr>
        <w:ind w:left="440" w:hanging="440"/>
        <w:spacing w:after="0"/>
        <w:tabs>
          <w:tab w:leader="none" w:pos="440" w:val="left"/>
        </w:tabs>
        <w:numPr>
          <w:ilvl w:val="0"/>
          <w:numId w:val="31"/>
        </w:numPr>
        <w:rPr>
          <w:rFonts w:ascii="Arial" w:cs="Arial" w:eastAsia="Arial" w:hAnsi="Arial"/>
          <w:sz w:val="20"/>
          <w:szCs w:val="20"/>
          <w:b w:val="1"/>
          <w:bCs w:val="1"/>
          <w:color w:val="232F84"/>
        </w:rPr>
      </w:pPr>
      <w:r>
        <w:rPr>
          <w:rFonts w:ascii="Arial" w:cs="Arial" w:eastAsia="Arial" w:hAnsi="Arial"/>
          <w:sz w:val="20"/>
          <w:szCs w:val="20"/>
          <w:b w:val="1"/>
          <w:bCs w:val="1"/>
          <w:color w:val="232F84"/>
        </w:rPr>
        <w:t>Shareholders' Equity</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Stock-based compensation</w:t>
      </w:r>
    </w:p>
    <w:p>
      <w:pPr>
        <w:spacing w:after="0" w:line="220" w:lineRule="exact"/>
        <w:rPr>
          <w:sz w:val="20"/>
          <w:szCs w:val="20"/>
          <w:color w:val="auto"/>
        </w:rPr>
      </w:pPr>
    </w:p>
    <w:p>
      <w:pPr>
        <w:ind w:firstLine="600"/>
        <w:spacing w:after="0" w:line="248" w:lineRule="auto"/>
        <w:rPr>
          <w:sz w:val="20"/>
          <w:szCs w:val="20"/>
          <w:color w:val="auto"/>
        </w:rPr>
      </w:pPr>
      <w:r>
        <w:rPr>
          <w:rFonts w:ascii="Arial" w:cs="Arial" w:eastAsia="Arial" w:hAnsi="Arial"/>
          <w:sz w:val="15"/>
          <w:szCs w:val="15"/>
          <w:color w:val="auto"/>
        </w:rPr>
        <w:t>During fiscal years 2020, 2019, and 2018, we maintained stock-based incentive plans (see below for more details). Stock-based compensation expense is recorded in selling, general and administrative expenses in the consolidated statements of comprehensive income. Total stock-based compensation expense under these plans and the total related recognized tax benefit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3"/>
                <w:szCs w:val="13"/>
                <w:b w:val="1"/>
                <w:bCs w:val="1"/>
                <w:color w:val="auto"/>
              </w:rPr>
              <w:t>Year Ended October 31,</w:t>
            </w:r>
          </w:p>
        </w:tc>
        <w:tc>
          <w:tcPr>
            <w:tcW w:w="980" w:type="dxa"/>
            <w:vAlign w:val="bottom"/>
            <w:tcBorders>
              <w:bottom w:val="single" w:sz="8" w:color="auto"/>
            </w:tcBorders>
          </w:tcPr>
          <w:p>
            <w:pPr>
              <w:spacing w:after="0"/>
              <w:rPr>
                <w:sz w:val="15"/>
                <w:szCs w:val="15"/>
                <w:color w:val="auto"/>
              </w:rPr>
            </w:pPr>
          </w:p>
        </w:tc>
      </w:t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2018</w:t>
            </w:r>
          </w:p>
        </w:tc>
      </w:tr>
      <w:tr>
        <w:trPr>
          <w:trHeight w:val="197"/>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r>
      <w:tr>
        <w:trPr>
          <w:trHeight w:val="195"/>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RSUs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r>
      <w:tr>
        <w:trPr>
          <w:trHeight w:val="197"/>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 under incentive plans, pretax</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r>
      <w:tr>
        <w:trPr>
          <w:trHeight w:val="195"/>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 benefit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jc w:val="both"/>
        <w:ind w:right="20" w:firstLine="600"/>
        <w:spacing w:after="0" w:line="253" w:lineRule="auto"/>
        <w:rPr>
          <w:sz w:val="20"/>
          <w:szCs w:val="20"/>
          <w:color w:val="auto"/>
        </w:rPr>
      </w:pPr>
      <w:r>
        <w:rPr>
          <w:rFonts w:ascii="Arial" w:cs="Arial" w:eastAsia="Arial" w:hAnsi="Arial"/>
          <w:sz w:val="15"/>
          <w:szCs w:val="15"/>
          <w:color w:val="auto"/>
        </w:rPr>
        <w:t>Unrecognized stock-based compensation expense as of October 31, 2020 was $6.0 million and is expected to be recognized over a weighted-average period of 3.5 years.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2003 Stock Incentive Plan</w:t>
      </w:r>
    </w:p>
    <w:p>
      <w:pPr>
        <w:spacing w:after="0" w:line="220" w:lineRule="exact"/>
        <w:rPr>
          <w:sz w:val="20"/>
          <w:szCs w:val="20"/>
          <w:color w:val="auto"/>
        </w:rPr>
      </w:pPr>
    </w:p>
    <w:p>
      <w:pPr>
        <w:ind w:right="60" w:firstLine="600"/>
        <w:spacing w:after="0" w:line="245" w:lineRule="auto"/>
        <w:rPr>
          <w:sz w:val="20"/>
          <w:szCs w:val="20"/>
          <w:color w:val="auto"/>
        </w:rPr>
      </w:pPr>
      <w:r>
        <w:rPr>
          <w:rFonts w:ascii="Arial" w:cs="Arial" w:eastAsia="Arial" w:hAnsi="Arial"/>
          <w:sz w:val="15"/>
          <w:szCs w:val="15"/>
          <w:color w:val="auto"/>
        </w:rPr>
        <w:t>Our Board of Directors adopted the Mission Produce, Inc. 2003 Stock Incentive Plan in fiscal year 2004, and subsequently restated and amended the plan on July 9, 2019 (collectively, the “2003 Plan”). The 2003 Plan is a non-qualified stock option plan that allowed for the granting of a combined maximum of 10,200,000 stock option awards to key employees and directors, until the completion of our IPO in October 2020, at which time we adopted the 2020 Incentive Award Plan (“2020 Plan”), and shares of our common stock subject to awards granted under the 2003 Plan that were available for issuance were transferred to, and became available for issuance under the 2020 Plan in accordance with its terms.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2020 Incentive Award Plan</w:t>
      </w:r>
    </w:p>
    <w:p>
      <w:pPr>
        <w:spacing w:after="0" w:line="220" w:lineRule="exact"/>
        <w:rPr>
          <w:sz w:val="20"/>
          <w:szCs w:val="20"/>
          <w:color w:val="auto"/>
        </w:rPr>
      </w:pPr>
    </w:p>
    <w:p>
      <w:pPr>
        <w:ind w:right="20" w:firstLine="600"/>
        <w:spacing w:after="0" w:line="245" w:lineRule="auto"/>
        <w:rPr>
          <w:sz w:val="20"/>
          <w:szCs w:val="20"/>
          <w:color w:val="auto"/>
        </w:rPr>
      </w:pPr>
      <w:r>
        <w:rPr>
          <w:rFonts w:ascii="Arial" w:cs="Arial" w:eastAsia="Arial" w:hAnsi="Arial"/>
          <w:sz w:val="15"/>
          <w:szCs w:val="15"/>
          <w:color w:val="auto"/>
        </w:rPr>
        <w:t>On October 1, 2020, our Board of Directors adopted the 2020 Plan, which provides for the grant of stock options, RSUs, and stock appreciation rights to directors, employees, consultants, and certain of our affiliates. The terms of awards may vary based on the grantee classification, or nature of the award, such as awards contingent upon discrete events, or awards related to continuing employment. A maximum of 85,000,000 shares of common stock may be issued under the 2020 Plan. As of October 31, 2020, 84,277,872 shares were available for issuance under the 2020 Plan. The Company’s board of directors has currently authorized and approved up to 9,880,190 shares to be issued under the 2020 Plan, of which 9,158,062 are currently available for issuance under the board approval.</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options</w:t>
      </w:r>
    </w:p>
    <w:p>
      <w:pPr>
        <w:spacing w:after="0" w:line="218" w:lineRule="exact"/>
        <w:rPr>
          <w:sz w:val="20"/>
          <w:szCs w:val="20"/>
          <w:color w:val="auto"/>
        </w:rPr>
      </w:pPr>
    </w:p>
    <w:p>
      <w:pPr>
        <w:ind w:right="300" w:firstLine="600"/>
        <w:spacing w:after="0" w:line="248" w:lineRule="auto"/>
        <w:rPr>
          <w:sz w:val="20"/>
          <w:szCs w:val="20"/>
          <w:color w:val="auto"/>
        </w:rPr>
      </w:pPr>
      <w:r>
        <w:rPr>
          <w:rFonts w:ascii="Arial" w:cs="Arial" w:eastAsia="Arial" w:hAnsi="Arial"/>
          <w:sz w:val="15"/>
          <w:szCs w:val="15"/>
          <w:color w:val="auto"/>
        </w:rPr>
        <w:t>Stock options are generally granted with exercise prices no less than the fair market value at grant date and vest based on tenure of employment or other specific events and expire 10 years after the grant date. The fair value of stock options are estimated as of the date of grant using the Black-Scholes option valuation model with the following assumptions, as required by the model:</w:t>
      </w:r>
    </w:p>
    <w:p>
      <w:pPr>
        <w:spacing w:after="0" w:line="174" w:lineRule="exact"/>
        <w:rPr>
          <w:sz w:val="20"/>
          <w:szCs w:val="20"/>
          <w:color w:val="auto"/>
        </w:rPr>
      </w:pPr>
    </w:p>
    <w:p>
      <w:pPr>
        <w:ind w:left="1180" w:hanging="280"/>
        <w:spacing w:after="0"/>
        <w:tabs>
          <w:tab w:leader="none" w:pos="11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 the current interest rate on five to seven-year U.S. Treasury Bonds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 the average of equity implied asset volatility of publicly-traded direct competitor companies</w:t>
      </w:r>
    </w:p>
    <w:p>
      <w:pPr>
        <w:spacing w:after="0" w:line="202" w:lineRule="exact"/>
        <w:rPr>
          <w:rFonts w:ascii="Arial" w:cs="Arial" w:eastAsia="Arial" w:hAnsi="Arial"/>
          <w:sz w:val="15"/>
          <w:szCs w:val="15"/>
          <w:color w:val="auto"/>
        </w:rPr>
      </w:pPr>
    </w:p>
    <w:p>
      <w:pPr>
        <w:ind w:left="1180" w:hanging="280"/>
        <w:spacing w:after="0"/>
        <w:tabs>
          <w:tab w:leader="none" w:pos="11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Expected life</w:t>
      </w:r>
      <w:r>
        <w:rPr>
          <w:rFonts w:ascii="Arial" w:cs="Arial" w:eastAsia="Arial" w:hAnsi="Arial"/>
          <w:sz w:val="15"/>
          <w:szCs w:val="15"/>
          <w:color w:val="auto"/>
        </w:rPr>
        <w:t>- calculated as the average of the vesting term and original contractual term, known as “the simplified method”</w:t>
      </w:r>
    </w:p>
    <w:p>
      <w:pPr>
        <w:spacing w:after="0" w:line="200" w:lineRule="exact"/>
        <w:rPr>
          <w:sz w:val="20"/>
          <w:szCs w:val="20"/>
          <w:color w:val="auto"/>
        </w:rPr>
      </w:pPr>
    </w:p>
    <w:p>
      <w:pPr>
        <w:spacing w:after="0" w:line="243"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1220"/>
          </w:cols>
          <w:pgMar w:left="320" w:top="176"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18491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1849120" cy="762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Borders>
              <w:bottom w:val="single" w:sz="8" w:color="auto"/>
            </w:tcBorders>
          </w:tcPr>
          <w:p>
            <w:pPr>
              <w:ind w:left="5960"/>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2019</w:t>
            </w:r>
          </w:p>
        </w:tc>
      </w:tr>
      <w:tr>
        <w:trPr>
          <w:trHeight w:val="197"/>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0.4 %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95"/>
        </w:trPr>
        <w:tc>
          <w:tcPr>
            <w:tcW w:w="6320" w:type="dxa"/>
            <w:vAlign w:val="bottom"/>
          </w:tcPr>
          <w:p>
            <w:pPr>
              <w:ind w:left="20"/>
              <w:spacing w:after="0"/>
              <w:rPr>
                <w:sz w:val="20"/>
                <w:szCs w:val="20"/>
                <w:color w:val="auto"/>
              </w:rPr>
            </w:pPr>
            <w:r>
              <w:rPr>
                <w:rFonts w:ascii="Arial" w:cs="Arial" w:eastAsia="Arial" w:hAnsi="Arial"/>
                <w:sz w:val="13"/>
                <w:szCs w:val="13"/>
                <w:color w:val="auto"/>
              </w:rPr>
              <w:t>Volatility</w:t>
            </w:r>
          </w:p>
        </w:tc>
        <w:tc>
          <w:tcPr>
            <w:tcW w:w="820" w:type="dxa"/>
            <w:vAlign w:val="bottom"/>
          </w:tcPr>
          <w:p>
            <w:pPr>
              <w:jc w:val="right"/>
              <w:ind w:right="273"/>
              <w:spacing w:after="0"/>
              <w:rPr>
                <w:sz w:val="20"/>
                <w:szCs w:val="20"/>
                <w:color w:val="auto"/>
              </w:rPr>
            </w:pPr>
            <w:r>
              <w:rPr>
                <w:rFonts w:ascii="Arial" w:cs="Arial" w:eastAsia="Arial" w:hAnsi="Arial"/>
                <w:sz w:val="13"/>
                <w:szCs w:val="13"/>
                <w:color w:val="auto"/>
              </w:rPr>
              <w:t>30.0 %</w:t>
            </w:r>
          </w:p>
        </w:tc>
        <w:tc>
          <w:tcPr>
            <w:tcW w:w="1180" w:type="dxa"/>
            <w:vAlign w:val="bottom"/>
          </w:tcPr>
          <w:p>
            <w:pPr>
              <w:jc w:val="right"/>
              <w:spacing w:after="0"/>
              <w:rPr>
                <w:sz w:val="20"/>
                <w:szCs w:val="20"/>
                <w:color w:val="auto"/>
              </w:rPr>
            </w:pPr>
            <w:r>
              <w:rPr>
                <w:rFonts w:ascii="Arial" w:cs="Arial" w:eastAsia="Arial" w:hAnsi="Arial"/>
                <w:sz w:val="13"/>
                <w:szCs w:val="13"/>
                <w:color w:val="auto"/>
              </w:rPr>
              <w:t>25.0 %</w:t>
            </w: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(in years)</w:t>
            </w: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6.3</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9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Dividend rate</w:t>
            </w: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r>
    </w:tbl>
    <w:p>
      <w:pPr>
        <w:spacing w:after="0" w:line="311"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CEO Award</w:t>
      </w:r>
    </w:p>
    <w:p>
      <w:pPr>
        <w:spacing w:after="0" w:line="243" w:lineRule="exact"/>
        <w:rPr>
          <w:sz w:val="20"/>
          <w:szCs w:val="20"/>
          <w:color w:val="auto"/>
        </w:rPr>
      </w:pPr>
    </w:p>
    <w:p>
      <w:pPr>
        <w:ind w:right="40" w:firstLine="600"/>
        <w:spacing w:after="0" w:line="244" w:lineRule="auto"/>
        <w:rPr>
          <w:sz w:val="20"/>
          <w:szCs w:val="20"/>
          <w:color w:val="auto"/>
        </w:rPr>
      </w:pPr>
      <w:r>
        <w:rPr>
          <w:rFonts w:ascii="Arial" w:cs="Arial" w:eastAsia="Arial" w:hAnsi="Arial"/>
          <w:sz w:val="15"/>
          <w:szCs w:val="15"/>
          <w:color w:val="auto"/>
        </w:rPr>
        <w:t>On July 9, 2019 our Board of Directors approved a stock option grant to the Company’s Chief Executive Officer (“CEO”), Steve Barnard, covering 1,700,000 shares of our common stock (“CEO Award”). The CEO Award had a strike price of $9.41 per share, which the Board of Directors assumed to be the then current fair market value of the Company’s common stock on the grant date. The terms of the grant were such that the vesting of the stock option was contingent upon a successful initial public offering of the Company’s common stock. There were 471,308 shares available under the 2003 Plan as of the date the CEO Award was granted. We accounted for 471,308 shares of the CEO Award that are subject to share settlement as equity-classified awards and 1,228,692 shares as liability-classified awards. The liability-classified portion of the CEO Award represented that portion of the CEO Award that was in excess of the shareholder-approved share limit authorized under the 2003 Plan as of October 31, 2019 and thus were classified as liability awards. In the event the modified Plan was not approved by the shareholders, the liability-classified portion of the CEO Award would have been subject to cash settlement. The Company has not recognized any stock-based compensation expense prior to the modification of the CEO Award discussed below because the vesting of the award was dependent upon the occurrence of an initial public offering. At the date of grant, based on a subsequent valuation performed, the estimated fair market value of the CEO award was determined to be $9.1 million.</w:t>
      </w:r>
    </w:p>
    <w:p>
      <w:pPr>
        <w:spacing w:after="0" w:line="221" w:lineRule="exact"/>
        <w:rPr>
          <w:sz w:val="20"/>
          <w:szCs w:val="20"/>
          <w:color w:val="auto"/>
        </w:rPr>
      </w:pPr>
    </w:p>
    <w:p>
      <w:pPr>
        <w:ind w:right="20" w:firstLine="600"/>
        <w:spacing w:after="0" w:line="244" w:lineRule="auto"/>
        <w:rPr>
          <w:sz w:val="20"/>
          <w:szCs w:val="20"/>
          <w:color w:val="auto"/>
        </w:rPr>
      </w:pPr>
      <w:r>
        <w:rPr>
          <w:rFonts w:ascii="Arial" w:cs="Arial" w:eastAsia="Arial" w:hAnsi="Arial"/>
          <w:sz w:val="15"/>
          <w:szCs w:val="15"/>
          <w:color w:val="auto"/>
        </w:rPr>
        <w:t>On October 29, 2019, our Board of Directors, with the consent of Mr. Barnard, modified the CEO Award to amend the vesting schedule. As a result of this amendment, 850,000 shares subject to the CEO Award were modified to vest at the earlier of (i) the seventh year anniversary of the grant date, (ii) immediately prior to the consummation of a change in control (as defined in the Plan) or, (iii) upon the closing of an IPO of our common stock, in each case, subject to Mr. Barnard’s continued service with the Company as of the applicable vesting date. Of these CEO Award shares, we accounted for 235,654 shares as equity-classified awards and 614,346 CEO Award shares (i.e., the allocable portion of those CEO Award shares that were in excess of the shareholder-approved share limit authorized under the original Plan as of October 31, 2019) as liability-classified awards. The remaining 850,000 CEO Award shares were modified to vest in five equal installments on the first five anniversaries of the grant date, subject to Mr. Barnard’s continued service with the Company as of the applicable vesting date. Of these shares, we accounted for 235,654 shares as equity-classified awards and 614,346 shares as liability-classified awards (i.e., the allocable portion of those CEO Award shares that were in excess of the shareholder-approved share limit authorized under the 2003 Plan as of October 31, 2019).</w:t>
      </w:r>
    </w:p>
    <w:p>
      <w:pPr>
        <w:spacing w:after="0" w:line="221" w:lineRule="exact"/>
        <w:rPr>
          <w:sz w:val="20"/>
          <w:szCs w:val="20"/>
          <w:color w:val="auto"/>
        </w:rPr>
      </w:pPr>
    </w:p>
    <w:p>
      <w:pPr>
        <w:ind w:right="60" w:firstLine="600"/>
        <w:spacing w:after="0" w:line="246" w:lineRule="auto"/>
        <w:rPr>
          <w:sz w:val="20"/>
          <w:szCs w:val="20"/>
          <w:color w:val="auto"/>
        </w:rPr>
      </w:pPr>
      <w:r>
        <w:rPr>
          <w:rFonts w:ascii="Arial" w:cs="Arial" w:eastAsia="Arial" w:hAnsi="Arial"/>
          <w:sz w:val="15"/>
          <w:szCs w:val="15"/>
          <w:color w:val="auto"/>
        </w:rPr>
        <w:t>Prior to the October 2019 modification, the Company determined that it was not probable that the CEO awards would vest because of the contingent nature of the CEO Award. Upon modification of the vesting terms, during October 2019, the Company determined that it was probable that the CEO Award would vest. The Company determined the fair value of the CEO Award on the date of modification to be $11.3 million, to be recognized as stock-based compensation expense as service is provided.</w:t>
      </w:r>
    </w:p>
    <w:p>
      <w:pPr>
        <w:spacing w:after="0" w:line="218" w:lineRule="exact"/>
        <w:rPr>
          <w:sz w:val="20"/>
          <w:szCs w:val="20"/>
          <w:color w:val="auto"/>
        </w:rPr>
      </w:pPr>
    </w:p>
    <w:p>
      <w:pPr>
        <w:ind w:firstLine="600"/>
        <w:spacing w:after="0" w:line="246" w:lineRule="auto"/>
        <w:rPr>
          <w:sz w:val="20"/>
          <w:szCs w:val="20"/>
          <w:color w:val="auto"/>
        </w:rPr>
      </w:pPr>
      <w:r>
        <w:rPr>
          <w:rFonts w:ascii="Arial" w:cs="Arial" w:eastAsia="Arial" w:hAnsi="Arial"/>
          <w:sz w:val="15"/>
          <w:szCs w:val="15"/>
          <w:color w:val="auto"/>
        </w:rPr>
        <w:t>During December 2019, management determined the fair value of our common stock with the support of a third-party valuation specialist as of the July 9, 2019 stock option grant date. As a result of this independent valuation, the Company determined the fair value of our common stock on the stock option grant date to be $13.74 per share. As a result, the Board of Directors, with the consent of Mr. Barnard, modified the CEO Awards to increase the strike price to $13.74 per share. As of the modification date, the fair value of liability-classified awards was $5.6 million.</w:t>
      </w:r>
    </w:p>
    <w:p>
      <w:pPr>
        <w:spacing w:after="0" w:line="218" w:lineRule="exact"/>
        <w:rPr>
          <w:sz w:val="20"/>
          <w:szCs w:val="20"/>
          <w:color w:val="auto"/>
        </w:rPr>
      </w:pPr>
    </w:p>
    <w:p>
      <w:pPr>
        <w:ind w:right="160" w:firstLine="600"/>
        <w:spacing w:after="0" w:line="245" w:lineRule="auto"/>
        <w:rPr>
          <w:sz w:val="20"/>
          <w:szCs w:val="20"/>
          <w:color w:val="auto"/>
        </w:rPr>
      </w:pPr>
      <w:r>
        <w:rPr>
          <w:rFonts w:ascii="Arial" w:cs="Arial" w:eastAsia="Arial" w:hAnsi="Arial"/>
          <w:sz w:val="15"/>
          <w:szCs w:val="15"/>
          <w:color w:val="auto"/>
        </w:rPr>
        <w:t>On March 19, 2020, shareholders approved an amendment to the 2003 Plan that added an additional 2,550,000 shares available to be issued. Upon the approval of the amendment, the 1,228,692 awards previously accounted for as liability-classified awards were reclassified to shareholders’ equity and accounted for prospectively as equity awards because of the increase in shares available to be issued under the 2003 Plan. On the date of reclassification, management determined the fair value of our common stock, with the assistance of a third-party valuation specialist, to be $12.63 per share, resulting in an estimated fair value of $4.6 million for the reclassified awards. As of March 19, 2020, the Company had accrued $0.3 million in accrued expenses related to the liability-classified awards, which was reclassified to shareholders’ equity as of March 19, 2020.</w:t>
      </w:r>
    </w:p>
    <w:p>
      <w:pPr>
        <w:spacing w:after="0" w:line="200" w:lineRule="exact"/>
        <w:rPr>
          <w:sz w:val="20"/>
          <w:szCs w:val="20"/>
          <w:color w:val="auto"/>
        </w:rPr>
      </w:pPr>
    </w:p>
    <w:p>
      <w:pPr>
        <w:spacing w:after="0" w:line="21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1240"/>
          </w:cols>
          <w:pgMar w:left="320" w:top="17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Stock option activity for the CEO Award during the year ended October 31, 2020 was as follows:</w:t>
      </w:r>
    </w:p>
    <w:p>
      <w:pPr>
        <w:spacing w:after="0" w:line="264"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Number of options</w:t>
      </w:r>
    </w:p>
    <w:p>
      <w:pPr>
        <w:spacing w:after="0" w:line="16"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0"/>
        </w:trPr>
        <w:tc>
          <w:tcPr>
            <w:tcW w:w="4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Weighted-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c>
          <w:tcPr>
            <w:tcW w:w="260" w:type="dxa"/>
            <w:vAlign w:val="bottom"/>
          </w:tcPr>
          <w:p>
            <w:pPr>
              <w:spacing w:after="0"/>
              <w:rPr>
                <w:sz w:val="13"/>
                <w:szCs w:val="13"/>
                <w:color w:val="auto"/>
              </w:rPr>
            </w:pPr>
          </w:p>
        </w:tc>
        <w:tc>
          <w:tcPr>
            <w:tcW w:w="1180" w:type="dxa"/>
            <w:vAlign w:val="bottom"/>
          </w:tcPr>
          <w:p>
            <w:pPr>
              <w:jc w:val="center"/>
              <w:ind w:right="133"/>
              <w:spacing w:after="0"/>
              <w:rPr>
                <w:sz w:val="20"/>
                <w:szCs w:val="20"/>
                <w:color w:val="auto"/>
              </w:rPr>
            </w:pPr>
            <w:r>
              <w:rPr>
                <w:rFonts w:ascii="Arial" w:cs="Arial" w:eastAsia="Arial" w:hAnsi="Arial"/>
                <w:sz w:val="13"/>
                <w:szCs w:val="13"/>
                <w:b w:val="1"/>
                <w:bCs w:val="1"/>
                <w:color w:val="auto"/>
              </w:rPr>
              <w:t>Aggregate</w:t>
            </w:r>
          </w:p>
        </w:tc>
      </w:tr>
      <w:tr>
        <w:trPr>
          <w:trHeight w:val="150"/>
        </w:trPr>
        <w:tc>
          <w:tcPr>
            <w:tcW w:w="4000" w:type="dxa"/>
            <w:vAlign w:val="bottom"/>
          </w:tcPr>
          <w:p>
            <w:pPr>
              <w:spacing w:after="0"/>
              <w:rPr>
                <w:sz w:val="13"/>
                <w:szCs w:val="13"/>
                <w:color w:val="auto"/>
              </w:rPr>
            </w:pPr>
          </w:p>
        </w:tc>
        <w:tc>
          <w:tcPr>
            <w:tcW w:w="1760" w:type="dxa"/>
            <w:vAlign w:val="bottom"/>
          </w:tcPr>
          <w:p>
            <w:pPr>
              <w:jc w:val="center"/>
              <w:ind w:right="333"/>
              <w:spacing w:after="0"/>
              <w:rPr>
                <w:sz w:val="20"/>
                <w:szCs w:val="20"/>
                <w:color w:val="auto"/>
              </w:rPr>
            </w:pPr>
            <w:r>
              <w:rPr>
                <w:rFonts w:ascii="Arial" w:cs="Arial" w:eastAsia="Arial" w:hAnsi="Arial"/>
                <w:sz w:val="13"/>
                <w:szCs w:val="13"/>
                <w:b w:val="1"/>
                <w:bCs w:val="1"/>
                <w:color w:val="auto"/>
              </w:rPr>
              <w:t>Subject to</w:t>
            </w:r>
          </w:p>
        </w:tc>
        <w:tc>
          <w:tcPr>
            <w:tcW w:w="1080" w:type="dxa"/>
            <w:vAlign w:val="bottom"/>
            <w:gridSpan w:val="2"/>
          </w:tcPr>
          <w:p>
            <w:pPr>
              <w:jc w:val="center"/>
              <w:ind w:right="233"/>
              <w:spacing w:after="0"/>
              <w:rPr>
                <w:sz w:val="20"/>
                <w:szCs w:val="20"/>
                <w:color w:val="auto"/>
              </w:rPr>
            </w:pPr>
            <w:r>
              <w:rPr>
                <w:rFonts w:ascii="Arial" w:cs="Arial" w:eastAsia="Arial" w:hAnsi="Arial"/>
                <w:sz w:val="13"/>
                <w:szCs w:val="13"/>
                <w:b w:val="1"/>
                <w:bCs w:val="1"/>
                <w:color w:val="auto"/>
              </w:rPr>
              <w:t>Subject to</w:t>
            </w:r>
          </w:p>
        </w:tc>
        <w:tc>
          <w:tcPr>
            <w:tcW w:w="32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average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remaining</w:t>
            </w:r>
          </w:p>
        </w:tc>
        <w:tc>
          <w:tcPr>
            <w:tcW w:w="260" w:type="dxa"/>
            <w:vAlign w:val="bottom"/>
          </w:tcPr>
          <w:p>
            <w:pPr>
              <w:spacing w:after="0"/>
              <w:rPr>
                <w:sz w:val="13"/>
                <w:szCs w:val="13"/>
                <w:color w:val="auto"/>
              </w:rPr>
            </w:pPr>
          </w:p>
        </w:tc>
        <w:tc>
          <w:tcPr>
            <w:tcW w:w="1180" w:type="dxa"/>
            <w:vAlign w:val="bottom"/>
          </w:tcPr>
          <w:p>
            <w:pPr>
              <w:jc w:val="center"/>
              <w:ind w:right="113"/>
              <w:spacing w:after="0"/>
              <w:rPr>
                <w:sz w:val="20"/>
                <w:szCs w:val="20"/>
                <w:color w:val="auto"/>
              </w:rPr>
            </w:pPr>
            <w:r>
              <w:rPr>
                <w:rFonts w:ascii="Arial" w:cs="Arial" w:eastAsia="Arial" w:hAnsi="Arial"/>
                <w:sz w:val="13"/>
                <w:szCs w:val="13"/>
                <w:b w:val="1"/>
                <w:bCs w:val="1"/>
                <w:color w:val="auto"/>
              </w:rPr>
              <w:t>intrinsic</w:t>
            </w:r>
          </w:p>
        </w:tc>
      </w:tr>
      <w:tr>
        <w:trPr>
          <w:trHeight w:val="150"/>
        </w:trPr>
        <w:tc>
          <w:tcPr>
            <w:tcW w:w="4000" w:type="dxa"/>
            <w:vAlign w:val="bottom"/>
          </w:tcPr>
          <w:p>
            <w:pPr>
              <w:spacing w:after="0"/>
              <w:rPr>
                <w:sz w:val="13"/>
                <w:szCs w:val="13"/>
                <w:color w:val="auto"/>
              </w:rPr>
            </w:pPr>
          </w:p>
        </w:tc>
        <w:tc>
          <w:tcPr>
            <w:tcW w:w="1760" w:type="dxa"/>
            <w:vAlign w:val="bottom"/>
          </w:tcPr>
          <w:p>
            <w:pPr>
              <w:jc w:val="center"/>
              <w:ind w:right="333"/>
              <w:spacing w:after="0"/>
              <w:rPr>
                <w:sz w:val="20"/>
                <w:szCs w:val="20"/>
                <w:color w:val="auto"/>
              </w:rPr>
            </w:pPr>
            <w:r>
              <w:rPr>
                <w:rFonts w:ascii="Arial" w:cs="Arial" w:eastAsia="Arial" w:hAnsi="Arial"/>
                <w:sz w:val="13"/>
                <w:szCs w:val="13"/>
                <w:b w:val="1"/>
                <w:bCs w:val="1"/>
                <w:color w:val="auto"/>
              </w:rPr>
              <w:t>share</w:t>
            </w:r>
          </w:p>
        </w:tc>
        <w:tc>
          <w:tcPr>
            <w:tcW w:w="560" w:type="dxa"/>
            <w:vAlign w:val="bottom"/>
          </w:tcPr>
          <w:p>
            <w:pPr>
              <w:jc w:val="center"/>
              <w:ind w:left="153"/>
              <w:spacing w:after="0"/>
              <w:rPr>
                <w:sz w:val="20"/>
                <w:szCs w:val="20"/>
                <w:color w:val="auto"/>
              </w:rPr>
            </w:pPr>
            <w:r>
              <w:rPr>
                <w:rFonts w:ascii="Arial" w:cs="Arial" w:eastAsia="Arial" w:hAnsi="Arial"/>
                <w:sz w:val="13"/>
                <w:szCs w:val="13"/>
                <w:b w:val="1"/>
                <w:bCs w:val="1"/>
                <w:color w:val="auto"/>
              </w:rPr>
              <w:t>cash</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exercise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life</w:t>
            </w:r>
          </w:p>
        </w:tc>
        <w:tc>
          <w:tcPr>
            <w:tcW w:w="260" w:type="dxa"/>
            <w:vAlign w:val="bottom"/>
          </w:tcPr>
          <w:p>
            <w:pPr>
              <w:spacing w:after="0"/>
              <w:rPr>
                <w:sz w:val="13"/>
                <w:szCs w:val="13"/>
                <w:color w:val="auto"/>
              </w:rPr>
            </w:pPr>
          </w:p>
        </w:tc>
        <w:tc>
          <w:tcPr>
            <w:tcW w:w="1180" w:type="dxa"/>
            <w:vAlign w:val="bottom"/>
          </w:tcPr>
          <w:p>
            <w:pPr>
              <w:jc w:val="center"/>
              <w:ind w:right="133"/>
              <w:spacing w:after="0"/>
              <w:rPr>
                <w:sz w:val="20"/>
                <w:szCs w:val="20"/>
                <w:color w:val="auto"/>
              </w:rPr>
            </w:pPr>
            <w:r>
              <w:rPr>
                <w:rFonts w:ascii="Arial" w:cs="Arial" w:eastAsia="Arial" w:hAnsi="Arial"/>
                <w:sz w:val="13"/>
                <w:szCs w:val="13"/>
                <w:b w:val="1"/>
                <w:bCs w:val="1"/>
                <w:color w:val="auto"/>
              </w:rPr>
              <w:t>value</w:t>
            </w:r>
          </w:p>
        </w:tc>
      </w:tr>
      <w:tr>
        <w:trPr>
          <w:trHeight w:val="182"/>
        </w:trPr>
        <w:tc>
          <w:tcPr>
            <w:tcW w:w="40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13"/>
              <w:spacing w:after="0"/>
              <w:rPr>
                <w:sz w:val="20"/>
                <w:szCs w:val="20"/>
                <w:color w:val="auto"/>
              </w:rPr>
            </w:pPr>
            <w:r>
              <w:rPr>
                <w:rFonts w:ascii="Arial" w:cs="Arial" w:eastAsia="Arial" w:hAnsi="Arial"/>
                <w:sz w:val="13"/>
                <w:szCs w:val="13"/>
                <w:b w:val="1"/>
                <w:bCs w:val="1"/>
                <w:color w:val="auto"/>
              </w:rPr>
              <w:t>settlement</w:t>
            </w:r>
          </w:p>
        </w:tc>
        <w:tc>
          <w:tcPr>
            <w:tcW w:w="1080" w:type="dxa"/>
            <w:vAlign w:val="bottom"/>
            <w:tcBorders>
              <w:bottom w:val="single" w:sz="8" w:color="auto"/>
            </w:tcBorders>
            <w:gridSpan w:val="2"/>
          </w:tcPr>
          <w:p>
            <w:pPr>
              <w:jc w:val="center"/>
              <w:ind w:right="233"/>
              <w:spacing w:after="0"/>
              <w:rPr>
                <w:sz w:val="20"/>
                <w:szCs w:val="20"/>
                <w:color w:val="auto"/>
              </w:rPr>
            </w:pPr>
            <w:r>
              <w:rPr>
                <w:rFonts w:ascii="Arial" w:cs="Arial" w:eastAsia="Arial" w:hAnsi="Arial"/>
                <w:sz w:val="13"/>
                <w:szCs w:val="13"/>
                <w:b w:val="1"/>
                <w:bCs w:val="1"/>
                <w:color w:val="auto"/>
              </w:rPr>
              <w:t>settlement</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6"/>
              </w:rPr>
              <w:t>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years)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rPr>
              <w:t>(in millions)</w:t>
            </w:r>
          </w:p>
        </w:tc>
      </w:tr>
      <w:tr>
        <w:trPr>
          <w:trHeight w:val="197"/>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October 31, 2019</w:t>
            </w:r>
          </w:p>
        </w:tc>
        <w:tc>
          <w:tcPr>
            <w:tcW w:w="176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476</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3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9.41</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4000" w:type="dxa"/>
            <w:vAlign w:val="bottom"/>
          </w:tcPr>
          <w:p>
            <w:pPr>
              <w:ind w:left="420"/>
              <w:spacing w:after="0"/>
              <w:rPr>
                <w:sz w:val="20"/>
                <w:szCs w:val="20"/>
                <w:color w:val="auto"/>
              </w:rPr>
            </w:pPr>
            <w:r>
              <w:rPr>
                <w:rFonts w:ascii="Arial" w:cs="Arial" w:eastAsia="Arial" w:hAnsi="Arial"/>
                <w:sz w:val="13"/>
                <w:szCs w:val="13"/>
                <w:color w:val="auto"/>
              </w:rPr>
              <w:t>Reclassification</w:t>
            </w:r>
          </w:p>
        </w:tc>
        <w:tc>
          <w:tcPr>
            <w:tcW w:w="1760" w:type="dxa"/>
            <w:vAlign w:val="bottom"/>
          </w:tcPr>
          <w:p>
            <w:pPr>
              <w:jc w:val="right"/>
              <w:ind w:right="373"/>
              <w:spacing w:after="0"/>
              <w:rPr>
                <w:sz w:val="20"/>
                <w:szCs w:val="20"/>
                <w:color w:val="auto"/>
              </w:rPr>
            </w:pPr>
            <w:r>
              <w:rPr>
                <w:rFonts w:ascii="Arial" w:cs="Arial" w:eastAsia="Arial" w:hAnsi="Arial"/>
                <w:sz w:val="13"/>
                <w:szCs w:val="13"/>
                <w:color w:val="auto"/>
              </w:rPr>
              <w:t>1,224</w:t>
            </w: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(1,224)</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5"/>
        </w:trPr>
        <w:tc>
          <w:tcPr>
            <w:tcW w:w="40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Granted</w:t>
            </w:r>
          </w:p>
        </w:tc>
        <w:tc>
          <w:tcPr>
            <w:tcW w:w="176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4000" w:type="dxa"/>
            <w:vAlign w:val="bottom"/>
          </w:tcPr>
          <w:p>
            <w:pPr>
              <w:ind w:left="420"/>
              <w:spacing w:after="0"/>
              <w:rPr>
                <w:sz w:val="20"/>
                <w:szCs w:val="20"/>
                <w:color w:val="auto"/>
              </w:rPr>
            </w:pPr>
            <w:r>
              <w:rPr>
                <w:rFonts w:ascii="Arial" w:cs="Arial" w:eastAsia="Arial" w:hAnsi="Arial"/>
                <w:sz w:val="13"/>
                <w:szCs w:val="13"/>
                <w:color w:val="auto"/>
              </w:rPr>
              <w:t>Exercised</w:t>
            </w:r>
          </w:p>
        </w:tc>
        <w:tc>
          <w:tcPr>
            <w:tcW w:w="176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0"/>
        </w:trPr>
        <w:tc>
          <w:tcPr>
            <w:tcW w:w="4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Forfeited</w:t>
            </w:r>
          </w:p>
        </w:tc>
        <w:tc>
          <w:tcPr>
            <w:tcW w:w="17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19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October 31, 2020</w:t>
            </w:r>
          </w:p>
        </w:tc>
        <w:tc>
          <w:tcPr>
            <w:tcW w:w="17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1,700</w:t>
            </w: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13.74</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8.7</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3"/>
                <w:szCs w:val="13"/>
                <w:color w:val="auto"/>
              </w:rPr>
              <w:t>—</w:t>
            </w:r>
          </w:p>
        </w:tc>
      </w:tr>
      <w:tr>
        <w:trPr>
          <w:trHeight w:val="192"/>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Vested and expected to vest at October 31, 2020</w:t>
            </w:r>
          </w:p>
        </w:tc>
        <w:tc>
          <w:tcPr>
            <w:tcW w:w="17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3"/>
                <w:szCs w:val="13"/>
                <w:color w:val="auto"/>
              </w:rPr>
              <w:t>1,700</w:t>
            </w:r>
          </w:p>
        </w:tc>
        <w:tc>
          <w:tcPr>
            <w:tcW w:w="5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13.74</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8.7</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3"/>
                <w:szCs w:val="13"/>
                <w:color w:val="auto"/>
              </w:rPr>
              <w:t>—</w:t>
            </w:r>
          </w:p>
        </w:tc>
      </w:tr>
      <w:tr>
        <w:trPr>
          <w:trHeight w:val="19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Exercisable at October 31, 2020</w:t>
            </w:r>
          </w:p>
        </w:tc>
        <w:tc>
          <w:tcPr>
            <w:tcW w:w="17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1,020</w:t>
            </w: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13.74</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8.7</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3"/>
                <w:szCs w:val="13"/>
                <w:color w:val="auto"/>
              </w:rPr>
              <w:t>—</w:t>
            </w:r>
          </w:p>
        </w:tc>
      </w:tr>
      <w:tr>
        <w:trPr>
          <w:trHeight w:val="511"/>
        </w:trPr>
        <w:tc>
          <w:tcPr>
            <w:tcW w:w="4000" w:type="dxa"/>
            <w:vAlign w:val="bottom"/>
          </w:tcPr>
          <w:p>
            <w:pPr>
              <w:spacing w:after="0"/>
              <w:rPr>
                <w:sz w:val="24"/>
                <w:szCs w:val="24"/>
                <w:color w:val="auto"/>
              </w:rPr>
            </w:pPr>
          </w:p>
        </w:tc>
        <w:tc>
          <w:tcPr>
            <w:tcW w:w="232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Number of options</w:t>
            </w:r>
          </w:p>
        </w:tc>
        <w:tc>
          <w:tcPr>
            <w:tcW w:w="220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Weighted average grant-date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40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3"/>
          </w:tcPr>
          <w:p>
            <w:pPr>
              <w:jc w:val="right"/>
              <w:ind w:right="940"/>
              <w:spacing w:after="0"/>
              <w:rPr>
                <w:sz w:val="20"/>
                <w:szCs w:val="20"/>
                <w:color w:val="auto"/>
              </w:rPr>
            </w:pPr>
            <w:r>
              <w:rPr>
                <w:rFonts w:ascii="Arial" w:cs="Arial" w:eastAsia="Arial" w:hAnsi="Arial"/>
                <w:sz w:val="13"/>
                <w:szCs w:val="13"/>
                <w:b w:val="1"/>
                <w:bCs w:val="1"/>
                <w:color w:val="auto"/>
              </w:rPr>
              <w:t>fair value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7"/>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Unvested at October 31, 2019</w:t>
            </w:r>
          </w:p>
        </w:tc>
        <w:tc>
          <w:tcPr>
            <w:tcW w:w="1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1,700</w:t>
            </w:r>
          </w:p>
        </w:tc>
        <w:tc>
          <w:tcPr>
            <w:tcW w:w="52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4000" w:type="dxa"/>
            <w:vAlign w:val="bottom"/>
          </w:tcPr>
          <w:p>
            <w:pPr>
              <w:ind w:left="20"/>
              <w:spacing w:after="0"/>
              <w:rPr>
                <w:sz w:val="20"/>
                <w:szCs w:val="20"/>
                <w:color w:val="auto"/>
              </w:rPr>
            </w:pPr>
            <w:r>
              <w:rPr>
                <w:rFonts w:ascii="Arial" w:cs="Arial" w:eastAsia="Arial" w:hAnsi="Arial"/>
                <w:sz w:val="13"/>
                <w:szCs w:val="13"/>
                <w:color w:val="auto"/>
              </w:rPr>
              <w:t>Granted</w:t>
            </w:r>
          </w:p>
        </w:tc>
        <w:tc>
          <w:tcPr>
            <w:tcW w:w="176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5"/>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7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(1,020)</w:t>
            </w: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4000" w:type="dxa"/>
            <w:vAlign w:val="bottom"/>
          </w:tcPr>
          <w:p>
            <w:pPr>
              <w:ind w:left="20"/>
              <w:spacing w:after="0"/>
              <w:rPr>
                <w:sz w:val="20"/>
                <w:szCs w:val="20"/>
                <w:color w:val="auto"/>
              </w:rPr>
            </w:pPr>
            <w:r>
              <w:rPr>
                <w:rFonts w:ascii="Arial" w:cs="Arial" w:eastAsia="Arial" w:hAnsi="Arial"/>
                <w:sz w:val="13"/>
                <w:szCs w:val="13"/>
                <w:color w:val="auto"/>
              </w:rPr>
              <w:t>Forfeited</w:t>
            </w:r>
          </w:p>
        </w:tc>
        <w:tc>
          <w:tcPr>
            <w:tcW w:w="176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4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Unvested at October 31, 2020</w:t>
            </w:r>
          </w:p>
        </w:tc>
        <w:tc>
          <w:tcPr>
            <w:tcW w:w="17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680</w:t>
            </w:r>
          </w:p>
        </w:tc>
        <w:tc>
          <w:tcPr>
            <w:tcW w:w="5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Employees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Stock option activity for other employees during the year ended October 31, 2020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20" w:type="dxa"/>
            <w:vAlign w:val="bottom"/>
          </w:tcPr>
          <w:p>
            <w:pPr>
              <w:jc w:val="center"/>
              <w:ind w:left="873"/>
              <w:spacing w:after="0"/>
              <w:rPr>
                <w:sz w:val="20"/>
                <w:szCs w:val="20"/>
                <w:color w:val="auto"/>
              </w:rPr>
            </w:pPr>
            <w:r>
              <w:rPr>
                <w:rFonts w:ascii="Arial" w:cs="Arial" w:eastAsia="Arial" w:hAnsi="Arial"/>
                <w:sz w:val="13"/>
                <w:szCs w:val="13"/>
                <w:b w:val="1"/>
                <w:bCs w:val="1"/>
                <w:color w:val="auto"/>
              </w:rPr>
              <w:t>Weighted-</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5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left="433"/>
              <w:spacing w:after="0"/>
              <w:rPr>
                <w:sz w:val="20"/>
                <w:szCs w:val="20"/>
                <w:color w:val="auto"/>
              </w:rPr>
            </w:pPr>
            <w:r>
              <w:rPr>
                <w:rFonts w:ascii="Arial" w:cs="Arial" w:eastAsia="Arial" w:hAnsi="Arial"/>
                <w:sz w:val="13"/>
                <w:szCs w:val="13"/>
                <w:b w:val="1"/>
                <w:bCs w:val="1"/>
                <w:color w:val="auto"/>
              </w:rPr>
              <w:t>Weighted-</w:t>
            </w:r>
          </w:p>
        </w:tc>
        <w:tc>
          <w:tcPr>
            <w:tcW w:w="1820" w:type="dxa"/>
            <w:vAlign w:val="bottom"/>
          </w:tcPr>
          <w:p>
            <w:pPr>
              <w:jc w:val="center"/>
              <w:ind w:left="853"/>
              <w:spacing w:after="0"/>
              <w:rPr>
                <w:sz w:val="20"/>
                <w:szCs w:val="20"/>
                <w:color w:val="auto"/>
              </w:rPr>
            </w:pPr>
            <w:r>
              <w:rPr>
                <w:rFonts w:ascii="Arial" w:cs="Arial" w:eastAsia="Arial" w:hAnsi="Arial"/>
                <w:sz w:val="13"/>
                <w:szCs w:val="13"/>
                <w:b w:val="1"/>
                <w:bCs w:val="1"/>
                <w:color w:val="auto"/>
              </w:rPr>
              <w:t>average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ind w:right="213"/>
              <w:spacing w:after="0"/>
              <w:rPr>
                <w:sz w:val="20"/>
                <w:szCs w:val="20"/>
                <w:color w:val="auto"/>
              </w:rPr>
            </w:pPr>
            <w:r>
              <w:rPr>
                <w:rFonts w:ascii="Arial" w:cs="Arial" w:eastAsia="Arial" w:hAnsi="Arial"/>
                <w:sz w:val="13"/>
                <w:szCs w:val="13"/>
                <w:b w:val="1"/>
                <w:bCs w:val="1"/>
                <w:color w:val="auto"/>
              </w:rPr>
              <w:t>Aggregate</w:t>
            </w:r>
          </w:p>
        </w:tc>
      </w:tr>
      <w:tr>
        <w:trPr>
          <w:trHeight w:val="150"/>
        </w:trPr>
        <w:tc>
          <w:tcPr>
            <w:tcW w:w="5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left="413"/>
              <w:spacing w:after="0"/>
              <w:rPr>
                <w:sz w:val="20"/>
                <w:szCs w:val="20"/>
                <w:color w:val="auto"/>
              </w:rPr>
            </w:pPr>
            <w:r>
              <w:rPr>
                <w:rFonts w:ascii="Arial" w:cs="Arial" w:eastAsia="Arial" w:hAnsi="Arial"/>
                <w:sz w:val="13"/>
                <w:szCs w:val="13"/>
                <w:b w:val="1"/>
                <w:bCs w:val="1"/>
                <w:color w:val="auto"/>
              </w:rPr>
              <w:t>average</w:t>
            </w:r>
          </w:p>
        </w:tc>
        <w:tc>
          <w:tcPr>
            <w:tcW w:w="1820" w:type="dxa"/>
            <w:vAlign w:val="bottom"/>
          </w:tcPr>
          <w:p>
            <w:pPr>
              <w:jc w:val="center"/>
              <w:ind w:left="873"/>
              <w:spacing w:after="0"/>
              <w:rPr>
                <w:sz w:val="20"/>
                <w:szCs w:val="20"/>
                <w:color w:val="auto"/>
              </w:rPr>
            </w:pPr>
            <w:r>
              <w:rPr>
                <w:rFonts w:ascii="Arial" w:cs="Arial" w:eastAsia="Arial" w:hAnsi="Arial"/>
                <w:sz w:val="13"/>
                <w:szCs w:val="13"/>
                <w:b w:val="1"/>
                <w:bCs w:val="1"/>
                <w:color w:val="auto"/>
              </w:rPr>
              <w:t>remaining</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ind w:right="213"/>
              <w:spacing w:after="0"/>
              <w:rPr>
                <w:sz w:val="20"/>
                <w:szCs w:val="20"/>
                <w:color w:val="auto"/>
              </w:rPr>
            </w:pPr>
            <w:r>
              <w:rPr>
                <w:rFonts w:ascii="Arial" w:cs="Arial" w:eastAsia="Arial" w:hAnsi="Arial"/>
                <w:sz w:val="13"/>
                <w:szCs w:val="13"/>
                <w:b w:val="1"/>
                <w:bCs w:val="1"/>
                <w:color w:val="auto"/>
                <w:w w:val="98"/>
              </w:rPr>
              <w:t>intrinsic</w:t>
            </w:r>
          </w:p>
        </w:tc>
      </w:tr>
      <w:tr>
        <w:trPr>
          <w:trHeight w:val="150"/>
        </w:trPr>
        <w:tc>
          <w:tcPr>
            <w:tcW w:w="6020" w:type="dxa"/>
            <w:vAlign w:val="bottom"/>
            <w:gridSpan w:val="2"/>
          </w:tcPr>
          <w:p>
            <w:pPr>
              <w:ind w:left="4540"/>
              <w:spacing w:after="0"/>
              <w:rPr>
                <w:sz w:val="20"/>
                <w:szCs w:val="20"/>
                <w:color w:val="auto"/>
              </w:rPr>
            </w:pPr>
            <w:r>
              <w:rPr>
                <w:rFonts w:ascii="Arial" w:cs="Arial" w:eastAsia="Arial" w:hAnsi="Arial"/>
                <w:sz w:val="13"/>
                <w:szCs w:val="13"/>
                <w:b w:val="1"/>
                <w:bCs w:val="1"/>
                <w:color w:val="auto"/>
              </w:rPr>
              <w:t>Number of options</w:t>
            </w:r>
          </w:p>
        </w:tc>
        <w:tc>
          <w:tcPr>
            <w:tcW w:w="1260" w:type="dxa"/>
            <w:vAlign w:val="bottom"/>
          </w:tcPr>
          <w:p>
            <w:pPr>
              <w:jc w:val="center"/>
              <w:ind w:left="413"/>
              <w:spacing w:after="0"/>
              <w:rPr>
                <w:sz w:val="20"/>
                <w:szCs w:val="20"/>
                <w:color w:val="auto"/>
              </w:rPr>
            </w:pPr>
            <w:r>
              <w:rPr>
                <w:rFonts w:ascii="Arial" w:cs="Arial" w:eastAsia="Arial" w:hAnsi="Arial"/>
                <w:sz w:val="13"/>
                <w:szCs w:val="13"/>
                <w:b w:val="1"/>
                <w:bCs w:val="1"/>
                <w:color w:val="auto"/>
              </w:rPr>
              <w:t>exercise</w:t>
            </w:r>
          </w:p>
        </w:tc>
        <w:tc>
          <w:tcPr>
            <w:tcW w:w="1820" w:type="dxa"/>
            <w:vAlign w:val="bottom"/>
          </w:tcPr>
          <w:p>
            <w:pPr>
              <w:jc w:val="center"/>
              <w:ind w:left="873"/>
              <w:spacing w:after="0"/>
              <w:rPr>
                <w:sz w:val="20"/>
                <w:szCs w:val="20"/>
                <w:color w:val="auto"/>
              </w:rPr>
            </w:pPr>
            <w:r>
              <w:rPr>
                <w:rFonts w:ascii="Arial" w:cs="Arial" w:eastAsia="Arial" w:hAnsi="Arial"/>
                <w:sz w:val="13"/>
                <w:szCs w:val="13"/>
                <w:b w:val="1"/>
                <w:bCs w:val="1"/>
                <w:color w:val="auto"/>
              </w:rPr>
              <w:t>life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ind w:right="213"/>
              <w:spacing w:after="0"/>
              <w:rPr>
                <w:sz w:val="20"/>
                <w:szCs w:val="20"/>
                <w:color w:val="auto"/>
              </w:rPr>
            </w:pPr>
            <w:r>
              <w:rPr>
                <w:rFonts w:ascii="Arial" w:cs="Arial" w:eastAsia="Arial" w:hAnsi="Arial"/>
                <w:sz w:val="13"/>
                <w:szCs w:val="13"/>
                <w:b w:val="1"/>
                <w:bCs w:val="1"/>
                <w:color w:val="auto"/>
              </w:rPr>
              <w:t>value</w:t>
            </w:r>
          </w:p>
        </w:tc>
      </w:tr>
      <w:tr>
        <w:trPr>
          <w:trHeight w:val="182"/>
        </w:trPr>
        <w:tc>
          <w:tcPr>
            <w:tcW w:w="5640" w:type="dxa"/>
            <w:vAlign w:val="bottom"/>
            <w:tcBorders>
              <w:bottom w:val="single" w:sz="8" w:color="auto"/>
            </w:tcBorders>
          </w:tcPr>
          <w:p>
            <w:pPr>
              <w:ind w:left="468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433"/>
              <w:spacing w:after="0"/>
              <w:rPr>
                <w:sz w:val="20"/>
                <w:szCs w:val="20"/>
                <w:color w:val="auto"/>
              </w:rPr>
            </w:pPr>
            <w:r>
              <w:rPr>
                <w:rFonts w:ascii="Arial" w:cs="Arial" w:eastAsia="Arial" w:hAnsi="Arial"/>
                <w:sz w:val="13"/>
                <w:szCs w:val="13"/>
                <w:b w:val="1"/>
                <w:bCs w:val="1"/>
                <w:color w:val="auto"/>
              </w:rPr>
              <w:t>price</w:t>
            </w:r>
          </w:p>
        </w:tc>
        <w:tc>
          <w:tcPr>
            <w:tcW w:w="1820" w:type="dxa"/>
            <w:vAlign w:val="bottom"/>
            <w:tcBorders>
              <w:bottom w:val="single" w:sz="8" w:color="auto"/>
            </w:tcBorders>
          </w:tcPr>
          <w:p>
            <w:pPr>
              <w:jc w:val="center"/>
              <w:ind w:left="873"/>
              <w:spacing w:after="0"/>
              <w:rPr>
                <w:sz w:val="20"/>
                <w:szCs w:val="20"/>
                <w:color w:val="auto"/>
              </w:rPr>
            </w:pPr>
            <w:r>
              <w:rPr>
                <w:rFonts w:ascii="Arial" w:cs="Arial" w:eastAsia="Arial" w:hAnsi="Arial"/>
                <w:sz w:val="13"/>
                <w:szCs w:val="13"/>
                <w:b w:val="1"/>
                <w:bCs w:val="1"/>
                <w:color w:val="auto"/>
              </w:rPr>
              <w:t>(in years)</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13"/>
              <w:spacing w:after="0"/>
              <w:rPr>
                <w:sz w:val="20"/>
                <w:szCs w:val="20"/>
                <w:color w:val="auto"/>
              </w:rPr>
            </w:pPr>
            <w:r>
              <w:rPr>
                <w:rFonts w:ascii="Arial" w:cs="Arial" w:eastAsia="Arial" w:hAnsi="Arial"/>
                <w:sz w:val="13"/>
                <w:szCs w:val="13"/>
                <w:b w:val="1"/>
                <w:bCs w:val="1"/>
                <w:color w:val="auto"/>
              </w:rPr>
              <w:t>(in millions)</w:t>
            </w: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October 31, 2019</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51</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ind w:right="1373"/>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5"/>
        </w:trPr>
        <w:tc>
          <w:tcPr>
            <w:tcW w:w="5640" w:type="dxa"/>
            <w:vAlign w:val="bottom"/>
          </w:tcPr>
          <w:p>
            <w:pPr>
              <w:ind w:left="420"/>
              <w:spacing w:after="0"/>
              <w:rPr>
                <w:sz w:val="20"/>
                <w:szCs w:val="20"/>
                <w:color w:val="auto"/>
              </w:rPr>
            </w:pPr>
            <w:r>
              <w:rPr>
                <w:rFonts w:ascii="Arial" w:cs="Arial" w:eastAsia="Arial" w:hAnsi="Arial"/>
                <w:sz w:val="13"/>
                <w:szCs w:val="13"/>
                <w:color w:val="auto"/>
              </w:rPr>
              <w:t>Granted</w:t>
            </w:r>
            <w:r>
              <w:rPr>
                <w:rFonts w:ascii="Arial" w:cs="Arial" w:eastAsia="Arial" w:hAnsi="Arial"/>
                <w:sz w:val="8"/>
                <w:szCs w:val="8"/>
                <w:color w:val="auto"/>
              </w:rPr>
              <w:t>(1)</w:t>
            </w:r>
          </w:p>
        </w:tc>
        <w:tc>
          <w:tcPr>
            <w:tcW w:w="380" w:type="dxa"/>
            <w:vAlign w:val="bottom"/>
          </w:tcPr>
          <w:p>
            <w:pPr>
              <w:jc w:val="right"/>
              <w:ind w:right="33"/>
              <w:spacing w:after="0"/>
              <w:rPr>
                <w:sz w:val="20"/>
                <w:szCs w:val="20"/>
                <w:color w:val="auto"/>
              </w:rPr>
            </w:pPr>
            <w:r>
              <w:rPr>
                <w:rFonts w:ascii="Arial" w:cs="Arial" w:eastAsia="Arial" w:hAnsi="Arial"/>
                <w:sz w:val="13"/>
                <w:szCs w:val="13"/>
                <w:color w:val="auto"/>
              </w:rPr>
              <w:t>664</w:t>
            </w:r>
          </w:p>
        </w:tc>
        <w:tc>
          <w:tcPr>
            <w:tcW w:w="1260" w:type="dxa"/>
            <w:vAlign w:val="bottom"/>
          </w:tcPr>
          <w:p>
            <w:pPr>
              <w:spacing w:after="0"/>
              <w:rPr>
                <w:sz w:val="16"/>
                <w:szCs w:val="16"/>
                <w:color w:val="auto"/>
              </w:rPr>
            </w:pPr>
          </w:p>
        </w:tc>
        <w:tc>
          <w:tcPr>
            <w:tcW w:w="1820" w:type="dxa"/>
            <w:vAlign w:val="bottom"/>
          </w:tcPr>
          <w:p>
            <w:pPr>
              <w:jc w:val="right"/>
              <w:ind w:right="1373"/>
              <w:spacing w:after="0"/>
              <w:rPr>
                <w:sz w:val="20"/>
                <w:szCs w:val="20"/>
                <w:color w:val="auto"/>
              </w:rPr>
            </w:pPr>
            <w:r>
              <w:rPr>
                <w:rFonts w:ascii="Arial" w:cs="Arial" w:eastAsia="Arial" w:hAnsi="Arial"/>
                <w:sz w:val="13"/>
                <w:szCs w:val="13"/>
                <w:color w:val="auto"/>
              </w:rPr>
              <w:t>12.00</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5"/>
        </w:trPr>
        <w:tc>
          <w:tcPr>
            <w:tcW w:w="56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Exercised</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w:t>
            </w:r>
          </w:p>
        </w:tc>
        <w:tc>
          <w:tcPr>
            <w:tcW w:w="1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1373"/>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5"/>
        </w:trPr>
        <w:tc>
          <w:tcPr>
            <w:tcW w:w="56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Forfeited</w:t>
            </w: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37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October 31, 2020</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698</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3"/>
                <w:szCs w:val="13"/>
                <w:color w:val="auto"/>
              </w:rPr>
              <w:t>11.62</w:t>
            </w: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9.6</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9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Vested and expected to vest at October 31, 2020</w:t>
            </w: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698</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jc w:val="right"/>
              <w:ind w:right="1373"/>
              <w:spacing w:after="0"/>
              <w:rPr>
                <w:sz w:val="20"/>
                <w:szCs w:val="20"/>
                <w:color w:val="auto"/>
              </w:rPr>
            </w:pPr>
            <w:r>
              <w:rPr>
                <w:rFonts w:ascii="Arial" w:cs="Arial" w:eastAsia="Arial" w:hAnsi="Arial"/>
                <w:sz w:val="13"/>
                <w:szCs w:val="13"/>
                <w:color w:val="auto"/>
              </w:rPr>
              <w:t>11.62</w:t>
            </w: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9.6</w:t>
            </w:r>
          </w:p>
        </w:tc>
        <w:tc>
          <w:tcPr>
            <w:tcW w:w="3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9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Exercisable at October 31, 2020</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3"/>
                <w:szCs w:val="13"/>
                <w:color w:val="auto"/>
              </w:rPr>
              <w:t>1.81</w:t>
            </w: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2.4</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bl>
    <w:p>
      <w:pPr>
        <w:spacing w:after="0" w:line="11" w:lineRule="exact"/>
        <w:rPr>
          <w:sz w:val="20"/>
          <w:szCs w:val="20"/>
          <w:color w:val="auto"/>
        </w:rPr>
      </w:pPr>
    </w:p>
    <w:p>
      <w:pPr>
        <w:ind w:left="160" w:hanging="160"/>
        <w:spacing w:after="0"/>
        <w:tabs>
          <w:tab w:leader="none" w:pos="160" w:val="left"/>
        </w:tabs>
        <w:numPr>
          <w:ilvl w:val="0"/>
          <w:numId w:val="33"/>
        </w:numPr>
        <w:rPr>
          <w:rFonts w:ascii="Arial" w:cs="Arial" w:eastAsia="Arial" w:hAnsi="Arial"/>
          <w:sz w:val="15"/>
          <w:szCs w:val="15"/>
          <w:color w:val="auto"/>
          <w:vertAlign w:val="superscript"/>
        </w:rPr>
      </w:pPr>
      <w:r>
        <w:rPr>
          <w:rFonts w:ascii="Arial" w:cs="Arial" w:eastAsia="Arial" w:hAnsi="Arial"/>
          <w:sz w:val="12"/>
          <w:szCs w:val="12"/>
          <w:color w:val="auto"/>
        </w:rPr>
        <w:t>To certain employees following the successful completion of our IPO. Options vest at 25% of the total award on each anniversary of the grant date.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900" w:type="dxa"/>
            <w:vAlign w:val="bottom"/>
          </w:tcPr>
          <w:p>
            <w:pPr>
              <w:ind w:left="4680"/>
              <w:spacing w:after="0"/>
              <w:rPr>
                <w:sz w:val="20"/>
                <w:szCs w:val="20"/>
                <w:color w:val="auto"/>
              </w:rPr>
            </w:pPr>
            <w:r>
              <w:rPr>
                <w:rFonts w:ascii="Arial" w:cs="Arial" w:eastAsia="Arial" w:hAnsi="Arial"/>
                <w:sz w:val="13"/>
                <w:szCs w:val="13"/>
                <w:b w:val="1"/>
                <w:bCs w:val="1"/>
                <w:color w:val="auto"/>
              </w:rPr>
              <w:t>Number of options</w:t>
            </w:r>
          </w:p>
        </w:tc>
        <w:tc>
          <w:tcPr>
            <w:tcW w:w="360" w:type="dxa"/>
            <w:vAlign w:val="bottom"/>
          </w:tcPr>
          <w:p>
            <w:pPr>
              <w:spacing w:after="0"/>
              <w:rPr>
                <w:sz w:val="13"/>
                <w:szCs w:val="13"/>
                <w:color w:val="auto"/>
              </w:rPr>
            </w:pPr>
          </w:p>
        </w:tc>
        <w:tc>
          <w:tcPr>
            <w:tcW w:w="200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 grant-date</w:t>
            </w:r>
          </w:p>
        </w:tc>
      </w:tr>
      <w:tr>
        <w:trPr>
          <w:trHeight w:val="182"/>
        </w:trPr>
        <w:tc>
          <w:tcPr>
            <w:tcW w:w="5900" w:type="dxa"/>
            <w:vAlign w:val="bottom"/>
            <w:tcBorders>
              <w:bottom w:val="single" w:sz="8" w:color="auto"/>
            </w:tcBorders>
          </w:tcPr>
          <w:p>
            <w:pPr>
              <w:ind w:left="482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fair value</w:t>
            </w:r>
          </w:p>
        </w:tc>
      </w:tr>
      <w:tr>
        <w:trPr>
          <w:trHeight w:val="197"/>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at October 31, 2019</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5900" w:type="dxa"/>
            <w:vAlign w:val="bottom"/>
          </w:tcPr>
          <w:p>
            <w:pPr>
              <w:ind w:left="20"/>
              <w:spacing w:after="0"/>
              <w:rPr>
                <w:sz w:val="20"/>
                <w:szCs w:val="20"/>
                <w:color w:val="auto"/>
              </w:rPr>
            </w:pPr>
            <w:r>
              <w:rPr>
                <w:rFonts w:ascii="Arial" w:cs="Arial" w:eastAsia="Arial" w:hAnsi="Arial"/>
                <w:sz w:val="13"/>
                <w:szCs w:val="13"/>
                <w:color w:val="auto"/>
              </w:rPr>
              <w:t>Granted</w:t>
            </w: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664</w:t>
            </w:r>
          </w:p>
        </w:tc>
        <w:tc>
          <w:tcPr>
            <w:tcW w:w="4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3.61</w:t>
            </w:r>
          </w:p>
        </w:tc>
      </w:tr>
      <w:tr>
        <w:trPr>
          <w:trHeight w:val="205"/>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Unvested at October 31, 2020</w:t>
            </w: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664</w:t>
            </w:r>
          </w:p>
        </w:tc>
        <w:tc>
          <w:tcPr>
            <w:tcW w:w="4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r>
    </w:tbl>
    <w:p>
      <w:pPr>
        <w:spacing w:after="0" w:line="202"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The weighted-average grant-date fair value of options granted during the years ended October 31, 2020 and 2019, was $3.61 and $5.35, respectively. No stock options were granted during the year ended October 31, 2018. The total grant-date fair value of stock options vested during the year ended October 31, 2020 was $5.5 million. No stock options vested during the years ended October 31, 2019 and 2018. The total intrinsic</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1240"/>
          </w:cols>
          <w:pgMar w:left="320" w:top="17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5"/>
          <w:szCs w:val="15"/>
          <w:color w:val="auto"/>
        </w:rPr>
        <w:t>value of stock options exercised during the years ended October 31, 2020 and 2018, was $0.2 million and $0.4 million, respectively. No stock options were exercised during the year ended October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RSUs</w:t>
      </w:r>
    </w:p>
    <w:p>
      <w:pPr>
        <w:spacing w:after="0" w:line="243" w:lineRule="exact"/>
        <w:rPr>
          <w:sz w:val="20"/>
          <w:szCs w:val="20"/>
          <w:color w:val="auto"/>
        </w:rPr>
      </w:pPr>
    </w:p>
    <w:p>
      <w:pPr>
        <w:ind w:right="80" w:firstLine="600"/>
        <w:spacing w:after="0" w:line="248" w:lineRule="auto"/>
        <w:rPr>
          <w:sz w:val="20"/>
          <w:szCs w:val="20"/>
          <w:color w:val="auto"/>
        </w:rPr>
      </w:pPr>
      <w:r>
        <w:rPr>
          <w:rFonts w:ascii="Arial" w:cs="Arial" w:eastAsia="Arial" w:hAnsi="Arial"/>
          <w:sz w:val="15"/>
          <w:szCs w:val="15"/>
          <w:color w:val="auto"/>
        </w:rPr>
        <w:t>RSUs are service-based awards granted under the 2020 Plan to eligible employees and non-employees. RSUs are expected to be settled with shares of the Company’s common stock. Vesting and forfeiture conditions are specific to each grant as determined by the plan administrator. The fair of RSUs is determined based on the market price of our common stock on the date of grant.</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Awarded RSU activity during the year ended October 31, 2020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60" w:type="dxa"/>
            <w:vAlign w:val="bottom"/>
          </w:tcPr>
          <w:p>
            <w:pPr>
              <w:ind w:left="5100"/>
              <w:spacing w:after="0"/>
              <w:rPr>
                <w:sz w:val="20"/>
                <w:szCs w:val="20"/>
                <w:color w:val="auto"/>
              </w:rPr>
            </w:pPr>
            <w:r>
              <w:rPr>
                <w:rFonts w:ascii="Arial" w:cs="Arial" w:eastAsia="Arial" w:hAnsi="Arial"/>
                <w:sz w:val="13"/>
                <w:szCs w:val="13"/>
                <w:b w:val="1"/>
                <w:bCs w:val="1"/>
                <w:color w:val="auto"/>
              </w:rPr>
              <w:t>Units</w:t>
            </w:r>
          </w:p>
        </w:tc>
        <w:tc>
          <w:tcPr>
            <w:tcW w:w="400" w:type="dxa"/>
            <w:vAlign w:val="bottom"/>
          </w:tcPr>
          <w:p>
            <w:pPr>
              <w:spacing w:after="0"/>
              <w:rPr>
                <w:sz w:val="13"/>
                <w:szCs w:val="13"/>
                <w:color w:val="auto"/>
              </w:rPr>
            </w:pPr>
          </w:p>
        </w:tc>
        <w:tc>
          <w:tcPr>
            <w:tcW w:w="22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Weighted average grant-date fair</w:t>
            </w:r>
          </w:p>
        </w:tc>
      </w:tr>
      <w:tr>
        <w:trPr>
          <w:trHeight w:val="182"/>
        </w:trPr>
        <w:tc>
          <w:tcPr>
            <w:tcW w:w="5860" w:type="dxa"/>
            <w:vAlign w:val="bottom"/>
            <w:tcBorders>
              <w:bottom w:val="single" w:sz="8" w:color="auto"/>
            </w:tcBorders>
          </w:tcPr>
          <w:p>
            <w:pPr>
              <w:ind w:left="48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value per unit</w:t>
            </w:r>
          </w:p>
        </w:tc>
      </w:tr>
      <w:tr>
        <w:trPr>
          <w:trHeight w:val="197"/>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October 31, 2019</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5860" w:type="dxa"/>
            <w:vAlign w:val="bottom"/>
          </w:tcPr>
          <w:p>
            <w:pPr>
              <w:ind w:left="20"/>
              <w:spacing w:after="0"/>
              <w:rPr>
                <w:sz w:val="20"/>
                <w:szCs w:val="20"/>
                <w:color w:val="auto"/>
              </w:rPr>
            </w:pPr>
            <w:r>
              <w:rPr>
                <w:rFonts w:ascii="Arial" w:cs="Arial" w:eastAsia="Arial" w:hAnsi="Arial"/>
                <w:sz w:val="13"/>
                <w:szCs w:val="13"/>
                <w:color w:val="auto"/>
              </w:rPr>
              <w:t>Granted</w:t>
            </w:r>
            <w:r>
              <w:rPr>
                <w:rFonts w:ascii="Arial" w:cs="Arial" w:eastAsia="Arial" w:hAnsi="Arial"/>
                <w:sz w:val="8"/>
                <w:szCs w:val="8"/>
                <w:color w:val="auto"/>
              </w:rPr>
              <w:t>(1)</w:t>
            </w:r>
          </w:p>
        </w:tc>
        <w:tc>
          <w:tcPr>
            <w:tcW w:w="400" w:type="dxa"/>
            <w:vAlign w:val="bottom"/>
          </w:tcPr>
          <w:p>
            <w:pPr>
              <w:jc w:val="right"/>
              <w:ind w:right="33"/>
              <w:spacing w:after="0"/>
              <w:rPr>
                <w:sz w:val="20"/>
                <w:szCs w:val="20"/>
                <w:color w:val="auto"/>
              </w:rPr>
            </w:pPr>
            <w:r>
              <w:rPr>
                <w:rFonts w:ascii="Arial" w:cs="Arial" w:eastAsia="Arial" w:hAnsi="Arial"/>
                <w:sz w:val="13"/>
                <w:szCs w:val="13"/>
                <w:color w:val="auto"/>
              </w:rPr>
              <w:t>58</w:t>
            </w:r>
          </w:p>
        </w:tc>
        <w:tc>
          <w:tcPr>
            <w:tcW w:w="4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12.00</w:t>
            </w:r>
          </w:p>
        </w:tc>
      </w:tr>
      <w:tr>
        <w:trPr>
          <w:trHeight w:val="205"/>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October 31, 2020</w:t>
            </w:r>
          </w:p>
        </w:tc>
        <w:tc>
          <w:tcPr>
            <w:tcW w:w="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58</w:t>
            </w:r>
          </w:p>
        </w:tc>
        <w:tc>
          <w:tcPr>
            <w:tcW w:w="4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w:t>
            </w:r>
          </w:p>
        </w:tc>
      </w:tr>
    </w:tbl>
    <w:p>
      <w:pPr>
        <w:spacing w:after="0" w:line="61" w:lineRule="exact"/>
        <w:rPr>
          <w:sz w:val="20"/>
          <w:szCs w:val="20"/>
          <w:color w:val="auto"/>
        </w:rPr>
      </w:pPr>
    </w:p>
    <w:p>
      <w:pPr>
        <w:ind w:left="180" w:hanging="180"/>
        <w:spacing w:after="0"/>
        <w:tabs>
          <w:tab w:leader="none" w:pos="180" w:val="left"/>
        </w:tabs>
        <w:numPr>
          <w:ilvl w:val="0"/>
          <w:numId w:val="34"/>
        </w:numPr>
        <w:rPr>
          <w:rFonts w:ascii="Arial" w:cs="Arial" w:eastAsia="Arial" w:hAnsi="Arial"/>
          <w:sz w:val="15"/>
          <w:szCs w:val="15"/>
          <w:color w:val="auto"/>
          <w:vertAlign w:val="superscript"/>
        </w:rPr>
      </w:pPr>
      <w:r>
        <w:rPr>
          <w:rFonts w:ascii="Arial" w:cs="Arial" w:eastAsia="Arial" w:hAnsi="Arial"/>
          <w:sz w:val="12"/>
          <w:szCs w:val="12"/>
          <w:color w:val="auto"/>
        </w:rPr>
        <w:t>To directors in connection with our IPO, with a cliff-vest date in March 2021. All RSUs granted were unvested as of October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Promissory notes issued for exercising stock options</w:t>
      </w:r>
    </w:p>
    <w:p>
      <w:pPr>
        <w:spacing w:after="0" w:line="220" w:lineRule="exact"/>
        <w:rPr>
          <w:sz w:val="20"/>
          <w:szCs w:val="20"/>
          <w:color w:val="auto"/>
        </w:rPr>
      </w:pPr>
    </w:p>
    <w:p>
      <w:pPr>
        <w:ind w:right="80" w:firstLine="600"/>
        <w:spacing w:after="0" w:line="245" w:lineRule="auto"/>
        <w:rPr>
          <w:sz w:val="20"/>
          <w:szCs w:val="20"/>
          <w:color w:val="auto"/>
        </w:rPr>
      </w:pPr>
      <w:r>
        <w:rPr>
          <w:rFonts w:ascii="Arial" w:cs="Arial" w:eastAsia="Arial" w:hAnsi="Arial"/>
          <w:sz w:val="15"/>
          <w:szCs w:val="15"/>
          <w:color w:val="auto"/>
        </w:rPr>
        <w:t>As of October 31, 2020 and 2019 notes receivable from shareholders were $0.1 million. These promissory notes had been issued by the Company to various employees (the “stock option notes”) to finance option exercises. The stock option notes provided recourse for the full amount of the outstanding principal and accrued interest and were secured by the Company’s security interest in the stock and all stock dividends, cash dividends, liquidating dividends, new securities and all other property, moneys and rights to which the employees might have become entitled on account thereof. Due to the fact that the stock option notes were recourse notes and the Company’s intent was to seek full recourse in the event of non-payment by the employee, the Company presented these notes as a separate component of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Dividends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If we do not comply with certain covenants under our credit facility, our ability to pay dividends in the future could be limited.</w:t>
      </w:r>
    </w:p>
    <w:p>
      <w:pPr>
        <w:spacing w:after="0" w:line="200" w:lineRule="exact"/>
        <w:rPr>
          <w:sz w:val="20"/>
          <w:szCs w:val="20"/>
          <w:color w:val="auto"/>
        </w:rPr>
      </w:pPr>
    </w:p>
    <w:p>
      <w:pPr>
        <w:spacing w:after="0" w:line="208" w:lineRule="exact"/>
        <w:rPr>
          <w:sz w:val="20"/>
          <w:szCs w:val="20"/>
          <w:color w:val="auto"/>
        </w:rPr>
      </w:pPr>
    </w:p>
    <w:p>
      <w:pPr>
        <w:ind w:left="560" w:hanging="560"/>
        <w:spacing w:after="0"/>
        <w:tabs>
          <w:tab w:leader="none" w:pos="560" w:val="left"/>
        </w:tabs>
        <w:numPr>
          <w:ilvl w:val="0"/>
          <w:numId w:val="35"/>
        </w:numPr>
        <w:rPr>
          <w:rFonts w:ascii="Arial" w:cs="Arial" w:eastAsia="Arial" w:hAnsi="Arial"/>
          <w:sz w:val="20"/>
          <w:szCs w:val="20"/>
          <w:b w:val="1"/>
          <w:bCs w:val="1"/>
          <w:color w:val="232F84"/>
        </w:rPr>
      </w:pPr>
      <w:r>
        <w:rPr>
          <w:rFonts w:ascii="Arial" w:cs="Arial" w:eastAsia="Arial" w:hAnsi="Arial"/>
          <w:sz w:val="20"/>
          <w:szCs w:val="20"/>
          <w:b w:val="1"/>
          <w:bCs w:val="1"/>
          <w:color w:val="232F84"/>
        </w:rPr>
        <w:t>Fair Value Measurements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Financial liabilities measured and recorded at fair value on a recurring basis were presented in the consolidated balance sheets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3"/>
                <w:szCs w:val="13"/>
                <w:b w:val="1"/>
                <w:bCs w:val="1"/>
                <w:color w:val="auto"/>
              </w:rPr>
              <w:t>October 31, 2020</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October 31, 2019</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1"/>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Significant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jc w:val="center"/>
              <w:ind w:right="93"/>
              <w:spacing w:after="0"/>
              <w:rPr>
                <w:sz w:val="20"/>
                <w:szCs w:val="20"/>
                <w:color w:val="auto"/>
              </w:rPr>
            </w:pPr>
            <w:r>
              <w:rPr>
                <w:rFonts w:ascii="Arial" w:cs="Arial" w:eastAsia="Arial" w:hAnsi="Arial"/>
                <w:sz w:val="13"/>
                <w:szCs w:val="13"/>
                <w:b w:val="1"/>
                <w:bCs w:val="1"/>
                <w:color w:val="auto"/>
              </w:rPr>
              <w:t>Significant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0"/>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253"/>
              <w:spacing w:after="0"/>
              <w:rPr>
                <w:sz w:val="20"/>
                <w:szCs w:val="20"/>
                <w:color w:val="auto"/>
              </w:rPr>
            </w:pPr>
            <w:r>
              <w:rPr>
                <w:rFonts w:ascii="Arial" w:cs="Arial" w:eastAsia="Arial" w:hAnsi="Arial"/>
                <w:sz w:val="13"/>
                <w:szCs w:val="13"/>
                <w:b w:val="1"/>
                <w:bCs w:val="1"/>
                <w:color w:val="auto"/>
              </w:rPr>
              <w:t>Quoted Prices</w:t>
            </w: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3"/>
                <w:szCs w:val="13"/>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rPr>
              <w:t>Significant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b w:val="1"/>
                <w:bCs w:val="1"/>
                <w:color w:val="auto"/>
              </w:rPr>
              <w:t>Quoted Prices</w:t>
            </w:r>
          </w:p>
        </w:tc>
        <w:tc>
          <w:tcPr>
            <w:tcW w:w="1020" w:type="dxa"/>
            <w:vAlign w:val="bottom"/>
          </w:tcPr>
          <w:p>
            <w:pPr>
              <w:jc w:val="center"/>
              <w:ind w:right="93"/>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3"/>
                <w:szCs w:val="13"/>
                <w:color w:val="auto"/>
              </w:rPr>
            </w:pPr>
          </w:p>
        </w:tc>
        <w:tc>
          <w:tcPr>
            <w:tcW w:w="1120" w:type="dxa"/>
            <w:vAlign w:val="bottom"/>
          </w:tcPr>
          <w:p>
            <w:pPr>
              <w:jc w:val="center"/>
              <w:ind w:right="53"/>
              <w:spacing w:after="0"/>
              <w:rPr>
                <w:sz w:val="20"/>
                <w:szCs w:val="20"/>
                <w:color w:val="auto"/>
              </w:rPr>
            </w:pPr>
            <w:r>
              <w:rPr>
                <w:rFonts w:ascii="Arial" w:cs="Arial" w:eastAsia="Arial" w:hAnsi="Arial"/>
                <w:sz w:val="13"/>
                <w:szCs w:val="13"/>
                <w:b w:val="1"/>
                <w:bCs w:val="1"/>
                <w:color w:val="auto"/>
              </w:rPr>
              <w:t>Significant</w:t>
            </w:r>
          </w:p>
        </w:tc>
      </w:tr>
      <w:tr>
        <w:trPr>
          <w:trHeight w:val="150"/>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273"/>
              <w:spacing w:after="0"/>
              <w:rPr>
                <w:sz w:val="20"/>
                <w:szCs w:val="20"/>
                <w:color w:val="auto"/>
              </w:rPr>
            </w:pPr>
            <w:r>
              <w:rPr>
                <w:rFonts w:ascii="Arial" w:cs="Arial" w:eastAsia="Arial" w:hAnsi="Arial"/>
                <w:sz w:val="13"/>
                <w:szCs w:val="13"/>
                <w:b w:val="1"/>
                <w:bCs w:val="1"/>
                <w:color w:val="auto"/>
              </w:rPr>
              <w:t>in Active</w:t>
            </w: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Observable</w:t>
            </w:r>
          </w:p>
        </w:tc>
        <w:tc>
          <w:tcPr>
            <w:tcW w:w="200" w:type="dxa"/>
            <w:vAlign w:val="bottom"/>
          </w:tcPr>
          <w:p>
            <w:pPr>
              <w:spacing w:after="0"/>
              <w:rPr>
                <w:sz w:val="13"/>
                <w:szCs w:val="13"/>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rPr>
              <w:t>Unobservable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ind w:left="180"/>
              <w:spacing w:after="0"/>
              <w:rPr>
                <w:sz w:val="20"/>
                <w:szCs w:val="20"/>
                <w:color w:val="auto"/>
              </w:rPr>
            </w:pPr>
            <w:r>
              <w:rPr>
                <w:rFonts w:ascii="Arial" w:cs="Arial" w:eastAsia="Arial" w:hAnsi="Arial"/>
                <w:sz w:val="13"/>
                <w:szCs w:val="13"/>
                <w:b w:val="1"/>
                <w:bCs w:val="1"/>
                <w:color w:val="auto"/>
              </w:rPr>
              <w:t>in Active</w:t>
            </w:r>
          </w:p>
        </w:tc>
        <w:tc>
          <w:tcPr>
            <w:tcW w:w="1020" w:type="dxa"/>
            <w:vAlign w:val="bottom"/>
          </w:tcPr>
          <w:p>
            <w:pPr>
              <w:jc w:val="center"/>
              <w:ind w:right="93"/>
              <w:spacing w:after="0"/>
              <w:rPr>
                <w:sz w:val="20"/>
                <w:szCs w:val="20"/>
                <w:color w:val="auto"/>
              </w:rPr>
            </w:pPr>
            <w:r>
              <w:rPr>
                <w:rFonts w:ascii="Arial" w:cs="Arial" w:eastAsia="Arial" w:hAnsi="Arial"/>
                <w:sz w:val="13"/>
                <w:szCs w:val="13"/>
                <w:b w:val="1"/>
                <w:bCs w:val="1"/>
                <w:color w:val="auto"/>
              </w:rPr>
              <w:t>Observable</w:t>
            </w:r>
          </w:p>
        </w:tc>
        <w:tc>
          <w:tcPr>
            <w:tcW w:w="200" w:type="dxa"/>
            <w:vAlign w:val="bottom"/>
          </w:tcPr>
          <w:p>
            <w:pPr>
              <w:spacing w:after="0"/>
              <w:rPr>
                <w:sz w:val="13"/>
                <w:szCs w:val="13"/>
                <w:color w:val="auto"/>
              </w:rPr>
            </w:pPr>
          </w:p>
        </w:tc>
        <w:tc>
          <w:tcPr>
            <w:tcW w:w="1120" w:type="dxa"/>
            <w:vAlign w:val="bottom"/>
          </w:tcPr>
          <w:p>
            <w:pPr>
              <w:jc w:val="center"/>
              <w:ind w:right="53"/>
              <w:spacing w:after="0"/>
              <w:rPr>
                <w:sz w:val="20"/>
                <w:szCs w:val="20"/>
                <w:color w:val="auto"/>
              </w:rPr>
            </w:pPr>
            <w:r>
              <w:rPr>
                <w:rFonts w:ascii="Arial" w:cs="Arial" w:eastAsia="Arial" w:hAnsi="Arial"/>
                <w:sz w:val="13"/>
                <w:szCs w:val="13"/>
                <w:b w:val="1"/>
                <w:bCs w:val="1"/>
                <w:color w:val="auto"/>
              </w:rPr>
              <w:t>Unobservable</w:t>
            </w:r>
          </w:p>
        </w:tc>
      </w:tr>
      <w:tr>
        <w:trPr>
          <w:trHeight w:val="150"/>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253"/>
              <w:spacing w:after="0"/>
              <w:rPr>
                <w:sz w:val="20"/>
                <w:szCs w:val="20"/>
                <w:color w:val="auto"/>
              </w:rPr>
            </w:pPr>
            <w:r>
              <w:rPr>
                <w:rFonts w:ascii="Arial" w:cs="Arial" w:eastAsia="Arial" w:hAnsi="Arial"/>
                <w:sz w:val="13"/>
                <w:szCs w:val="13"/>
                <w:b w:val="1"/>
                <w:bCs w:val="1"/>
                <w:color w:val="auto"/>
              </w:rPr>
              <w:t>Markets</w:t>
            </w: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Inputs</w:t>
            </w:r>
          </w:p>
        </w:tc>
        <w:tc>
          <w:tcPr>
            <w:tcW w:w="200" w:type="dxa"/>
            <w:vAlign w:val="bottom"/>
          </w:tcPr>
          <w:p>
            <w:pPr>
              <w:spacing w:after="0"/>
              <w:rPr>
                <w:sz w:val="13"/>
                <w:szCs w:val="13"/>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rPr>
              <w:t>Inputs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b w:val="1"/>
                <w:bCs w:val="1"/>
                <w:color w:val="auto"/>
              </w:rPr>
              <w:t>Markets</w:t>
            </w: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Inputs</w:t>
            </w:r>
          </w:p>
        </w:tc>
        <w:tc>
          <w:tcPr>
            <w:tcW w:w="200" w:type="dxa"/>
            <w:vAlign w:val="bottom"/>
          </w:tcPr>
          <w:p>
            <w:pPr>
              <w:spacing w:after="0"/>
              <w:rPr>
                <w:sz w:val="13"/>
                <w:szCs w:val="13"/>
                <w:color w:val="auto"/>
              </w:rPr>
            </w:pPr>
          </w:p>
        </w:tc>
        <w:tc>
          <w:tcPr>
            <w:tcW w:w="1120" w:type="dxa"/>
            <w:vAlign w:val="bottom"/>
          </w:tcPr>
          <w:p>
            <w:pPr>
              <w:jc w:val="center"/>
              <w:ind w:right="53"/>
              <w:spacing w:after="0"/>
              <w:rPr>
                <w:sz w:val="20"/>
                <w:szCs w:val="20"/>
                <w:color w:val="auto"/>
              </w:rPr>
            </w:pPr>
            <w:r>
              <w:rPr>
                <w:rFonts w:ascii="Arial" w:cs="Arial" w:eastAsia="Arial" w:hAnsi="Arial"/>
                <w:sz w:val="13"/>
                <w:szCs w:val="13"/>
                <w:b w:val="1"/>
                <w:bCs w:val="1"/>
                <w:color w:val="auto"/>
              </w:rPr>
              <w:t>Inputs</w:t>
            </w:r>
          </w:p>
        </w:tc>
      </w:tr>
      <w:tr>
        <w:trPr>
          <w:trHeight w:val="18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53"/>
              <w:spacing w:after="0"/>
              <w:rPr>
                <w:sz w:val="20"/>
                <w:szCs w:val="20"/>
                <w:color w:val="auto"/>
              </w:rPr>
            </w:pPr>
            <w:r>
              <w:rPr>
                <w:rFonts w:ascii="Arial" w:cs="Arial" w:eastAsia="Arial" w:hAnsi="Arial"/>
                <w:sz w:val="13"/>
                <w:szCs w:val="13"/>
                <w:b w:val="1"/>
                <w:bCs w:val="1"/>
                <w:color w:val="auto"/>
              </w:rPr>
              <w:t>(Level 1)</w:t>
            </w: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3"/>
                <w:szCs w:val="13"/>
                <w:b w:val="1"/>
                <w:bCs w:val="1"/>
                <w:color w:val="auto"/>
              </w:rPr>
              <w:t>(Level 3)</w:t>
            </w: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1)</w:t>
            </w: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(Level 3)</w:t>
            </w:r>
          </w:p>
        </w:tc>
      </w:tr>
      <w:tr>
        <w:trPr>
          <w:trHeight w:val="192"/>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rate swaps</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gridSpan w:val="3"/>
            <w:shd w:val="clear" w:color="auto" w:fill="CCEEFF"/>
          </w:tcPr>
          <w:p>
            <w:pPr>
              <w:ind w:left="920"/>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ind w:firstLine="600"/>
        <w:spacing w:after="0" w:line="244" w:lineRule="auto"/>
        <w:rPr>
          <w:sz w:val="20"/>
          <w:szCs w:val="20"/>
          <w:color w:val="auto"/>
        </w:rPr>
      </w:pPr>
      <w:r>
        <w:rPr>
          <w:rFonts w:ascii="Arial" w:cs="Arial" w:eastAsia="Arial" w:hAnsi="Arial"/>
          <w:sz w:val="15"/>
          <w:szCs w:val="15"/>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October 31, 2020 and 2019,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1240"/>
          </w:cols>
          <w:pgMar w:left="320" w:top="17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232F84"/>
        </w:rPr>
        <w:t>11.</w:t>
      </w:r>
      <w:r>
        <w:rPr>
          <w:sz w:val="20"/>
          <w:szCs w:val="20"/>
          <w:color w:val="auto"/>
        </w:rPr>
        <w:tab/>
      </w:r>
      <w:r>
        <w:rPr>
          <w:rFonts w:ascii="Arial" w:cs="Arial" w:eastAsia="Arial" w:hAnsi="Arial"/>
          <w:sz w:val="19"/>
          <w:szCs w:val="19"/>
          <w:b w:val="1"/>
          <w:bCs w:val="1"/>
          <w:color w:val="232F84"/>
        </w:rPr>
        <w:t>Earnings Per Share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92"/>
        </w:trPr>
        <w:tc>
          <w:tcPr>
            <w:tcW w:w="7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2018</w:t>
            </w:r>
          </w:p>
        </w:tc>
      </w:tr>
      <w:tr>
        <w:trPr>
          <w:trHeight w:val="197"/>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72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Net income available to shareholders (in millions)</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71.7</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w:t>
            </w:r>
          </w:p>
        </w:tc>
      </w:tr>
      <w:tr>
        <w:trPr>
          <w:trHeight w:val="197"/>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7260" w:type="dxa"/>
            <w:vAlign w:val="bottom"/>
          </w:tcPr>
          <w:p>
            <w:pPr>
              <w:ind w:left="320"/>
              <w:spacing w:after="0"/>
              <w:rPr>
                <w:sz w:val="20"/>
                <w:szCs w:val="20"/>
                <w:color w:val="auto"/>
              </w:rPr>
            </w:pPr>
            <w:r>
              <w:rPr>
                <w:rFonts w:ascii="Arial" w:cs="Arial" w:eastAsia="Arial" w:hAnsi="Arial"/>
                <w:sz w:val="13"/>
                <w:szCs w:val="13"/>
                <w:color w:val="auto"/>
              </w:rPr>
              <w:t>Weighted average shares of common stock outstanding, used in computing basic earnings per share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63,634,863</w:t>
            </w:r>
          </w:p>
        </w:tc>
        <w:tc>
          <w:tcPr>
            <w:tcW w:w="44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63,442,776</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52,915,866</w:t>
            </w:r>
          </w:p>
        </w:tc>
      </w:tr>
      <w:tr>
        <w:trPr>
          <w:trHeight w:val="205"/>
        </w:trPr>
        <w:tc>
          <w:tcPr>
            <w:tcW w:w="72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Effect of dilutive stock options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22,038</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35,173</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94,962</w:t>
            </w:r>
          </w:p>
        </w:tc>
      </w:tr>
      <w:tr>
        <w:trPr>
          <w:trHeight w:val="195"/>
        </w:trPr>
        <w:tc>
          <w:tcPr>
            <w:tcW w:w="72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Effect of dilutive RSUs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3,117</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Weighted average shares of common stock outstanding, used in computing diluted earnings per share</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63,660,018</w:t>
            </w: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63,477,949</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53,010,828</w:t>
            </w:r>
          </w:p>
        </w:tc>
      </w:tr>
      <w:tr>
        <w:trPr>
          <w:trHeight w:val="192"/>
        </w:trPr>
        <w:tc>
          <w:tcPr>
            <w:tcW w:w="7260" w:type="dxa"/>
            <w:vAlign w:val="bottom"/>
          </w:tcPr>
          <w:p>
            <w:pPr>
              <w:ind w:left="20"/>
              <w:spacing w:after="0"/>
              <w:rPr>
                <w:sz w:val="20"/>
                <w:szCs w:val="20"/>
                <w:color w:val="auto"/>
              </w:rPr>
            </w:pPr>
            <w:r>
              <w:rPr>
                <w:rFonts w:ascii="Arial" w:cs="Arial" w:eastAsia="Arial" w:hAnsi="Arial"/>
                <w:sz w:val="13"/>
                <w:szCs w:val="13"/>
                <w:color w:val="auto"/>
              </w:rPr>
              <w:t>Earnings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5"/>
        </w:trPr>
        <w:tc>
          <w:tcPr>
            <w:tcW w:w="72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95"/>
        </w:trPr>
        <w:tc>
          <w:tcPr>
            <w:tcW w:w="72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Diluted</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0.45</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1.13</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r>
    </w:tbl>
    <w:p>
      <w:pPr>
        <w:spacing w:after="0" w:line="202" w:lineRule="exact"/>
        <w:rPr>
          <w:sz w:val="20"/>
          <w:szCs w:val="20"/>
          <w:color w:val="auto"/>
        </w:rPr>
      </w:pPr>
    </w:p>
    <w:p>
      <w:pPr>
        <w:jc w:val="both"/>
        <w:ind w:right="240" w:firstLine="600"/>
        <w:spacing w:after="0" w:line="248" w:lineRule="auto"/>
        <w:rPr>
          <w:sz w:val="20"/>
          <w:szCs w:val="20"/>
          <w:color w:val="auto"/>
        </w:rPr>
      </w:pPr>
      <w:r>
        <w:rPr>
          <w:rFonts w:ascii="Arial" w:cs="Arial" w:eastAsia="Arial" w:hAnsi="Arial"/>
          <w:sz w:val="15"/>
          <w:szCs w:val="15"/>
          <w:color w:val="auto"/>
        </w:rPr>
        <w:t>There were 1,289,589 and 1,700,000 weighted-average stock options that were excluded in the computation of diluted EPS because their effect would have been anti-dilutive as a result of applying the treasury stock method for the years ended s of October 31, 2020 and 2019, respectively. There were no anti-dilutive stock options for the year ended October 31, 2018.</w:t>
      </w:r>
    </w:p>
    <w:p>
      <w:pPr>
        <w:spacing w:after="0" w:line="396" w:lineRule="exact"/>
        <w:rPr>
          <w:sz w:val="20"/>
          <w:szCs w:val="20"/>
          <w:color w:val="auto"/>
        </w:rPr>
      </w:pPr>
    </w:p>
    <w:p>
      <w:pPr>
        <w:ind w:left="560" w:hanging="560"/>
        <w:spacing w:after="0"/>
        <w:tabs>
          <w:tab w:leader="none" w:pos="560" w:val="left"/>
        </w:tabs>
        <w:numPr>
          <w:ilvl w:val="0"/>
          <w:numId w:val="36"/>
        </w:numPr>
        <w:rPr>
          <w:rFonts w:ascii="Arial" w:cs="Arial" w:eastAsia="Arial" w:hAnsi="Arial"/>
          <w:sz w:val="20"/>
          <w:szCs w:val="20"/>
          <w:b w:val="1"/>
          <w:bCs w:val="1"/>
          <w:color w:val="232F84"/>
        </w:rPr>
      </w:pPr>
      <w:r>
        <w:rPr>
          <w:rFonts w:ascii="Arial" w:cs="Arial" w:eastAsia="Arial" w:hAnsi="Arial"/>
          <w:sz w:val="20"/>
          <w:szCs w:val="20"/>
          <w:b w:val="1"/>
          <w:bCs w:val="1"/>
          <w:color w:val="232F84"/>
        </w:rPr>
        <w:t>Related Party Transactions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Transactions with related parties included in the consolidated financial statements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3"/>
                <w:szCs w:val="13"/>
                <w:b w:val="1"/>
                <w:bCs w:val="1"/>
                <w:color w:val="auto"/>
              </w:rPr>
              <w:t>Consolidated Balance Sheets</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7"/>
          </w:tcPr>
          <w:p>
            <w:pPr>
              <w:jc w:val="center"/>
              <w:ind w:right="113"/>
              <w:spacing w:after="0"/>
              <w:rPr>
                <w:sz w:val="20"/>
                <w:szCs w:val="20"/>
                <w:color w:val="auto"/>
              </w:rPr>
            </w:pPr>
            <w:r>
              <w:rPr>
                <w:rFonts w:ascii="Arial" w:cs="Arial" w:eastAsia="Arial" w:hAnsi="Arial"/>
                <w:sz w:val="13"/>
                <w:szCs w:val="13"/>
                <w:b w:val="1"/>
                <w:bCs w:val="1"/>
                <w:color w:val="auto"/>
              </w:rPr>
              <w:t>Consolidated Statements of Comprehensive Income</w:t>
            </w:r>
          </w:p>
        </w:tc>
      </w:tr>
      <w:tr>
        <w:trPr>
          <w:trHeight w:val="161"/>
        </w:trPr>
        <w:tc>
          <w:tcPr>
            <w:tcW w:w="2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Selling, general</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0"/>
        </w:trPr>
        <w:tc>
          <w:tcPr>
            <w:tcW w:w="2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Accounts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Arial" w:cs="Arial" w:eastAsia="Arial" w:hAnsi="Arial"/>
                <w:sz w:val="13"/>
                <w:szCs w:val="13"/>
                <w:b w:val="1"/>
                <w:bCs w:val="1"/>
                <w:color w:val="auto"/>
              </w:rPr>
              <w:t>Loans to equity</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and administrative</w:t>
            </w:r>
          </w:p>
        </w:tc>
        <w:tc>
          <w:tcPr>
            <w:tcW w:w="14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Other (expense)</w:t>
            </w:r>
          </w:p>
        </w:tc>
      </w:tr>
      <w:tr>
        <w:trPr>
          <w:trHeight w:val="18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receivable</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method investees</w:t>
            </w: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Accounts payable</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Cost of sales</w:t>
            </w: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expenses</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income, net</w:t>
            </w:r>
          </w:p>
        </w:tc>
      </w:tr>
      <w:tr>
        <w:trPr>
          <w:trHeight w:val="197"/>
        </w:trPr>
        <w:tc>
          <w:tcPr>
            <w:tcW w:w="23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October 31, 2020</w:t>
            </w:r>
          </w:p>
        </w:tc>
        <w:tc>
          <w:tcPr>
            <w:tcW w:w="6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2"/>
            <w:shd w:val="clear" w:color="auto" w:fill="CCEEFF"/>
          </w:tcPr>
          <w:p>
            <w:pPr>
              <w:jc w:val="center"/>
              <w:ind w:left="93"/>
              <w:spacing w:after="0"/>
              <w:rPr>
                <w:sz w:val="20"/>
                <w:szCs w:val="20"/>
                <w:color w:val="auto"/>
              </w:rPr>
            </w:pPr>
            <w:r>
              <w:rPr>
                <w:rFonts w:ascii="Arial" w:cs="Arial" w:eastAsia="Arial" w:hAnsi="Arial"/>
                <w:sz w:val="13"/>
                <w:szCs w:val="13"/>
                <w:b w:val="1"/>
                <w:bCs w:val="1"/>
                <w:color w:val="auto"/>
              </w:rPr>
              <w:t>Year Ended October 31, 2020</w:t>
            </w:r>
          </w:p>
        </w:tc>
        <w:tc>
          <w:tcPr>
            <w:tcW w:w="3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Henry Avocado</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2300" w:type="dxa"/>
            <w:vAlign w:val="bottom"/>
          </w:tcPr>
          <w:p>
            <w:pPr>
              <w:ind w:left="120"/>
              <w:spacing w:after="0"/>
              <w:rPr>
                <w:sz w:val="20"/>
                <w:szCs w:val="20"/>
                <w:color w:val="auto"/>
              </w:rPr>
            </w:pPr>
            <w:r>
              <w:rPr>
                <w:rFonts w:ascii="Arial" w:cs="Arial" w:eastAsia="Arial" w:hAnsi="Arial"/>
                <w:sz w:val="13"/>
                <w:szCs w:val="13"/>
                <w:color w:val="auto"/>
              </w:rPr>
              <w:t>Mr. Avocado</w:t>
            </w:r>
          </w:p>
        </w:tc>
        <w:tc>
          <w:tcPr>
            <w:tcW w:w="920" w:type="dxa"/>
            <w:vAlign w:val="bottom"/>
          </w:tcPr>
          <w:p>
            <w:pPr>
              <w:spacing w:after="0"/>
              <w:rPr>
                <w:sz w:val="16"/>
                <w:szCs w:val="16"/>
                <w:color w:val="auto"/>
              </w:rPr>
            </w:pPr>
          </w:p>
        </w:tc>
        <w:tc>
          <w:tcPr>
            <w:tcW w:w="280" w:type="dxa"/>
            <w:vAlign w:val="bottom"/>
          </w:tcPr>
          <w:p>
            <w:pPr>
              <w:jc w:val="right"/>
              <w:ind w:right="13"/>
              <w:spacing w:after="0"/>
              <w:rPr>
                <w:sz w:val="20"/>
                <w:szCs w:val="20"/>
                <w:color w:val="auto"/>
              </w:rPr>
            </w:pPr>
            <w:r>
              <w:rPr>
                <w:rFonts w:ascii="Arial" w:cs="Arial" w:eastAsia="Arial" w:hAnsi="Arial"/>
                <w:sz w:val="13"/>
                <w:szCs w:val="13"/>
                <w:color w:val="auto"/>
                <w:w w:val="99"/>
              </w:rPr>
              <w:t>0.6</w:t>
            </w:r>
          </w:p>
        </w:tc>
        <w:tc>
          <w:tcPr>
            <w:tcW w:w="18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6"/>
                <w:szCs w:val="16"/>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Moruga</w:t>
            </w:r>
            <w:r>
              <w:rPr>
                <w:rFonts w:ascii="Arial" w:cs="Arial" w:eastAsia="Arial" w:hAnsi="Arial"/>
                <w:sz w:val="17"/>
                <w:szCs w:val="17"/>
                <w:color w:val="auto"/>
                <w:vertAlign w:val="superscript"/>
              </w:rPr>
              <w:t>(1)</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9"/>
              </w:rPr>
              <w:t>2.0</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4.5</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95"/>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Other:</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7"/>
                <w:szCs w:val="17"/>
                <w:color w:val="auto"/>
                <w:vertAlign w:val="superscript"/>
              </w:rPr>
              <w:t>(2)</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9"/>
              </w:rPr>
              <w:t>0.3</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5.1</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23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October 31, 2019</w:t>
            </w: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13"/>
                <w:szCs w:val="13"/>
                <w:b w:val="1"/>
                <w:bCs w:val="1"/>
                <w:color w:val="auto"/>
              </w:rPr>
              <w:t>Year Ended October 31, 2019</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2300" w:type="dxa"/>
            <w:vAlign w:val="bottom"/>
          </w:tcPr>
          <w:p>
            <w:pPr>
              <w:ind w:left="120"/>
              <w:spacing w:after="0"/>
              <w:rPr>
                <w:sz w:val="20"/>
                <w:szCs w:val="20"/>
                <w:color w:val="auto"/>
              </w:rPr>
            </w:pPr>
            <w:r>
              <w:rPr>
                <w:rFonts w:ascii="Arial" w:cs="Arial" w:eastAsia="Arial" w:hAnsi="Arial"/>
                <w:sz w:val="13"/>
                <w:szCs w:val="13"/>
                <w:color w:val="auto"/>
              </w:rPr>
              <w:t>Henry Avocado</w:t>
            </w:r>
          </w:p>
        </w:tc>
        <w:tc>
          <w:tcPr>
            <w:tcW w:w="920" w:type="dxa"/>
            <w:vAlign w:val="bottom"/>
          </w:tcPr>
          <w:p>
            <w:pPr>
              <w:jc w:val="right"/>
              <w:ind w:right="753"/>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0.5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3.3</w:t>
            </w:r>
          </w:p>
        </w:tc>
        <w:tc>
          <w:tcPr>
            <w:tcW w:w="1040" w:type="dxa"/>
            <w:vAlign w:val="bottom"/>
          </w:tcPr>
          <w:p>
            <w:pPr>
              <w:ind w:left="8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Mr. Avocado</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9"/>
              </w:rPr>
              <w:t>1.6</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4.5</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2300" w:type="dxa"/>
            <w:vAlign w:val="bottom"/>
          </w:tcPr>
          <w:p>
            <w:pPr>
              <w:ind w:left="120"/>
              <w:spacing w:after="0"/>
              <w:rPr>
                <w:sz w:val="20"/>
                <w:szCs w:val="20"/>
                <w:color w:val="auto"/>
              </w:rPr>
            </w:pPr>
            <w:r>
              <w:rPr>
                <w:rFonts w:ascii="Arial" w:cs="Arial" w:eastAsia="Arial" w:hAnsi="Arial"/>
                <w:sz w:val="13"/>
                <w:szCs w:val="13"/>
                <w:color w:val="auto"/>
              </w:rPr>
              <w:t>Moruga</w:t>
            </w:r>
            <w:r>
              <w:rPr>
                <w:rFonts w:ascii="Arial" w:cs="Arial" w:eastAsia="Arial" w:hAnsi="Arial"/>
                <w:sz w:val="17"/>
                <w:szCs w:val="17"/>
                <w:color w:val="auto"/>
                <w:vertAlign w:val="superscript"/>
              </w:rPr>
              <w:t>(1)</w:t>
            </w:r>
          </w:p>
        </w:tc>
        <w:tc>
          <w:tcPr>
            <w:tcW w:w="920" w:type="dxa"/>
            <w:vAlign w:val="bottom"/>
          </w:tcPr>
          <w:p>
            <w:pPr>
              <w:spacing w:after="0"/>
              <w:rPr>
                <w:sz w:val="17"/>
                <w:szCs w:val="17"/>
                <w:color w:val="auto"/>
              </w:rPr>
            </w:pPr>
          </w:p>
        </w:tc>
        <w:tc>
          <w:tcPr>
            <w:tcW w:w="280" w:type="dxa"/>
            <w:vAlign w:val="bottom"/>
          </w:tcPr>
          <w:p>
            <w:pPr>
              <w:jc w:val="right"/>
              <w:ind w:right="13"/>
              <w:spacing w:after="0"/>
              <w:rPr>
                <w:sz w:val="20"/>
                <w:szCs w:val="20"/>
                <w:color w:val="auto"/>
              </w:rPr>
            </w:pPr>
            <w:r>
              <w:rPr>
                <w:rFonts w:ascii="Arial" w:cs="Arial" w:eastAsia="Arial" w:hAnsi="Arial"/>
                <w:sz w:val="13"/>
                <w:szCs w:val="13"/>
                <w:color w:val="auto"/>
                <w:w w:val="99"/>
              </w:rPr>
              <w:t>2.1</w:t>
            </w:r>
          </w:p>
        </w:tc>
        <w:tc>
          <w:tcPr>
            <w:tcW w:w="18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3.9</w:t>
            </w:r>
          </w:p>
        </w:tc>
        <w:tc>
          <w:tcPr>
            <w:tcW w:w="6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7"/>
                <w:szCs w:val="17"/>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7"/>
                <w:szCs w:val="17"/>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0"/>
        </w:trPr>
        <w:tc>
          <w:tcPr>
            <w:tcW w:w="2300" w:type="dxa"/>
            <w:vAlign w:val="bottom"/>
          </w:tcPr>
          <w:p>
            <w:pPr>
              <w:ind w:left="12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7"/>
                <w:szCs w:val="17"/>
                <w:color w:val="auto"/>
                <w:vertAlign w:val="superscript"/>
              </w:rPr>
              <w:t>(2)</w:t>
            </w:r>
          </w:p>
        </w:tc>
        <w:tc>
          <w:tcPr>
            <w:tcW w:w="920" w:type="dxa"/>
            <w:vAlign w:val="bottom"/>
          </w:tcPr>
          <w:p>
            <w:pPr>
              <w:spacing w:after="0"/>
              <w:rPr>
                <w:sz w:val="17"/>
                <w:szCs w:val="17"/>
                <w:color w:val="auto"/>
              </w:rPr>
            </w:pPr>
          </w:p>
        </w:tc>
        <w:tc>
          <w:tcPr>
            <w:tcW w:w="280" w:type="dxa"/>
            <w:vAlign w:val="bottom"/>
          </w:tcPr>
          <w:p>
            <w:pPr>
              <w:jc w:val="right"/>
              <w:ind w:right="13"/>
              <w:spacing w:after="0"/>
              <w:rPr>
                <w:sz w:val="20"/>
                <w:szCs w:val="20"/>
                <w:color w:val="auto"/>
              </w:rPr>
            </w:pPr>
            <w:r>
              <w:rPr>
                <w:rFonts w:ascii="Arial" w:cs="Arial" w:eastAsia="Arial" w:hAnsi="Arial"/>
                <w:sz w:val="13"/>
                <w:szCs w:val="13"/>
                <w:color w:val="auto"/>
                <w:w w:val="99"/>
              </w:rPr>
              <w:t>0.1</w:t>
            </w:r>
          </w:p>
        </w:tc>
        <w:tc>
          <w:tcPr>
            <w:tcW w:w="18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0.9</w:t>
            </w:r>
          </w:p>
        </w:tc>
        <w:tc>
          <w:tcPr>
            <w:tcW w:w="220" w:type="dxa"/>
            <w:vAlign w:val="bottom"/>
          </w:tcPr>
          <w:p>
            <w:pPr>
              <w:spacing w:after="0"/>
              <w:rPr>
                <w:sz w:val="17"/>
                <w:szCs w:val="17"/>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1.8</w:t>
            </w:r>
          </w:p>
        </w:tc>
        <w:tc>
          <w:tcPr>
            <w:tcW w:w="1040" w:type="dxa"/>
            <w:vAlign w:val="bottom"/>
          </w:tcPr>
          <w:p>
            <w:pPr>
              <w:spacing w:after="0"/>
              <w:rPr>
                <w:sz w:val="17"/>
                <w:szCs w:val="17"/>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2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2"/>
            <w:shd w:val="clear" w:color="auto" w:fill="CCEEFF"/>
          </w:tcPr>
          <w:p>
            <w:pPr>
              <w:jc w:val="center"/>
              <w:ind w:left="93"/>
              <w:spacing w:after="0"/>
              <w:rPr>
                <w:sz w:val="20"/>
                <w:szCs w:val="20"/>
                <w:color w:val="auto"/>
              </w:rPr>
            </w:pPr>
            <w:r>
              <w:rPr>
                <w:rFonts w:ascii="Arial" w:cs="Arial" w:eastAsia="Arial" w:hAnsi="Arial"/>
                <w:sz w:val="13"/>
                <w:szCs w:val="13"/>
                <w:b w:val="1"/>
                <w:bCs w:val="1"/>
                <w:color w:val="auto"/>
              </w:rPr>
              <w:t>Year Ended October 31, 2018</w:t>
            </w:r>
          </w:p>
        </w:tc>
        <w:tc>
          <w:tcPr>
            <w:tcW w:w="3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187"/>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Henry Avocado</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0.4</w:t>
            </w:r>
          </w:p>
        </w:tc>
        <w:tc>
          <w:tcPr>
            <w:tcW w:w="1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2300" w:type="dxa"/>
            <w:vAlign w:val="bottom"/>
          </w:tcPr>
          <w:p>
            <w:pPr>
              <w:ind w:left="120"/>
              <w:spacing w:after="0"/>
              <w:rPr>
                <w:sz w:val="20"/>
                <w:szCs w:val="20"/>
                <w:color w:val="auto"/>
              </w:rPr>
            </w:pPr>
            <w:r>
              <w:rPr>
                <w:rFonts w:ascii="Arial" w:cs="Arial" w:eastAsia="Arial" w:hAnsi="Arial"/>
                <w:sz w:val="13"/>
                <w:szCs w:val="13"/>
                <w:color w:val="auto"/>
              </w:rPr>
              <w:t>Mr. Avocado</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2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6"/>
                <w:szCs w:val="16"/>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Moruga</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0.6</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2300" w:type="dxa"/>
            <w:vAlign w:val="bottom"/>
          </w:tcPr>
          <w:p>
            <w:pPr>
              <w:ind w:left="120"/>
              <w:spacing w:after="0"/>
              <w:rPr>
                <w:sz w:val="20"/>
                <w:szCs w:val="20"/>
                <w:color w:val="auto"/>
              </w:rPr>
            </w:pPr>
            <w:r>
              <w:rPr>
                <w:rFonts w:ascii="Arial" w:cs="Arial" w:eastAsia="Arial" w:hAnsi="Arial"/>
                <w:sz w:val="13"/>
                <w:szCs w:val="13"/>
                <w:color w:val="auto"/>
              </w:rPr>
              <w:t>Grupo Arato</w:t>
            </w:r>
            <w:r>
              <w:rPr>
                <w:rFonts w:ascii="Arial" w:cs="Arial" w:eastAsia="Arial" w:hAnsi="Arial"/>
                <w:sz w:val="17"/>
                <w:szCs w:val="17"/>
                <w:color w:val="auto"/>
                <w:vertAlign w:val="superscript"/>
              </w:rPr>
              <w:t>(3)</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70.6</w:t>
            </w:r>
          </w:p>
        </w:tc>
        <w:tc>
          <w:tcPr>
            <w:tcW w:w="1040" w:type="dxa"/>
            <w:vAlign w:val="bottom"/>
          </w:tcPr>
          <w:p>
            <w:pPr>
              <w:spacing w:after="0"/>
              <w:rPr>
                <w:sz w:val="17"/>
                <w:szCs w:val="17"/>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Cabilfrut</w:t>
            </w:r>
            <w:r>
              <w:rPr>
                <w:rFonts w:ascii="Arial" w:cs="Arial" w:eastAsia="Arial" w:hAnsi="Arial"/>
                <w:sz w:val="17"/>
                <w:szCs w:val="17"/>
                <w:color w:val="auto"/>
                <w:vertAlign w:val="superscript"/>
              </w:rPr>
              <w:t>(4)</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9.6</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Other:</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2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7"/>
                <w:szCs w:val="17"/>
                <w:color w:val="auto"/>
                <w:vertAlign w:val="superscript"/>
              </w:rPr>
              <w:t>(2)</w:t>
            </w:r>
          </w:p>
        </w:tc>
        <w:tc>
          <w:tcPr>
            <w:tcW w:w="9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1.2</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4.2</w:t>
            </w:r>
          </w:p>
        </w:tc>
        <w:tc>
          <w:tcPr>
            <w:tcW w:w="10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1" w:lineRule="exact"/>
        <w:rPr>
          <w:sz w:val="20"/>
          <w:szCs w:val="20"/>
          <w:color w:val="auto"/>
        </w:rPr>
      </w:pPr>
    </w:p>
    <w:p>
      <w:pPr>
        <w:ind w:left="160" w:hanging="160"/>
        <w:spacing w:after="0"/>
        <w:tabs>
          <w:tab w:leader="none" w:pos="160" w:val="left"/>
        </w:tabs>
        <w:numPr>
          <w:ilvl w:val="0"/>
          <w:numId w:val="37"/>
        </w:numPr>
        <w:rPr>
          <w:rFonts w:ascii="Arial" w:cs="Arial" w:eastAsia="Arial" w:hAnsi="Arial"/>
          <w:sz w:val="15"/>
          <w:szCs w:val="15"/>
          <w:color w:val="auto"/>
          <w:vertAlign w:val="superscript"/>
        </w:rPr>
      </w:pPr>
      <w:r>
        <w:rPr>
          <w:rFonts w:ascii="Arial" w:cs="Arial" w:eastAsia="Arial" w:hAnsi="Arial"/>
          <w:sz w:val="12"/>
          <w:szCs w:val="12"/>
          <w:color w:val="auto"/>
        </w:rPr>
        <w:t>The Company has provided loans to Moruga to support growth and expansion projects, bearing interest at 6.5%, due December 31, 2022.</w:t>
      </w:r>
    </w:p>
    <w:p>
      <w:pPr>
        <w:spacing w:after="0" w:line="47" w:lineRule="exact"/>
        <w:rPr>
          <w:rFonts w:ascii="Arial" w:cs="Arial" w:eastAsia="Arial" w:hAnsi="Arial"/>
          <w:sz w:val="15"/>
          <w:szCs w:val="15"/>
          <w:color w:val="auto"/>
          <w:vertAlign w:val="superscript"/>
        </w:rPr>
      </w:pPr>
    </w:p>
    <w:p>
      <w:pPr>
        <w:ind w:left="160" w:right="60" w:hanging="160"/>
        <w:spacing w:after="0" w:line="199" w:lineRule="auto"/>
        <w:tabs>
          <w:tab w:leader="none" w:pos="166" w:val="left"/>
        </w:tabs>
        <w:numPr>
          <w:ilvl w:val="0"/>
          <w:numId w:val="37"/>
        </w:numPr>
        <w:rPr>
          <w:rFonts w:ascii="Arial" w:cs="Arial" w:eastAsia="Arial" w:hAnsi="Arial"/>
          <w:sz w:val="17"/>
          <w:szCs w:val="17"/>
          <w:color w:val="auto"/>
          <w:vertAlign w:val="superscript"/>
        </w:rPr>
      </w:pPr>
      <w:r>
        <w:rPr>
          <w:rFonts w:ascii="Arial" w:cs="Arial" w:eastAsia="Arial" w:hAnsi="Arial"/>
          <w:sz w:val="12"/>
          <w:szCs w:val="12"/>
          <w:color w:val="auto"/>
        </w:rPr>
        <w:t>The Company purchases from and sells avocados to a small number of entities having full or partial ownership by some of our directors and officers. These transactions are made under substantially similar terms as with other growers and customers. One director provides consulting services to the Company. Under the consulting agreement, the member’s</w:t>
      </w:r>
    </w:p>
    <w:p>
      <w:pPr>
        <w:spacing w:after="0" w:line="200" w:lineRule="exact"/>
        <w:rPr>
          <w:sz w:val="20"/>
          <w:szCs w:val="20"/>
          <w:color w:val="auto"/>
        </w:rPr>
      </w:pPr>
    </w:p>
    <w:p>
      <w:pPr>
        <w:spacing w:after="0" w:line="281"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1240"/>
          </w:cols>
          <w:pgMar w:left="320" w:top="17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right="40"/>
        <w:spacing w:after="0" w:line="241" w:lineRule="auto"/>
        <w:rPr>
          <w:sz w:val="20"/>
          <w:szCs w:val="20"/>
          <w:color w:val="auto"/>
        </w:rPr>
      </w:pPr>
      <w:r>
        <w:rPr>
          <w:rFonts w:ascii="Arial" w:cs="Arial" w:eastAsia="Arial" w:hAnsi="Arial"/>
          <w:sz w:val="12"/>
          <w:szCs w:val="12"/>
          <w:color w:val="auto"/>
        </w:rPr>
        <w:t>responsibilities are to consult and advise on current business operations, as well as to analyze opportunities for fresh avocado farming and packing facilities in South and Central America. Some directors and officers are also employees of the Company.</w:t>
      </w:r>
    </w:p>
    <w:p>
      <w:pPr>
        <w:spacing w:after="0" w:line="48" w:lineRule="exact"/>
        <w:rPr>
          <w:sz w:val="20"/>
          <w:szCs w:val="20"/>
          <w:color w:val="auto"/>
        </w:rPr>
      </w:pPr>
    </w:p>
    <w:p>
      <w:pPr>
        <w:ind w:left="160" w:right="40" w:hanging="160"/>
        <w:spacing w:after="0" w:line="214" w:lineRule="auto"/>
        <w:tabs>
          <w:tab w:leader="none" w:pos="166" w:val="left"/>
        </w:tabs>
        <w:numPr>
          <w:ilvl w:val="0"/>
          <w:numId w:val="38"/>
        </w:numPr>
        <w:rPr>
          <w:rFonts w:ascii="Arial" w:cs="Arial" w:eastAsia="Arial" w:hAnsi="Arial"/>
          <w:sz w:val="16"/>
          <w:szCs w:val="16"/>
          <w:color w:val="auto"/>
          <w:vertAlign w:val="superscript"/>
        </w:rPr>
      </w:pPr>
      <w:r>
        <w:rPr>
          <w:rFonts w:ascii="Arial" w:cs="Arial" w:eastAsia="Arial" w:hAnsi="Arial"/>
          <w:sz w:val="11"/>
          <w:szCs w:val="11"/>
          <w:color w:val="auto"/>
        </w:rPr>
        <w:t>The Company accounted for its ownership in Grupo Arato as an equity method investment until September 20, 2018, at which time the Company acquired the remaining outstanding shares of capital stock and accordingly consolidated financial results into the consolidated financial statements prospectively. Purchases presented were from the period during the fiscal year that Grupo Arato was an equity method investment.</w:t>
      </w:r>
    </w:p>
    <w:p>
      <w:pPr>
        <w:spacing w:after="0" w:line="15" w:lineRule="exact"/>
        <w:rPr>
          <w:rFonts w:ascii="Arial" w:cs="Arial" w:eastAsia="Arial" w:hAnsi="Arial"/>
          <w:sz w:val="16"/>
          <w:szCs w:val="16"/>
          <w:color w:val="auto"/>
          <w:vertAlign w:val="superscript"/>
        </w:rPr>
      </w:pPr>
    </w:p>
    <w:p>
      <w:pPr>
        <w:ind w:left="160" w:hanging="160"/>
        <w:spacing w:after="0"/>
        <w:tabs>
          <w:tab w:leader="none" w:pos="160" w:val="left"/>
        </w:tabs>
        <w:numPr>
          <w:ilvl w:val="0"/>
          <w:numId w:val="38"/>
        </w:numPr>
        <w:rPr>
          <w:rFonts w:ascii="Arial" w:cs="Arial" w:eastAsia="Arial" w:hAnsi="Arial"/>
          <w:sz w:val="15"/>
          <w:szCs w:val="15"/>
          <w:color w:val="auto"/>
          <w:vertAlign w:val="superscript"/>
        </w:rPr>
      </w:pPr>
      <w:r>
        <w:rPr>
          <w:rFonts w:ascii="Arial" w:cs="Arial" w:eastAsia="Arial" w:hAnsi="Arial"/>
          <w:sz w:val="12"/>
          <w:szCs w:val="12"/>
          <w:color w:val="auto"/>
        </w:rPr>
        <w:t>The Company held a 50% equity interest in Cabilfrut until April 2018. Figures presented were from the period during the fiscal year that Cabilfrut was an equity method investment.</w:t>
      </w:r>
    </w:p>
    <w:p>
      <w:pPr>
        <w:spacing w:after="0" w:line="200" w:lineRule="exact"/>
        <w:rPr>
          <w:sz w:val="20"/>
          <w:szCs w:val="20"/>
          <w:color w:val="auto"/>
        </w:rPr>
      </w:pPr>
    </w:p>
    <w:p>
      <w:pPr>
        <w:spacing w:after="0" w:line="261" w:lineRule="exact"/>
        <w:rPr>
          <w:sz w:val="20"/>
          <w:szCs w:val="20"/>
          <w:color w:val="auto"/>
        </w:rPr>
      </w:pPr>
    </w:p>
    <w:p>
      <w:pPr>
        <w:ind w:left="560" w:hanging="560"/>
        <w:spacing w:after="0"/>
        <w:tabs>
          <w:tab w:leader="none" w:pos="560" w:val="left"/>
        </w:tabs>
        <w:numPr>
          <w:ilvl w:val="0"/>
          <w:numId w:val="39"/>
        </w:numPr>
        <w:rPr>
          <w:rFonts w:ascii="Arial" w:cs="Arial" w:eastAsia="Arial" w:hAnsi="Arial"/>
          <w:sz w:val="20"/>
          <w:szCs w:val="20"/>
          <w:b w:val="1"/>
          <w:bCs w:val="1"/>
          <w:color w:val="232F84"/>
        </w:rPr>
      </w:pPr>
      <w:r>
        <w:rPr>
          <w:rFonts w:ascii="Arial" w:cs="Arial" w:eastAsia="Arial" w:hAnsi="Arial"/>
          <w:sz w:val="20"/>
          <w:szCs w:val="20"/>
          <w:b w:val="1"/>
          <w:bCs w:val="1"/>
          <w:color w:val="232F84"/>
        </w:rPr>
        <w:t>Segment Information</w:t>
      </w:r>
    </w:p>
    <w:p>
      <w:pPr>
        <w:spacing w:after="0" w:line="227" w:lineRule="exact"/>
        <w:rPr>
          <w:sz w:val="20"/>
          <w:szCs w:val="20"/>
          <w:color w:val="auto"/>
        </w:rPr>
      </w:pPr>
    </w:p>
    <w:p>
      <w:pPr>
        <w:ind w:firstLine="600"/>
        <w:spacing w:after="0" w:line="245" w:lineRule="auto"/>
        <w:rPr>
          <w:sz w:val="20"/>
          <w:szCs w:val="20"/>
          <w:color w:val="auto"/>
        </w:rPr>
      </w:pPr>
      <w:r>
        <w:rPr>
          <w:rFonts w:ascii="Arial" w:cs="Arial" w:eastAsia="Arial" w:hAnsi="Arial"/>
          <w:sz w:val="15"/>
          <w:szCs w:val="15"/>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avocado orchards (principally located in Peru) and supplies our Marketing and Distribution business with a stable supply of avocados. Substantially all of the avocados produced by our International Farming segment are sold to our Marketing and Distribution segment. Our International Farming segment includes the operations of Grupo Arato, which was accounted for under the equity method of accounting until we consolidated the entity on September 20, 2018 (see Note 4).</w:t>
      </w:r>
    </w:p>
    <w:p>
      <w:pPr>
        <w:spacing w:after="0" w:line="192" w:lineRule="exact"/>
        <w:rPr>
          <w:sz w:val="20"/>
          <w:szCs w:val="20"/>
          <w:color w:val="auto"/>
        </w:rPr>
      </w:pPr>
    </w:p>
    <w:p>
      <w:pPr>
        <w:ind w:right="20" w:firstLine="600"/>
        <w:spacing w:after="0" w:line="246" w:lineRule="auto"/>
        <w:rPr>
          <w:sz w:val="20"/>
          <w:szCs w:val="20"/>
          <w:color w:val="auto"/>
        </w:rPr>
      </w:pPr>
      <w:r>
        <w:rPr>
          <w:rFonts w:ascii="Arial" w:cs="Arial" w:eastAsia="Arial" w:hAnsi="Arial"/>
          <w:sz w:val="15"/>
          <w:szCs w:val="15"/>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93" w:lineRule="exact"/>
        <w:rPr>
          <w:sz w:val="20"/>
          <w:szCs w:val="20"/>
          <w:color w:val="auto"/>
        </w:rPr>
      </w:pPr>
    </w:p>
    <w:p>
      <w:pPr>
        <w:ind w:right="160" w:firstLine="600"/>
        <w:spacing w:after="0" w:line="248" w:lineRule="auto"/>
        <w:rPr>
          <w:sz w:val="20"/>
          <w:szCs w:val="20"/>
          <w:color w:val="auto"/>
        </w:rPr>
      </w:pPr>
      <w:r>
        <w:rPr>
          <w:rFonts w:ascii="Arial" w:cs="Arial" w:eastAsia="Arial" w:hAnsi="Arial"/>
          <w:sz w:val="15"/>
          <w:szCs w:val="15"/>
          <w:color w:val="auto"/>
        </w:rPr>
        <w:t>Adjusted EBITDA refers to net income (loss), before interest expense, income taxes, depreciation and amortization expense, stock-based compensation expense, other income (expense), and income (loss) from equity method investees, further adjusted by any non-recurring or one-time items that are distortive to results (impairment of equity method investment, remeasurement gain on acquisition of equity method investee, and Grupo Arato’s pre-acquisition adjusted EBITDA).</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Net sales from each of our reportable segments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3"/>
                <w:szCs w:val="13"/>
                <w:b w:val="1"/>
                <w:bCs w:val="1"/>
                <w:color w:val="auto"/>
              </w:rPr>
              <w:t>Year Ended October 31,</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1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0"/>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Marketing &amp;</w:t>
            </w:r>
          </w:p>
        </w:tc>
        <w:tc>
          <w:tcPr>
            <w:tcW w:w="18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International</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61"/>
              <w:spacing w:after="0"/>
              <w:rPr>
                <w:sz w:val="20"/>
                <w:szCs w:val="20"/>
                <w:color w:val="auto"/>
              </w:rPr>
            </w:pPr>
            <w:r>
              <w:rPr>
                <w:rFonts w:ascii="Arial" w:cs="Arial" w:eastAsia="Arial" w:hAnsi="Arial"/>
                <w:sz w:val="12"/>
                <w:szCs w:val="12"/>
                <w:b w:val="1"/>
                <w:bCs w:val="1"/>
                <w:color w:val="auto"/>
                <w:w w:val="98"/>
              </w:rPr>
              <w:t>Marketing &amp;</w:t>
            </w:r>
          </w:p>
        </w:tc>
        <w:tc>
          <w:tcPr>
            <w:tcW w:w="18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International</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Marketing &amp;</w:t>
            </w:r>
          </w:p>
        </w:tc>
        <w:tc>
          <w:tcPr>
            <w:tcW w:w="200" w:type="dxa"/>
            <w:vAlign w:val="bottom"/>
          </w:tcPr>
          <w:p>
            <w:pPr>
              <w:spacing w:after="0"/>
              <w:rPr>
                <w:sz w:val="12"/>
                <w:szCs w:val="12"/>
                <w:color w:val="auto"/>
              </w:rPr>
            </w:pPr>
          </w:p>
        </w:tc>
        <w:tc>
          <w:tcPr>
            <w:tcW w:w="940" w:type="dxa"/>
            <w:vAlign w:val="bottom"/>
          </w:tcPr>
          <w:p>
            <w:pPr>
              <w:jc w:val="center"/>
              <w:ind w:right="101"/>
              <w:spacing w:after="0"/>
              <w:rPr>
                <w:sz w:val="20"/>
                <w:szCs w:val="20"/>
                <w:color w:val="auto"/>
              </w:rPr>
            </w:pPr>
            <w:r>
              <w:rPr>
                <w:rFonts w:ascii="Arial" w:cs="Arial" w:eastAsia="Arial" w:hAnsi="Arial"/>
                <w:sz w:val="12"/>
                <w:szCs w:val="12"/>
                <w:b w:val="1"/>
                <w:bCs w:val="1"/>
                <w:color w:val="auto"/>
                <w:w w:val="97"/>
              </w:rPr>
              <w:t>International</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2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3"/>
                <w:szCs w:val="13"/>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Distribution</w:t>
            </w:r>
          </w:p>
        </w:tc>
        <w:tc>
          <w:tcPr>
            <w:tcW w:w="180" w:type="dxa"/>
            <w:vAlign w:val="bottom"/>
          </w:tcPr>
          <w:p>
            <w:pPr>
              <w:spacing w:after="0"/>
              <w:rPr>
                <w:sz w:val="13"/>
                <w:szCs w:val="13"/>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Farming</w:t>
            </w:r>
          </w:p>
        </w:tc>
        <w:tc>
          <w:tcPr>
            <w:tcW w:w="28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161"/>
              <w:spacing w:after="0"/>
              <w:rPr>
                <w:sz w:val="20"/>
                <w:szCs w:val="20"/>
                <w:color w:val="auto"/>
              </w:rPr>
            </w:pPr>
            <w:r>
              <w:rPr>
                <w:rFonts w:ascii="Arial" w:cs="Arial" w:eastAsia="Arial" w:hAnsi="Arial"/>
                <w:sz w:val="12"/>
                <w:szCs w:val="12"/>
                <w:b w:val="1"/>
                <w:bCs w:val="1"/>
                <w:color w:val="auto"/>
              </w:rPr>
              <w:t>Distribution</w:t>
            </w:r>
          </w:p>
        </w:tc>
        <w:tc>
          <w:tcPr>
            <w:tcW w:w="180" w:type="dxa"/>
            <w:vAlign w:val="bottom"/>
          </w:tcPr>
          <w:p>
            <w:pPr>
              <w:spacing w:after="0"/>
              <w:rPr>
                <w:sz w:val="13"/>
                <w:szCs w:val="13"/>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97"/>
              </w:rPr>
              <w:t>Farming</w:t>
            </w:r>
          </w:p>
        </w:tc>
        <w:tc>
          <w:tcPr>
            <w:tcW w:w="3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142"/>
              <w:spacing w:after="0"/>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13"/>
                <w:szCs w:val="13"/>
                <w:color w:val="auto"/>
              </w:rPr>
            </w:pPr>
          </w:p>
        </w:tc>
        <w:tc>
          <w:tcPr>
            <w:tcW w:w="940" w:type="dxa"/>
            <w:vAlign w:val="bottom"/>
          </w:tcPr>
          <w:p>
            <w:pPr>
              <w:jc w:val="center"/>
              <w:ind w:right="101"/>
              <w:spacing w:after="0"/>
              <w:rPr>
                <w:sz w:val="20"/>
                <w:szCs w:val="20"/>
                <w:color w:val="auto"/>
              </w:rPr>
            </w:pPr>
            <w:r>
              <w:rPr>
                <w:rFonts w:ascii="Arial" w:cs="Arial" w:eastAsia="Arial" w:hAnsi="Arial"/>
                <w:sz w:val="12"/>
                <w:szCs w:val="12"/>
                <w:b w:val="1"/>
                <w:bCs w:val="1"/>
                <w:color w:val="auto"/>
                <w:w w:val="97"/>
              </w:rPr>
              <w:t>Farming</w:t>
            </w:r>
          </w:p>
        </w:tc>
        <w:tc>
          <w:tcPr>
            <w:tcW w:w="28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r>
      <w:tr>
        <w:trPr>
          <w:trHeight w:val="28"/>
        </w:trPr>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60"/>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Third party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862.3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9.6</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883.3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859.9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59"/>
        </w:trPr>
        <w:tc>
          <w:tcPr>
            <w:tcW w:w="1220" w:type="dxa"/>
            <w:vAlign w:val="bottom"/>
          </w:tcPr>
          <w:p>
            <w:pPr>
              <w:ind w:left="20"/>
              <w:spacing w:after="0"/>
              <w:rPr>
                <w:sz w:val="20"/>
                <w:szCs w:val="20"/>
                <w:color w:val="auto"/>
              </w:rPr>
            </w:pPr>
            <w:r>
              <w:rPr>
                <w:rFonts w:ascii="Arial" w:cs="Arial" w:eastAsia="Arial" w:hAnsi="Arial"/>
                <w:sz w:val="12"/>
                <w:szCs w:val="12"/>
                <w:color w:val="auto"/>
              </w:rPr>
              <w:t>Affiliated sales</w:t>
            </w:r>
          </w:p>
        </w:tc>
        <w:tc>
          <w:tcPr>
            <w:tcW w:w="12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66.4</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80.7</w:t>
            </w:r>
          </w:p>
        </w:tc>
        <w:tc>
          <w:tcPr>
            <w:tcW w:w="30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80.7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8"/>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7"/>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8"/>
              </w:rPr>
              <w:t>Equity method sales</w:t>
            </w:r>
            <w:r>
              <w:rPr>
                <w:rFonts w:ascii="Arial" w:cs="Arial" w:eastAsia="Arial" w:hAnsi="Arial"/>
                <w:sz w:val="15"/>
                <w:szCs w:val="15"/>
                <w:color w:val="auto"/>
                <w:w w:val="98"/>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36.5</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36.5</w:t>
            </w:r>
          </w:p>
        </w:tc>
        <w:tc>
          <w:tcPr>
            <w:tcW w:w="80" w:type="dxa"/>
            <w:vAlign w:val="bottom"/>
            <w:tcBorders>
              <w:bottom w:val="single" w:sz="8" w:color="auto"/>
            </w:tcBorders>
            <w:shd w:val="clear" w:color="auto" w:fill="CCEEFF"/>
          </w:tcPr>
          <w:p>
            <w:pPr>
              <w:spacing w:after="0"/>
              <w:rPr>
                <w:sz w:val="16"/>
                <w:szCs w:val="16"/>
                <w:color w:val="auto"/>
              </w:rPr>
            </w:pPr>
          </w:p>
        </w:tc>
      </w:tr>
      <w:tr>
        <w:trPr>
          <w:trHeight w:val="151"/>
        </w:trPr>
        <w:tc>
          <w:tcPr>
            <w:tcW w:w="1220" w:type="dxa"/>
            <w:vAlign w:val="bottom"/>
          </w:tcPr>
          <w:p>
            <w:pPr>
              <w:ind w:left="20"/>
              <w:spacing w:after="0"/>
              <w:rPr>
                <w:sz w:val="20"/>
                <w:szCs w:val="20"/>
                <w:color w:val="auto"/>
              </w:rPr>
            </w:pPr>
            <w:r>
              <w:rPr>
                <w:rFonts w:ascii="Arial" w:cs="Arial" w:eastAsia="Arial" w:hAnsi="Arial"/>
                <w:sz w:val="12"/>
                <w:szCs w:val="12"/>
                <w:color w:val="auto"/>
              </w:rPr>
              <w:t>Total segment sales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81.8</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928.7</w:t>
            </w:r>
          </w:p>
        </w:tc>
        <w:tc>
          <w:tcPr>
            <w:tcW w:w="10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90.3</w:t>
            </w:r>
          </w:p>
        </w:tc>
        <w:tc>
          <w:tcPr>
            <w:tcW w:w="3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964.0</w:t>
            </w:r>
          </w:p>
        </w:tc>
        <w:tc>
          <w:tcPr>
            <w:tcW w:w="8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37.9</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896.4</w:t>
            </w:r>
          </w:p>
        </w:tc>
        <w:tc>
          <w:tcPr>
            <w:tcW w:w="80" w:type="dxa"/>
            <w:vAlign w:val="bottom"/>
          </w:tcPr>
          <w:p>
            <w:pPr>
              <w:spacing w:after="0"/>
              <w:rPr>
                <w:sz w:val="13"/>
                <w:szCs w:val="13"/>
                <w:color w:val="auto"/>
              </w:rPr>
            </w:pPr>
          </w:p>
        </w:tc>
      </w:tr>
      <w:tr>
        <w:trPr>
          <w:trHeight w:val="28"/>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Intercompany</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(80.7)</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eliminations</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44"/>
        </w:trPr>
        <w:tc>
          <w:tcPr>
            <w:tcW w:w="1220" w:type="dxa"/>
            <w:vAlign w:val="bottom"/>
          </w:tcPr>
          <w:p>
            <w:pPr>
              <w:ind w:left="20"/>
              <w:spacing w:after="0"/>
              <w:rPr>
                <w:sz w:val="20"/>
                <w:szCs w:val="20"/>
                <w:color w:val="auto"/>
              </w:rPr>
            </w:pPr>
            <w:r>
              <w:rPr>
                <w:rFonts w:ascii="Arial" w:cs="Arial" w:eastAsia="Arial" w:hAnsi="Arial"/>
                <w:sz w:val="12"/>
                <w:szCs w:val="12"/>
                <w:color w:val="auto"/>
              </w:rPr>
              <w:t>Equity method</w:t>
            </w:r>
          </w:p>
        </w:tc>
        <w:tc>
          <w:tcPr>
            <w:tcW w:w="120" w:type="dxa"/>
            <w:vAlign w:val="bottom"/>
          </w:tcPr>
          <w:p>
            <w:pPr>
              <w:spacing w:after="0"/>
              <w:rPr>
                <w:sz w:val="12"/>
                <w:szCs w:val="12"/>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(36.5)</w:t>
            </w: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2"/>
                <w:szCs w:val="12"/>
                <w:color w:val="auto"/>
              </w:rPr>
            </w:pPr>
          </w:p>
        </w:tc>
      </w:tr>
      <w:tr>
        <w:trPr>
          <w:trHeight w:val="181"/>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eliminations</w:t>
            </w:r>
            <w:r>
              <w:rPr>
                <w:rFonts w:ascii="Arial" w:cs="Arial" w:eastAsia="Arial" w:hAnsi="Arial"/>
                <w:sz w:val="15"/>
                <w:szCs w:val="15"/>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60"/>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862.3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9.6</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883.3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859.9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ind w:left="160" w:hanging="160"/>
        <w:spacing w:after="0"/>
        <w:tabs>
          <w:tab w:leader="none" w:pos="160" w:val="left"/>
        </w:tabs>
        <w:numPr>
          <w:ilvl w:val="0"/>
          <w:numId w:val="40"/>
        </w:numPr>
        <w:rPr>
          <w:rFonts w:ascii="Arial" w:cs="Arial" w:eastAsia="Arial" w:hAnsi="Arial"/>
          <w:sz w:val="15"/>
          <w:szCs w:val="15"/>
          <w:color w:val="auto"/>
          <w:vertAlign w:val="superscript"/>
        </w:rPr>
      </w:pPr>
      <w:r>
        <w:rPr>
          <w:rFonts w:ascii="Arial" w:cs="Arial" w:eastAsia="Arial" w:hAnsi="Arial"/>
          <w:sz w:val="12"/>
          <w:szCs w:val="12"/>
          <w:color w:val="auto"/>
        </w:rPr>
        <w:t>Our 50% proportionate share of Grupo Arato’s sales from November 1, 2017 through September 20, 2018 when Grupo Arato was accounted for as an equity method investment.</w:t>
      </w:r>
    </w:p>
    <w:p>
      <w:pPr>
        <w:spacing w:after="0" w:line="200" w:lineRule="exact"/>
        <w:rPr>
          <w:sz w:val="20"/>
          <w:szCs w:val="20"/>
          <w:color w:val="auto"/>
        </w:rPr>
      </w:pPr>
    </w:p>
    <w:p>
      <w:pPr>
        <w:spacing w:after="0" w:line="280"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1240"/>
          </w:cols>
          <w:pgMar w:left="320" w:top="175"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Adjusted EBITDA for each of our reporting segments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October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2018</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&amp; Distribution adjusted EBITDA</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88.0</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28.3</w:t>
            </w:r>
          </w:p>
        </w:tc>
      </w:tr>
      <w:tr>
        <w:trPr>
          <w:trHeight w:val="20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International Farming adjusted EBITDA</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35.0</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14.8</w:t>
            </w:r>
          </w:p>
        </w:tc>
      </w:tr>
      <w:tr>
        <w:trPr>
          <w:trHeight w:val="187"/>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reportable segment adjusted EBITDA</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43.1</w:t>
            </w:r>
          </w:p>
        </w:tc>
      </w:tr>
      <w:tr>
        <w:trPr>
          <w:trHeight w:val="192"/>
        </w:trPr>
        <w:tc>
          <w:tcPr>
            <w:tcW w:w="68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28.8</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71.7</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72.4</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10.3</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Provision for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15.0</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24.3</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16.2</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16.5</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9.4</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Equity method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(3.4)</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on equity method investment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880" w:type="dxa"/>
            <w:vAlign w:val="bottom"/>
          </w:tcPr>
          <w:p>
            <w:pPr>
              <w:ind w:left="20"/>
              <w:spacing w:after="0"/>
              <w:rPr>
                <w:sz w:val="20"/>
                <w:szCs w:val="20"/>
                <w:color w:val="auto"/>
              </w:rPr>
            </w:pPr>
            <w:r>
              <w:rPr>
                <w:rFonts w:ascii="Arial" w:cs="Arial" w:eastAsia="Arial" w:hAnsi="Arial"/>
                <w:sz w:val="13"/>
                <w:szCs w:val="13"/>
                <w:color w:val="auto"/>
              </w:rPr>
              <w:t>Remeasurement gain on acquisition of equity method investee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(62.0)</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9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7"/>
        </w:trPr>
        <w:tc>
          <w:tcPr>
            <w:tcW w:w="68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28.1</w:t>
            </w:r>
          </w:p>
        </w:tc>
      </w:tr>
      <w:tr>
        <w:trPr>
          <w:trHeight w:val="20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Pre-acquisition International Farming adjusted EBITDA</w:t>
            </w:r>
            <w:r>
              <w:rPr>
                <w:rFonts w:ascii="Arial" w:cs="Arial" w:eastAsia="Arial" w:hAnsi="Arial"/>
                <w:sz w:val="17"/>
                <w:szCs w:val="17"/>
                <w:color w:val="auto"/>
                <w:vertAlign w:val="superscript"/>
              </w:rPr>
              <w:t>(2)</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15.0</w:t>
            </w:r>
          </w:p>
        </w:tc>
      </w:tr>
      <w:tr>
        <w:trPr>
          <w:trHeight w:val="187"/>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adjusted EBITDA</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123.0</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43.1</w:t>
            </w:r>
          </w:p>
        </w:tc>
      </w:tr>
    </w:tbl>
    <w:p>
      <w:pPr>
        <w:spacing w:after="0" w:line="44" w:lineRule="exact"/>
        <w:rPr>
          <w:sz w:val="20"/>
          <w:szCs w:val="20"/>
          <w:color w:val="auto"/>
        </w:rPr>
      </w:pPr>
    </w:p>
    <w:p>
      <w:pPr>
        <w:ind w:left="160" w:right="60" w:hanging="160"/>
        <w:spacing w:after="0" w:line="214" w:lineRule="auto"/>
        <w:tabs>
          <w:tab w:leader="none" w:pos="165" w:val="left"/>
        </w:tabs>
        <w:numPr>
          <w:ilvl w:val="0"/>
          <w:numId w:val="41"/>
        </w:numPr>
        <w:rPr>
          <w:rFonts w:ascii="Arial" w:cs="Arial" w:eastAsia="Arial" w:hAnsi="Arial"/>
          <w:sz w:val="15"/>
          <w:szCs w:val="15"/>
          <w:color w:val="auto"/>
          <w:vertAlign w:val="superscript"/>
        </w:rPr>
      </w:pPr>
      <w:r>
        <w:rPr>
          <w:rFonts w:ascii="Arial" w:cs="Arial" w:eastAsia="Arial" w:hAnsi="Arial"/>
          <w:sz w:val="12"/>
          <w:szCs w:val="12"/>
          <w:color w:val="auto"/>
        </w:rPr>
        <w:t>Included 50% of our proportionate share of Grupo Arato’s adjusted EBITDA from November 1, 2017 through September 20, 2018 when Grupo Arato was accounted for as an equity method investment, and 100% of Grupo Arato’s adjusted EBITDA thereafter when we acquired the remaining 50% ownership on September 21, 2018.</w:t>
      </w:r>
    </w:p>
    <w:p>
      <w:pPr>
        <w:spacing w:after="0" w:line="15" w:lineRule="exact"/>
        <w:rPr>
          <w:rFonts w:ascii="Arial" w:cs="Arial" w:eastAsia="Arial" w:hAnsi="Arial"/>
          <w:sz w:val="15"/>
          <w:szCs w:val="15"/>
          <w:color w:val="auto"/>
          <w:vertAlign w:val="superscript"/>
        </w:rPr>
      </w:pPr>
    </w:p>
    <w:p>
      <w:pPr>
        <w:ind w:left="160" w:hanging="160"/>
        <w:spacing w:after="0"/>
        <w:tabs>
          <w:tab w:leader="none" w:pos="160" w:val="left"/>
        </w:tabs>
        <w:numPr>
          <w:ilvl w:val="0"/>
          <w:numId w:val="41"/>
        </w:numPr>
        <w:rPr>
          <w:rFonts w:ascii="Arial" w:cs="Arial" w:eastAsia="Arial" w:hAnsi="Arial"/>
          <w:sz w:val="15"/>
          <w:szCs w:val="15"/>
          <w:color w:val="auto"/>
          <w:vertAlign w:val="superscript"/>
        </w:rPr>
      </w:pPr>
      <w:r>
        <w:rPr>
          <w:rFonts w:ascii="Arial" w:cs="Arial" w:eastAsia="Arial" w:hAnsi="Arial"/>
          <w:sz w:val="12"/>
          <w:szCs w:val="12"/>
          <w:color w:val="auto"/>
        </w:rPr>
        <w:t>Represents our 50% proportionate share of Grupo Arato’s adjusted EBITDA from November 1, 2017 through September 20, 2018 when Grupo Arato was accounted for as an equity method investment.</w:t>
      </w:r>
    </w:p>
    <w:p>
      <w:pPr>
        <w:spacing w:after="0" w:line="205" w:lineRule="exact"/>
        <w:rPr>
          <w:sz w:val="20"/>
          <w:szCs w:val="20"/>
          <w:color w:val="auto"/>
        </w:rPr>
      </w:pPr>
    </w:p>
    <w:p>
      <w:pPr>
        <w:ind w:right="460" w:firstLine="600"/>
        <w:spacing w:after="0" w:line="253" w:lineRule="auto"/>
        <w:rPr>
          <w:sz w:val="20"/>
          <w:szCs w:val="20"/>
          <w:color w:val="auto"/>
        </w:rPr>
      </w:pPr>
      <w:r>
        <w:rPr>
          <w:rFonts w:ascii="Arial" w:cs="Arial" w:eastAsia="Arial" w:hAnsi="Arial"/>
          <w:sz w:val="15"/>
          <w:szCs w:val="15"/>
          <w:color w:val="auto"/>
        </w:rPr>
        <w:t>Net sales to customers outside the U.S. were $202.8 million, $194.2 million, and $209.1 million, for fiscal years ended October 31, 2020, 2019, and 2018, respectively.</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goodwill balance of $76.4 million as of October 31, 2020 and 2019 was wholly attributed to the International Farming segment.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Property, plant and equipment, net attributed to geographic areas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October 31,</w:t>
            </w:r>
          </w:p>
        </w:tc>
        <w:tc>
          <w:tcPr>
            <w:tcW w:w="1000" w:type="dxa"/>
            <w:vAlign w:val="bottom"/>
            <w:tcBorders>
              <w:bottom w:val="single" w:sz="8" w:color="auto"/>
            </w:tcBorders>
          </w:tcPr>
          <w:p>
            <w:pPr>
              <w:spacing w:after="0"/>
              <w:rPr>
                <w:sz w:val="15"/>
                <w:szCs w:val="15"/>
                <w:color w:val="auto"/>
              </w:rPr>
            </w:pPr>
          </w:p>
        </w:tc>
      </w:tr>
      <w:tr>
        <w:trPr>
          <w:trHeight w:val="192"/>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2019</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143.3</w:t>
            </w:r>
          </w:p>
        </w:tc>
        <w:tc>
          <w:tcPr>
            <w:tcW w:w="52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r>
      <w:tr>
        <w:trPr>
          <w:trHeight w:val="195"/>
        </w:trPr>
        <w:tc>
          <w:tcPr>
            <w:tcW w:w="8220" w:type="dxa"/>
            <w:vAlign w:val="bottom"/>
          </w:tcPr>
          <w:p>
            <w:pPr>
              <w:ind w:left="20"/>
              <w:spacing w:after="0"/>
              <w:rPr>
                <w:sz w:val="20"/>
                <w:szCs w:val="20"/>
                <w:color w:val="auto"/>
              </w:rPr>
            </w:pPr>
            <w:r>
              <w:rPr>
                <w:rFonts w:ascii="Arial" w:cs="Arial" w:eastAsia="Arial" w:hAnsi="Arial"/>
                <w:sz w:val="13"/>
                <w:szCs w:val="13"/>
                <w:color w:val="auto"/>
              </w:rPr>
              <w:t>South America</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234.9</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213.7</w:t>
            </w:r>
          </w:p>
        </w:tc>
      </w:tr>
      <w:tr>
        <w:trPr>
          <w:trHeight w:val="20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0.9</w:t>
            </w:r>
          </w:p>
        </w:tc>
        <w:tc>
          <w:tcPr>
            <w:tcW w:w="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2"/>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Property, plant and equipment, net</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379.1</w:t>
            </w:r>
          </w:p>
        </w:tc>
        <w:tc>
          <w:tcPr>
            <w:tcW w:w="5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330.3</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1220"/>
          </w:cols>
          <w:pgMar w:left="320" w:top="175"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232F84"/>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 w:hanging="560"/>
        <w:spacing w:after="0"/>
        <w:tabs>
          <w:tab w:leader="none" w:pos="560" w:val="left"/>
        </w:tabs>
        <w:numPr>
          <w:ilvl w:val="0"/>
          <w:numId w:val="42"/>
        </w:numPr>
        <w:rPr>
          <w:rFonts w:ascii="Arial" w:cs="Arial" w:eastAsia="Arial" w:hAnsi="Arial"/>
          <w:sz w:val="20"/>
          <w:szCs w:val="20"/>
          <w:b w:val="1"/>
          <w:bCs w:val="1"/>
          <w:color w:val="232F84"/>
        </w:rPr>
      </w:pPr>
      <w:r>
        <w:rPr>
          <w:rFonts w:ascii="Arial" w:cs="Arial" w:eastAsia="Arial" w:hAnsi="Arial"/>
          <w:sz w:val="20"/>
          <w:szCs w:val="20"/>
          <w:b w:val="1"/>
          <w:bCs w:val="1"/>
          <w:color w:val="232F84"/>
        </w:rPr>
        <w:t>Unaudited Quarterly Financial Information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Quarter Ended</w:t>
            </w: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1"/>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293"/>
              <w:spacing w:after="0"/>
              <w:rPr>
                <w:sz w:val="20"/>
                <w:szCs w:val="20"/>
                <w:color w:val="auto"/>
              </w:rPr>
            </w:pPr>
            <w:r>
              <w:rPr>
                <w:rFonts w:ascii="Arial" w:cs="Arial" w:eastAsia="Arial" w:hAnsi="Arial"/>
                <w:sz w:val="13"/>
                <w:szCs w:val="13"/>
                <w:b w:val="1"/>
                <w:bCs w:val="1"/>
                <w:color w:val="auto"/>
              </w:rPr>
              <w:t>January 31,</w:t>
            </w:r>
          </w:p>
        </w:tc>
        <w:tc>
          <w:tcPr>
            <w:tcW w:w="440" w:type="dxa"/>
            <w:vAlign w:val="bottom"/>
          </w:tcPr>
          <w:p>
            <w:pPr>
              <w:spacing w:after="0"/>
              <w:rPr>
                <w:sz w:val="13"/>
                <w:szCs w:val="13"/>
                <w:color w:val="auto"/>
              </w:rPr>
            </w:pPr>
          </w:p>
        </w:tc>
        <w:tc>
          <w:tcPr>
            <w:tcW w:w="1440" w:type="dxa"/>
            <w:vAlign w:val="bottom"/>
          </w:tcPr>
          <w:p>
            <w:pPr>
              <w:jc w:val="center"/>
              <w:ind w:right="433"/>
              <w:spacing w:after="0"/>
              <w:rPr>
                <w:sz w:val="20"/>
                <w:szCs w:val="20"/>
                <w:color w:val="auto"/>
              </w:rPr>
            </w:pPr>
            <w:r>
              <w:rPr>
                <w:rFonts w:ascii="Arial" w:cs="Arial" w:eastAsia="Arial" w:hAnsi="Arial"/>
                <w:sz w:val="13"/>
                <w:szCs w:val="13"/>
                <w:b w:val="1"/>
                <w:bCs w:val="1"/>
                <w:color w:val="auto"/>
              </w:rPr>
              <w:t>April 30,</w:t>
            </w:r>
          </w:p>
        </w:tc>
        <w:tc>
          <w:tcPr>
            <w:tcW w:w="500" w:type="dxa"/>
            <w:vAlign w:val="bottom"/>
          </w:tcPr>
          <w:p>
            <w:pPr>
              <w:spacing w:after="0"/>
              <w:rPr>
                <w:sz w:val="13"/>
                <w:szCs w:val="13"/>
                <w:color w:val="auto"/>
              </w:rPr>
            </w:pPr>
          </w:p>
        </w:tc>
        <w:tc>
          <w:tcPr>
            <w:tcW w:w="1220" w:type="dxa"/>
            <w:vAlign w:val="bottom"/>
          </w:tcPr>
          <w:p>
            <w:pPr>
              <w:jc w:val="center"/>
              <w:ind w:right="453"/>
              <w:spacing w:after="0"/>
              <w:rPr>
                <w:sz w:val="20"/>
                <w:szCs w:val="20"/>
                <w:color w:val="auto"/>
              </w:rPr>
            </w:pPr>
            <w:r>
              <w:rPr>
                <w:rFonts w:ascii="Arial" w:cs="Arial" w:eastAsia="Arial" w:hAnsi="Arial"/>
                <w:sz w:val="13"/>
                <w:szCs w:val="13"/>
                <w:b w:val="1"/>
                <w:bCs w:val="1"/>
                <w:color w:val="auto"/>
              </w:rPr>
              <w:t>July 31,</w:t>
            </w:r>
          </w:p>
        </w:tc>
        <w:tc>
          <w:tcPr>
            <w:tcW w:w="400" w:type="dxa"/>
            <w:vAlign w:val="bottom"/>
          </w:tcPr>
          <w:p>
            <w:pPr>
              <w:spacing w:after="0"/>
              <w:rPr>
                <w:sz w:val="13"/>
                <w:szCs w:val="13"/>
                <w:color w:val="auto"/>
              </w:rPr>
            </w:pPr>
          </w:p>
        </w:tc>
        <w:tc>
          <w:tcPr>
            <w:tcW w:w="1280" w:type="dxa"/>
            <w:vAlign w:val="bottom"/>
          </w:tcPr>
          <w:p>
            <w:pPr>
              <w:jc w:val="center"/>
              <w:ind w:right="153"/>
              <w:spacing w:after="0"/>
              <w:rPr>
                <w:sz w:val="20"/>
                <w:szCs w:val="20"/>
                <w:color w:val="auto"/>
              </w:rPr>
            </w:pPr>
            <w:r>
              <w:rPr>
                <w:rFonts w:ascii="Arial" w:cs="Arial" w:eastAsia="Arial" w:hAnsi="Arial"/>
                <w:sz w:val="13"/>
                <w:szCs w:val="13"/>
                <w:b w:val="1"/>
                <w:bCs w:val="1"/>
                <w:color w:val="auto"/>
              </w:rPr>
              <w:t>October 31,</w:t>
            </w:r>
          </w:p>
        </w:tc>
      </w:tr>
      <w:tr>
        <w:trPr>
          <w:trHeight w:val="182"/>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93"/>
              <w:spacing w:after="0"/>
              <w:rPr>
                <w:sz w:val="20"/>
                <w:szCs w:val="20"/>
                <w:color w:val="auto"/>
              </w:rPr>
            </w:pPr>
            <w:r>
              <w:rPr>
                <w:rFonts w:ascii="Arial" w:cs="Arial" w:eastAsia="Arial" w:hAnsi="Arial"/>
                <w:sz w:val="13"/>
                <w:szCs w:val="13"/>
                <w:b w:val="1"/>
                <w:bCs w:val="1"/>
                <w:color w:val="auto"/>
                <w:w w:val="96"/>
              </w:rPr>
              <w:t>2020</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33"/>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5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2020</w:t>
            </w:r>
          </w:p>
        </w:tc>
      </w:tr>
      <w:tr>
        <w:trPr>
          <w:trHeight w:val="197"/>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197.5</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221.6</w:t>
            </w:r>
          </w:p>
        </w:tc>
        <w:tc>
          <w:tcPr>
            <w:tcW w:w="5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236.4</w:t>
            </w:r>
          </w:p>
        </w:tc>
        <w:tc>
          <w:tcPr>
            <w:tcW w:w="4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w:t>
            </w:r>
          </w:p>
        </w:tc>
      </w:tr>
      <w:tr>
        <w:trPr>
          <w:trHeight w:val="195"/>
        </w:trPr>
        <w:tc>
          <w:tcPr>
            <w:tcW w:w="43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3"/>
                <w:szCs w:val="13"/>
                <w:color w:val="auto"/>
              </w:rPr>
              <w:t>19.4</w:t>
            </w:r>
          </w:p>
        </w:tc>
        <w:tc>
          <w:tcPr>
            <w:tcW w:w="44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Arial" w:cs="Arial" w:eastAsia="Arial" w:hAnsi="Arial"/>
                <w:sz w:val="13"/>
                <w:szCs w:val="13"/>
                <w:color w:val="auto"/>
              </w:rPr>
              <w:t>21.5</w:t>
            </w:r>
          </w:p>
        </w:tc>
        <w:tc>
          <w:tcPr>
            <w:tcW w:w="500" w:type="dxa"/>
            <w:vAlign w:val="bottom"/>
          </w:tcPr>
          <w:p>
            <w:pPr>
              <w:spacing w:after="0"/>
              <w:rPr>
                <w:sz w:val="16"/>
                <w:szCs w:val="16"/>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44.2</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39.5</w:t>
            </w:r>
          </w:p>
        </w:tc>
      </w:tr>
      <w:tr>
        <w:trPr>
          <w:trHeight w:val="20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 xml:space="preserve">(14.8) </w:t>
            </w:r>
            <w:r>
              <w:rPr>
                <w:rFonts w:ascii="Arial" w:cs="Arial" w:eastAsia="Arial" w:hAnsi="Arial"/>
                <w:sz w:val="17"/>
                <w:szCs w:val="17"/>
                <w:color w:val="auto"/>
                <w:vertAlign w:val="superscript"/>
              </w:rPr>
              <w:t>(1)</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23.4</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195"/>
        </w:trPr>
        <w:tc>
          <w:tcPr>
            <w:tcW w:w="4320" w:type="dxa"/>
            <w:vAlign w:val="bottom"/>
          </w:tcPr>
          <w:p>
            <w:pPr>
              <w:ind w:left="20"/>
              <w:spacing w:after="0"/>
              <w:rPr>
                <w:sz w:val="20"/>
                <w:szCs w:val="20"/>
                <w:color w:val="auto"/>
              </w:rPr>
            </w:pPr>
            <w:r>
              <w:rPr>
                <w:rFonts w:ascii="Arial" w:cs="Arial" w:eastAsia="Arial" w:hAnsi="Arial"/>
                <w:sz w:val="13"/>
                <w:szCs w:val="13"/>
                <w:color w:val="auto"/>
              </w:rPr>
              <w:t>Net income (loss) per share:</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5"/>
        </w:trPr>
        <w:tc>
          <w:tcPr>
            <w:tcW w:w="4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0.02</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(0.23)</w:t>
            </w:r>
          </w:p>
        </w:tc>
        <w:tc>
          <w:tcPr>
            <w:tcW w:w="5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0.37</w:t>
            </w:r>
          </w:p>
        </w:tc>
        <w:tc>
          <w:tcPr>
            <w:tcW w:w="4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r>
      <w:tr>
        <w:trPr>
          <w:trHeight w:val="19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Diluted</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0.02</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(0.23)</w:t>
            </w:r>
          </w:p>
        </w:tc>
        <w:tc>
          <w:tcPr>
            <w:tcW w:w="5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0.37</w:t>
            </w:r>
          </w:p>
        </w:tc>
        <w:tc>
          <w:tcPr>
            <w:tcW w:w="4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0.29</w:t>
            </w:r>
          </w:p>
        </w:tc>
      </w:tr>
      <w:tr>
        <w:trPr>
          <w:trHeight w:val="161"/>
        </w:trPr>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293"/>
              <w:spacing w:after="0"/>
              <w:rPr>
                <w:sz w:val="20"/>
                <w:szCs w:val="20"/>
                <w:color w:val="auto"/>
              </w:rPr>
            </w:pPr>
            <w:r>
              <w:rPr>
                <w:rFonts w:ascii="Arial" w:cs="Arial" w:eastAsia="Arial" w:hAnsi="Arial"/>
                <w:sz w:val="13"/>
                <w:szCs w:val="13"/>
                <w:b w:val="1"/>
                <w:bCs w:val="1"/>
                <w:color w:val="auto"/>
              </w:rPr>
              <w:t>January 31,</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jc w:val="center"/>
              <w:ind w:right="433"/>
              <w:spacing w:after="0"/>
              <w:rPr>
                <w:sz w:val="20"/>
                <w:szCs w:val="20"/>
                <w:color w:val="auto"/>
              </w:rPr>
            </w:pPr>
            <w:r>
              <w:rPr>
                <w:rFonts w:ascii="Arial" w:cs="Arial" w:eastAsia="Arial" w:hAnsi="Arial"/>
                <w:sz w:val="13"/>
                <w:szCs w:val="13"/>
                <w:b w:val="1"/>
                <w:bCs w:val="1"/>
                <w:color w:val="auto"/>
              </w:rPr>
              <w:t>April 30,</w:t>
            </w:r>
          </w:p>
        </w:tc>
        <w:tc>
          <w:tcPr>
            <w:tcW w:w="5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right="453"/>
              <w:spacing w:after="0"/>
              <w:rPr>
                <w:sz w:val="20"/>
                <w:szCs w:val="20"/>
                <w:color w:val="auto"/>
              </w:rPr>
            </w:pPr>
            <w:r>
              <w:rPr>
                <w:rFonts w:ascii="Arial" w:cs="Arial" w:eastAsia="Arial" w:hAnsi="Arial"/>
                <w:sz w:val="13"/>
                <w:szCs w:val="13"/>
                <w:b w:val="1"/>
                <w:bCs w:val="1"/>
                <w:color w:val="auto"/>
              </w:rPr>
              <w:t>July 31,</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ind w:right="153"/>
              <w:spacing w:after="0"/>
              <w:rPr>
                <w:sz w:val="20"/>
                <w:szCs w:val="20"/>
                <w:color w:val="auto"/>
              </w:rPr>
            </w:pPr>
            <w:r>
              <w:rPr>
                <w:rFonts w:ascii="Arial" w:cs="Arial" w:eastAsia="Arial" w:hAnsi="Arial"/>
                <w:sz w:val="13"/>
                <w:szCs w:val="13"/>
                <w:b w:val="1"/>
                <w:bCs w:val="1"/>
                <w:color w:val="auto"/>
              </w:rPr>
              <w:t>October 31,</w:t>
            </w:r>
          </w:p>
        </w:tc>
      </w:tr>
      <w:tr>
        <w:trPr>
          <w:trHeight w:val="187"/>
        </w:trPr>
        <w:tc>
          <w:tcPr>
            <w:tcW w:w="43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293"/>
              <w:spacing w:after="0"/>
              <w:rPr>
                <w:sz w:val="20"/>
                <w:szCs w:val="20"/>
                <w:color w:val="auto"/>
              </w:rPr>
            </w:pPr>
            <w:r>
              <w:rPr>
                <w:rFonts w:ascii="Arial" w:cs="Arial" w:eastAsia="Arial" w:hAnsi="Arial"/>
                <w:sz w:val="13"/>
                <w:szCs w:val="13"/>
                <w:b w:val="1"/>
                <w:bCs w:val="1"/>
                <w:color w:val="auto"/>
                <w:w w:val="96"/>
              </w:rPr>
              <w:t>2019</w:t>
            </w: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center"/>
              <w:ind w:right="433"/>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453"/>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ind w:right="153"/>
              <w:spacing w:after="0"/>
              <w:rPr>
                <w:sz w:val="20"/>
                <w:szCs w:val="20"/>
                <w:color w:val="auto"/>
              </w:rPr>
            </w:pPr>
            <w:r>
              <w:rPr>
                <w:rFonts w:ascii="Arial" w:cs="Arial" w:eastAsia="Arial" w:hAnsi="Arial"/>
                <w:sz w:val="13"/>
                <w:szCs w:val="13"/>
                <w:b w:val="1"/>
                <w:bCs w:val="1"/>
                <w:color w:val="auto"/>
              </w:rPr>
              <w:t>2019</w:t>
            </w:r>
          </w:p>
        </w:tc>
      </w:tr>
      <w:tr>
        <w:trPr>
          <w:trHeight w:val="187"/>
        </w:trPr>
        <w:tc>
          <w:tcPr>
            <w:tcW w:w="4320" w:type="dxa"/>
            <w:vAlign w:val="bottom"/>
          </w:tcPr>
          <w:p>
            <w:pPr>
              <w:ind w:left="20"/>
              <w:spacing w:after="0"/>
              <w:rPr>
                <w:sz w:val="20"/>
                <w:szCs w:val="20"/>
                <w:color w:val="auto"/>
              </w:rPr>
            </w:pPr>
            <w:r>
              <w:rPr>
                <w:rFonts w:ascii="Arial" w:cs="Arial" w:eastAsia="Arial" w:hAnsi="Arial"/>
                <w:sz w:val="13"/>
                <w:szCs w:val="13"/>
                <w:color w:val="auto"/>
              </w:rPr>
              <w:t>Net sales</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13"/>
              <w:spacing w:after="0"/>
              <w:rPr>
                <w:sz w:val="20"/>
                <w:szCs w:val="20"/>
                <w:color w:val="auto"/>
              </w:rPr>
            </w:pPr>
            <w:r>
              <w:rPr>
                <w:rFonts w:ascii="Arial" w:cs="Arial" w:eastAsia="Arial" w:hAnsi="Arial"/>
                <w:sz w:val="13"/>
                <w:szCs w:val="13"/>
                <w:color w:val="auto"/>
              </w:rPr>
              <w:t>163.5</w:t>
            </w:r>
          </w:p>
        </w:tc>
        <w:tc>
          <w:tcPr>
            <w:tcW w:w="4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13"/>
              <w:spacing w:after="0"/>
              <w:rPr>
                <w:sz w:val="20"/>
                <w:szCs w:val="20"/>
                <w:color w:val="auto"/>
              </w:rPr>
            </w:pPr>
            <w:r>
              <w:rPr>
                <w:rFonts w:ascii="Arial" w:cs="Arial" w:eastAsia="Arial" w:hAnsi="Arial"/>
                <w:sz w:val="13"/>
                <w:szCs w:val="13"/>
                <w:color w:val="auto"/>
              </w:rPr>
              <w:t>204.5</w:t>
            </w:r>
          </w:p>
        </w:tc>
        <w:tc>
          <w:tcPr>
            <w:tcW w:w="5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283.6</w:t>
            </w:r>
          </w:p>
        </w:tc>
        <w:tc>
          <w:tcPr>
            <w:tcW w:w="4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231.7</w:t>
            </w:r>
          </w:p>
        </w:tc>
      </w:tr>
      <w:tr>
        <w:trPr>
          <w:trHeight w:val="20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35.2</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27.2</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49.6</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r>
      <w:tr>
        <w:trPr>
          <w:trHeight w:val="195"/>
        </w:trPr>
        <w:tc>
          <w:tcPr>
            <w:tcW w:w="4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3"/>
                <w:szCs w:val="13"/>
                <w:color w:val="auto"/>
              </w:rPr>
              <w:t>13.3</w:t>
            </w:r>
          </w:p>
        </w:tc>
        <w:tc>
          <w:tcPr>
            <w:tcW w:w="44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Arial" w:cs="Arial" w:eastAsia="Arial" w:hAnsi="Arial"/>
                <w:sz w:val="13"/>
                <w:szCs w:val="13"/>
                <w:color w:val="auto"/>
              </w:rPr>
              <w:t>9.9</w:t>
            </w:r>
          </w:p>
        </w:tc>
        <w:tc>
          <w:tcPr>
            <w:tcW w:w="500" w:type="dxa"/>
            <w:vAlign w:val="bottom"/>
          </w:tcPr>
          <w:p>
            <w:pPr>
              <w:spacing w:after="0"/>
              <w:rPr>
                <w:sz w:val="16"/>
                <w:szCs w:val="16"/>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24.6</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23.9</w:t>
            </w:r>
          </w:p>
        </w:tc>
      </w:tr>
      <w:tr>
        <w:trPr>
          <w:trHeight w:val="20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share: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4320" w:type="dxa"/>
            <w:vAlign w:val="bottom"/>
          </w:tcPr>
          <w:p>
            <w:pPr>
              <w:ind w:left="220"/>
              <w:spacing w:after="0"/>
              <w:rPr>
                <w:sz w:val="20"/>
                <w:szCs w:val="20"/>
                <w:color w:val="auto"/>
              </w:rPr>
            </w:pPr>
            <w:r>
              <w:rPr>
                <w:rFonts w:ascii="Arial" w:cs="Arial" w:eastAsia="Arial" w:hAnsi="Arial"/>
                <w:sz w:val="13"/>
                <w:szCs w:val="13"/>
                <w:color w:val="auto"/>
              </w:rPr>
              <w:t>Basic</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13"/>
              <w:spacing w:after="0"/>
              <w:rPr>
                <w:sz w:val="20"/>
                <w:szCs w:val="20"/>
                <w:color w:val="auto"/>
              </w:rPr>
            </w:pPr>
            <w:r>
              <w:rPr>
                <w:rFonts w:ascii="Arial" w:cs="Arial" w:eastAsia="Arial" w:hAnsi="Arial"/>
                <w:sz w:val="13"/>
                <w:szCs w:val="13"/>
                <w:color w:val="auto"/>
              </w:rPr>
              <w:t>0.21</w:t>
            </w:r>
          </w:p>
        </w:tc>
        <w:tc>
          <w:tcPr>
            <w:tcW w:w="4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213"/>
              <w:spacing w:after="0"/>
              <w:rPr>
                <w:sz w:val="20"/>
                <w:szCs w:val="20"/>
                <w:color w:val="auto"/>
              </w:rPr>
            </w:pPr>
            <w:r>
              <w:rPr>
                <w:rFonts w:ascii="Arial" w:cs="Arial" w:eastAsia="Arial" w:hAnsi="Arial"/>
                <w:sz w:val="13"/>
                <w:szCs w:val="13"/>
                <w:color w:val="auto"/>
              </w:rPr>
              <w:t>0.16</w:t>
            </w:r>
          </w:p>
        </w:tc>
        <w:tc>
          <w:tcPr>
            <w:tcW w:w="5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0.39</w:t>
            </w:r>
          </w:p>
        </w:tc>
        <w:tc>
          <w:tcPr>
            <w:tcW w:w="4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0.38</w:t>
            </w:r>
          </w:p>
        </w:tc>
      </w:tr>
      <w:tr>
        <w:trPr>
          <w:trHeight w:val="200"/>
        </w:trPr>
        <w:tc>
          <w:tcPr>
            <w:tcW w:w="4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0.21</w:t>
            </w:r>
          </w:p>
        </w:tc>
        <w:tc>
          <w:tcPr>
            <w:tcW w:w="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0.16</w:t>
            </w:r>
          </w:p>
        </w:tc>
        <w:tc>
          <w:tcPr>
            <w:tcW w:w="5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0.39</w:t>
            </w:r>
          </w:p>
        </w:tc>
        <w:tc>
          <w:tcPr>
            <w:tcW w:w="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0.38</w:t>
            </w:r>
          </w:p>
        </w:tc>
      </w:tr>
    </w:tbl>
    <w:p>
      <w:pPr>
        <w:spacing w:after="0" w:line="11" w:lineRule="exact"/>
        <w:rPr>
          <w:sz w:val="20"/>
          <w:szCs w:val="20"/>
          <w:color w:val="auto"/>
        </w:rPr>
      </w:pPr>
    </w:p>
    <w:p>
      <w:pPr>
        <w:ind w:left="160" w:hanging="160"/>
        <w:spacing w:after="0"/>
        <w:tabs>
          <w:tab w:leader="none" w:pos="160" w:val="left"/>
        </w:tabs>
        <w:numPr>
          <w:ilvl w:val="0"/>
          <w:numId w:val="43"/>
        </w:numPr>
        <w:rPr>
          <w:rFonts w:ascii="Arial" w:cs="Arial" w:eastAsia="Arial" w:hAnsi="Arial"/>
          <w:sz w:val="15"/>
          <w:szCs w:val="15"/>
          <w:color w:val="auto"/>
          <w:vertAlign w:val="superscript"/>
        </w:rPr>
      </w:pPr>
      <w:r>
        <w:rPr>
          <w:rFonts w:ascii="Arial" w:cs="Arial" w:eastAsia="Arial" w:hAnsi="Arial"/>
          <w:sz w:val="12"/>
          <w:szCs w:val="12"/>
          <w:color w:val="auto"/>
        </w:rPr>
        <w:t>In the second quarter of fiscal year 2020, we recognized a $21.2 million pre-tax impairment charge on our equity method investee Moruga. Refer to Note 5 for more information.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1240"/>
          </w:cols>
          <w:pgMar w:left="320" w:top="175" w:right="339" w:bottom="1440" w:gutter="0" w:footer="0" w:header="0"/>
        </w:sectPr>
      </w:pPr>
    </w:p>
    <w:bookmarkStart w:id="71" w:name="page72"/>
    <w:bookmarkEnd w:id="71"/>
    <w:p>
      <w:pPr>
        <w:ind w:left="4460"/>
        <w:spacing w:after="0"/>
        <w:rPr>
          <w:sz w:val="20"/>
          <w:szCs w:val="20"/>
          <w:color w:val="auto"/>
        </w:rPr>
      </w:pPr>
      <w:r>
        <w:rPr>
          <w:rFonts w:ascii="Arial" w:cs="Arial" w:eastAsia="Arial" w:hAnsi="Arial"/>
          <w:sz w:val="23"/>
          <w:szCs w:val="23"/>
          <w:color w:val="auto"/>
        </w:rPr>
        <w:t>OFFICE LEASE</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u w:val="single" w:color="auto"/>
          <w:color w:val="auto"/>
        </w:rPr>
        <w:t>KEY LEASE TERMS</w:t>
      </w:r>
    </w:p>
    <w:p>
      <w:pPr>
        <w:spacing w:after="0" w:line="318" w:lineRule="exact"/>
        <w:rPr>
          <w:sz w:val="20"/>
          <w:szCs w:val="20"/>
          <w:color w:val="auto"/>
        </w:rPr>
      </w:pPr>
    </w:p>
    <w:p>
      <w:pPr>
        <w:ind w:left="880" w:right="19" w:hanging="2399"/>
        <w:spacing w:after="0" w:line="276" w:lineRule="auto"/>
        <w:tabs>
          <w:tab w:leader="none" w:pos="860" w:val="left"/>
        </w:tabs>
        <w:rPr>
          <w:sz w:val="20"/>
          <w:szCs w:val="20"/>
          <w:color w:val="auto"/>
        </w:rPr>
      </w:pPr>
      <w:r>
        <w:rPr>
          <w:rFonts w:ascii="Arial" w:cs="Arial" w:eastAsia="Arial" w:hAnsi="Arial"/>
          <w:sz w:val="18"/>
          <w:szCs w:val="18"/>
          <w:color w:val="auto"/>
        </w:rPr>
        <w:t>Building:</w:t>
        <w:tab/>
        <w:t>2700 Camino Del Sol, Oxnard, CA 93030. The Building contains 100,000 (+/-) square feet of rentable area and is part of Landlord’s Campus.</w:t>
      </w:r>
    </w:p>
    <w:p>
      <w:pPr>
        <w:spacing w:after="0" w:line="161"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Landlord’s Campus:</w:t>
      </w:r>
      <w:r>
        <w:rPr>
          <w:sz w:val="20"/>
          <w:szCs w:val="20"/>
          <w:color w:val="auto"/>
        </w:rPr>
        <w:tab/>
      </w:r>
      <w:r>
        <w:rPr>
          <w:rFonts w:ascii="Arial" w:cs="Arial" w:eastAsia="Arial" w:hAnsi="Arial"/>
          <w:sz w:val="16"/>
          <w:szCs w:val="16"/>
          <w:color w:val="auto"/>
        </w:rPr>
        <w:t>The corporate campus of Landlord located on Camino Del Sol, Oxnard,</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CA, which includes office space and a vegetable seed plant facility.</w:t>
      </w:r>
    </w:p>
    <w:p>
      <w:pPr>
        <w:ind w:left="2400"/>
        <w:spacing w:after="0"/>
        <w:rPr>
          <w:sz w:val="20"/>
          <w:szCs w:val="20"/>
          <w:color w:val="auto"/>
        </w:rPr>
      </w:pPr>
      <w:r>
        <w:rPr>
          <w:rFonts w:ascii="Arial" w:cs="Arial" w:eastAsia="Arial" w:hAnsi="Arial"/>
          <w:sz w:val="17"/>
          <w:szCs w:val="17"/>
          <w:color w:val="auto"/>
        </w:rPr>
        <w:t>Landlord’s Campus contains 366,000 (+/-) square feet of rentable area, including the Building.</w:t>
      </w:r>
    </w:p>
    <w:p>
      <w:pPr>
        <w:spacing w:after="0" w:line="138" w:lineRule="exact"/>
        <w:rPr>
          <w:sz w:val="20"/>
          <w:szCs w:val="20"/>
          <w:color w:val="auto"/>
        </w:rPr>
      </w:pPr>
    </w:p>
    <w:p>
      <w:pPr>
        <w:spacing w:after="0"/>
        <w:tabs>
          <w:tab w:leader="none" w:pos="880" w:val="left"/>
          <w:tab w:leader="none" w:pos="7180" w:val="left"/>
        </w:tabs>
        <w:rPr>
          <w:sz w:val="20"/>
          <w:szCs w:val="20"/>
          <w:color w:val="auto"/>
        </w:rPr>
      </w:pPr>
      <w:r>
        <w:rPr>
          <w:rFonts w:ascii="Arial" w:cs="Arial" w:eastAsia="Arial" w:hAnsi="Arial"/>
          <w:sz w:val="18"/>
          <w:szCs w:val="18"/>
          <w:color w:val="auto"/>
        </w:rPr>
        <w:t>Landlord:</w:t>
        <w:tab/>
        <w:t>Seminis Vegetable Seeds, Inc., a California corporation Landlord's Notice Address:</w:t>
      </w:r>
      <w:r>
        <w:rPr>
          <w:sz w:val="20"/>
          <w:szCs w:val="20"/>
          <w:color w:val="auto"/>
        </w:rPr>
        <w:tab/>
      </w:r>
      <w:r>
        <w:rPr>
          <w:rFonts w:ascii="Arial" w:cs="Arial" w:eastAsia="Arial" w:hAnsi="Arial"/>
          <w:sz w:val="16"/>
          <w:szCs w:val="16"/>
          <w:color w:val="auto"/>
        </w:rPr>
        <w:t>Seminis Vegetable Seeds,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7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800 North Lindbergh Boulevard</w:t>
      </w:r>
    </w:p>
    <w:p>
      <w:pPr>
        <w:ind w:left="2400"/>
        <w:spacing w:after="0"/>
        <w:rPr>
          <w:sz w:val="20"/>
          <w:szCs w:val="20"/>
          <w:color w:val="auto"/>
        </w:rPr>
      </w:pPr>
      <w:r>
        <w:rPr>
          <w:rFonts w:ascii="Arial" w:cs="Arial" w:eastAsia="Arial" w:hAnsi="Arial"/>
          <w:sz w:val="18"/>
          <w:szCs w:val="18"/>
          <w:color w:val="auto"/>
        </w:rPr>
        <w:t>St. Louis, MO 63167 Attention: Real Estate, R1B</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Email: michael.bradshaw@bayer.com</w:t>
      </w:r>
    </w:p>
    <w:p>
      <w:pPr>
        <w:spacing w:after="0" w:line="2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With copy to:</w:t>
      </w:r>
      <w:r>
        <w:rPr>
          <w:sz w:val="20"/>
          <w:szCs w:val="20"/>
          <w:color w:val="auto"/>
        </w:rPr>
        <w:tab/>
      </w:r>
      <w:r>
        <w:rPr>
          <w:rFonts w:ascii="Arial" w:cs="Arial" w:eastAsia="Arial" w:hAnsi="Arial"/>
          <w:sz w:val="16"/>
          <w:szCs w:val="16"/>
          <w:color w:val="auto"/>
        </w:rPr>
        <w:t>Seminis Vegetable Seeds, Inc.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2700 Camino Del Sol Oxnard, CA 93030 Attention: Hannah</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Wirz</w:t>
      </w:r>
    </w:p>
    <w:p>
      <w:pPr>
        <w:ind w:left="2400"/>
        <w:spacing w:after="0" w:line="238" w:lineRule="auto"/>
        <w:rPr>
          <w:sz w:val="20"/>
          <w:szCs w:val="20"/>
          <w:color w:val="auto"/>
        </w:rPr>
      </w:pPr>
      <w:r>
        <w:rPr>
          <w:rFonts w:ascii="Arial" w:cs="Arial" w:eastAsia="Arial" w:hAnsi="Arial"/>
          <w:sz w:val="18"/>
          <w:szCs w:val="18"/>
          <w:color w:val="auto"/>
        </w:rPr>
        <w:t>Email: Hannah.wirz@bayer.com</w:t>
      </w:r>
    </w:p>
    <w:p>
      <w:pPr>
        <w:spacing w:after="0"/>
        <w:rPr>
          <w:sz w:val="20"/>
          <w:szCs w:val="20"/>
          <w:color w:val="auto"/>
        </w:rPr>
      </w:pPr>
      <w:r>
        <w:rPr>
          <w:rFonts w:ascii="Arial" w:cs="Arial" w:eastAsia="Arial" w:hAnsi="Arial"/>
          <w:sz w:val="18"/>
          <w:szCs w:val="18"/>
          <w:color w:val="auto"/>
        </w:rPr>
        <w:t>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Seminis Vegetable Seeds, Inc. 800 Lindbergh Boulevard</w:t>
      </w:r>
    </w:p>
    <w:p>
      <w:pPr>
        <w:spacing w:after="0" w:line="238" w:lineRule="auto"/>
        <w:rPr>
          <w:sz w:val="20"/>
          <w:szCs w:val="20"/>
          <w:color w:val="auto"/>
        </w:rPr>
      </w:pPr>
      <w:r>
        <w:rPr>
          <w:rFonts w:ascii="Arial" w:cs="Arial" w:eastAsia="Arial" w:hAnsi="Arial"/>
          <w:sz w:val="18"/>
          <w:szCs w:val="18"/>
          <w:color w:val="auto"/>
        </w:rPr>
        <w:t>St. Louis, MO 63167</w:t>
      </w:r>
    </w:p>
    <w:p>
      <w:pPr>
        <w:spacing w:after="0"/>
        <w:rPr>
          <w:sz w:val="20"/>
          <w:szCs w:val="20"/>
          <w:color w:val="auto"/>
        </w:rPr>
      </w:pPr>
      <w:r>
        <w:rPr>
          <w:rFonts w:ascii="Arial" w:cs="Arial" w:eastAsia="Arial" w:hAnsi="Arial"/>
          <w:sz w:val="18"/>
          <w:szCs w:val="18"/>
          <w:color w:val="auto"/>
        </w:rPr>
        <w:t>Attention: Associate General Counsel, Vegetable Division Email: nancy.avioli@bayer.com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Instructions</w:t>
      </w:r>
    </w:p>
    <w:p>
      <w:pPr>
        <w:spacing w:after="0" w:line="1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for Rent Payments:</w:t>
      </w:r>
      <w:r>
        <w:rPr>
          <w:sz w:val="20"/>
          <w:szCs w:val="20"/>
          <w:color w:val="auto"/>
        </w:rPr>
        <w:tab/>
      </w:r>
      <w:r>
        <w:rPr>
          <w:rFonts w:ascii="Arial" w:cs="Arial" w:eastAsia="Arial" w:hAnsi="Arial"/>
          <w:sz w:val="16"/>
          <w:szCs w:val="16"/>
          <w:color w:val="auto"/>
        </w:rPr>
        <w:t>Beneficiary: Monsanto Company</w:t>
      </w:r>
    </w:p>
    <w:p>
      <w:pPr>
        <w:ind w:left="2400"/>
        <w:spacing w:after="0"/>
        <w:rPr>
          <w:sz w:val="20"/>
          <w:szCs w:val="20"/>
          <w:color w:val="auto"/>
        </w:rPr>
      </w:pPr>
      <w:r>
        <w:rPr>
          <w:rFonts w:ascii="Arial" w:cs="Arial" w:eastAsia="Arial" w:hAnsi="Arial"/>
          <w:sz w:val="18"/>
          <w:szCs w:val="18"/>
          <w:color w:val="auto"/>
        </w:rPr>
        <w:t>Account name: Monsanto Agriculture Main Account Account No.: 30424808</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Bank: Citibank N.A.</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Address: 111Wall St., New York, NY 10043. United States of America ABA number: 021000089</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SWIFT Code: CITIUS33</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Lease Date:</w:t>
      </w:r>
      <w:r>
        <w:rPr>
          <w:sz w:val="20"/>
          <w:szCs w:val="20"/>
          <w:color w:val="auto"/>
        </w:rPr>
        <w:tab/>
      </w:r>
      <w:r>
        <w:rPr>
          <w:rFonts w:ascii="Arial" w:cs="Arial" w:eastAsia="Arial" w:hAnsi="Arial"/>
          <w:sz w:val="17"/>
          <w:szCs w:val="17"/>
          <w:color w:val="auto"/>
        </w:rPr>
        <w:t>As of April 24, 2020</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6"/>
          <w:szCs w:val="16"/>
          <w:color w:val="auto"/>
        </w:rPr>
        <w:t>Mission Produce, Inc., a California corporation</w:t>
      </w:r>
    </w:p>
    <w:p>
      <w:pPr>
        <w:spacing w:after="0" w:line="5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Tenant's Notice Address:</w:t>
      </w:r>
      <w:r>
        <w:rPr>
          <w:sz w:val="20"/>
          <w:szCs w:val="20"/>
          <w:color w:val="auto"/>
        </w:rPr>
        <w:tab/>
      </w:r>
      <w:r>
        <w:rPr>
          <w:rFonts w:ascii="Arial" w:cs="Arial" w:eastAsia="Arial" w:hAnsi="Arial"/>
          <w:sz w:val="16"/>
          <w:szCs w:val="16"/>
          <w:color w:val="auto"/>
        </w:rPr>
        <w:t>Mission Produce, Inc.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2500 E. Vineyard Avenue Suite 300</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Oxnard, CA 93036 Attention: Steve Barnard</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Email: sbarnard@missionproduce.com</w:t>
      </w:r>
    </w:p>
    <w:p>
      <w:pPr>
        <w:spacing w:after="0" w:line="2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With copy to:</w:t>
      </w:r>
      <w:r>
        <w:rPr>
          <w:sz w:val="20"/>
          <w:szCs w:val="20"/>
          <w:color w:val="auto"/>
        </w:rPr>
        <w:tab/>
      </w:r>
      <w:r>
        <w:rPr>
          <w:rFonts w:ascii="Arial" w:cs="Arial" w:eastAsia="Arial" w:hAnsi="Arial"/>
          <w:sz w:val="16"/>
          <w:szCs w:val="16"/>
          <w:color w:val="auto"/>
        </w:rPr>
        <w:t>Mission Produce, Inc.</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2500 E. Vineyard Avenue Suite 300</w:t>
      </w:r>
    </w:p>
    <w:p>
      <w:pPr>
        <w:sectPr>
          <w:pgSz w:w="11900" w:h="16838" w:orient="portrait"/>
          <w:cols w:equalWidth="0" w:num="1">
            <w:col w:w="9759"/>
          </w:cols>
          <w:pgMar w:left="700" w:top="649" w:right="1440" w:bottom="1440" w:gutter="0" w:footer="0" w:header="0"/>
        </w:sectPr>
      </w:pPr>
    </w:p>
    <w:bookmarkStart w:id="72" w:name="page73"/>
    <w:bookmarkEnd w:id="72"/>
    <w:p>
      <w:pPr>
        <w:ind w:left="2400"/>
        <w:spacing w:after="0"/>
        <w:rPr>
          <w:sz w:val="20"/>
          <w:szCs w:val="20"/>
          <w:color w:val="auto"/>
        </w:rPr>
      </w:pPr>
      <w:r>
        <w:rPr>
          <w:rFonts w:ascii="Arial" w:cs="Arial" w:eastAsia="Arial" w:hAnsi="Arial"/>
          <w:sz w:val="18"/>
          <w:szCs w:val="18"/>
          <w:color w:val="auto"/>
        </w:rPr>
        <w:t>Oxnard, CA 93036 Attention: Ben Barnard</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Email: bbarnard@missionproduce.com</w:t>
      </w: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Mission Produce, Inc.</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2500 E. Vineyard Avenue Suite 300</w:t>
      </w:r>
    </w:p>
    <w:p>
      <w:pPr>
        <w:ind w:left="2400"/>
        <w:spacing w:after="0" w:line="231" w:lineRule="auto"/>
        <w:rPr>
          <w:sz w:val="20"/>
          <w:szCs w:val="20"/>
          <w:color w:val="auto"/>
        </w:rPr>
      </w:pPr>
      <w:r>
        <w:rPr>
          <w:rFonts w:ascii="Arial" w:cs="Arial" w:eastAsia="Arial" w:hAnsi="Arial"/>
          <w:sz w:val="18"/>
          <w:szCs w:val="18"/>
          <w:color w:val="auto"/>
        </w:rPr>
        <w:t>Oxnard, CA 93036</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Jeremy Warren – Corporate Counsel Email:</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jbwarren@missionproduce.com</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Premises:</w:t>
      </w:r>
      <w:r>
        <w:rPr>
          <w:sz w:val="20"/>
          <w:szCs w:val="20"/>
          <w:color w:val="auto"/>
        </w:rPr>
        <w:tab/>
      </w:r>
      <w:r>
        <w:rPr>
          <w:rFonts w:ascii="Arial" w:cs="Arial" w:eastAsia="Arial" w:hAnsi="Arial"/>
          <w:sz w:val="16"/>
          <w:szCs w:val="16"/>
          <w:color w:val="auto"/>
        </w:rPr>
        <w:t xml:space="preserve">The space on the first and second floors of the Building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30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Premises Rentable Area</w:t>
      </w:r>
      <w:r>
        <w:rPr>
          <w:sz w:val="20"/>
          <w:szCs w:val="20"/>
          <w:color w:val="auto"/>
        </w:rPr>
        <w:tab/>
      </w:r>
      <w:r>
        <w:rPr>
          <w:rFonts w:ascii="Arial" w:cs="Arial" w:eastAsia="Arial" w:hAnsi="Arial"/>
          <w:sz w:val="16"/>
          <w:szCs w:val="16"/>
          <w:color w:val="auto"/>
        </w:rPr>
        <w:t>The rentable area of the Premises is 51,590 square feet (+/-). 36,528</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square feet (+/-) of the Premises are located on the first floor of the Building and 15,062 square feet (+/-)</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are located on the second floor of the Building.</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Rent Commencement Date:</w:t>
      </w:r>
      <w:r>
        <w:rPr>
          <w:sz w:val="20"/>
          <w:szCs w:val="20"/>
          <w:color w:val="auto"/>
        </w:rPr>
        <w:tab/>
      </w:r>
      <w:r>
        <w:rPr>
          <w:rFonts w:ascii="Arial" w:cs="Arial" w:eastAsia="Arial" w:hAnsi="Arial"/>
          <w:sz w:val="16"/>
          <w:szCs w:val="16"/>
          <w:color w:val="auto"/>
        </w:rPr>
        <w:t>The earlier of (i) November 1, 2020, or (ii) the earliest date that both</w:t>
      </w:r>
    </w:p>
    <w:p>
      <w:pPr>
        <w:spacing w:after="0" w:line="9" w:lineRule="exact"/>
        <w:rPr>
          <w:sz w:val="20"/>
          <w:szCs w:val="20"/>
          <w:color w:val="auto"/>
        </w:rPr>
      </w:pPr>
    </w:p>
    <w:p>
      <w:pPr>
        <w:jc w:val="both"/>
        <w:ind w:left="2400" w:right="600"/>
        <w:spacing w:after="0" w:line="274" w:lineRule="auto"/>
        <w:rPr>
          <w:sz w:val="20"/>
          <w:szCs w:val="20"/>
          <w:color w:val="auto"/>
        </w:rPr>
      </w:pPr>
      <w:r>
        <w:rPr>
          <w:rFonts w:ascii="Arial" w:cs="Arial" w:eastAsia="Arial" w:hAnsi="Arial"/>
          <w:sz w:val="17"/>
          <w:szCs w:val="17"/>
          <w:color w:val="auto"/>
        </w:rPr>
        <w:t>Landlord’s TI Work is completed (as provided in Section 1.08) and the Initial Tenant Improvements are completed (as provided in Section 1.11). The Rent Commencement Date is subject to extension due to certain delays in the completion of Landlord’s TI Work, as provided in Section 1.08.</w:t>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Rent Abatement:</w:t>
      </w:r>
      <w:r>
        <w:rPr>
          <w:sz w:val="20"/>
          <w:szCs w:val="20"/>
          <w:color w:val="auto"/>
        </w:rPr>
        <w:tab/>
      </w:r>
      <w:r>
        <w:rPr>
          <w:rFonts w:ascii="Arial" w:cs="Arial" w:eastAsia="Arial" w:hAnsi="Arial"/>
          <w:sz w:val="17"/>
          <w:szCs w:val="17"/>
          <w:color w:val="auto"/>
        </w:rPr>
        <w:t>Fixed Rent will be abated for the first full month following the Rent</w:t>
      </w:r>
    </w:p>
    <w:p>
      <w:pPr>
        <w:spacing w:after="0" w:line="21" w:lineRule="exact"/>
        <w:rPr>
          <w:sz w:val="20"/>
          <w:szCs w:val="20"/>
          <w:color w:val="auto"/>
        </w:rPr>
      </w:pPr>
    </w:p>
    <w:p>
      <w:pPr>
        <w:ind w:left="2400" w:right="520"/>
        <w:spacing w:after="0" w:line="250" w:lineRule="auto"/>
        <w:rPr>
          <w:sz w:val="20"/>
          <w:szCs w:val="20"/>
          <w:color w:val="auto"/>
        </w:rPr>
      </w:pPr>
      <w:r>
        <w:rPr>
          <w:rFonts w:ascii="Arial" w:cs="Arial" w:eastAsia="Arial" w:hAnsi="Arial"/>
          <w:sz w:val="18"/>
          <w:szCs w:val="18"/>
          <w:color w:val="auto"/>
        </w:rPr>
        <w:t>Commencement Date and for the same month for the following nine consecutive years, such that Tenant will receive a 10-month Fixed Rent abatement spread over the first 10 Lease Years. For example, if the Rent Commencement Date is November 1, 2020, Fixed Rent will be abated for the month of November, 2020 and for November of each of 2021 through 2029.</w:t>
      </w:r>
    </w:p>
    <w:p>
      <w:pPr>
        <w:spacing w:after="0" w:line="19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Initial Lease Term:</w:t>
      </w:r>
      <w:r>
        <w:rPr>
          <w:sz w:val="20"/>
          <w:szCs w:val="20"/>
          <w:color w:val="auto"/>
        </w:rPr>
        <w:tab/>
      </w:r>
      <w:r>
        <w:rPr>
          <w:rFonts w:ascii="Arial" w:cs="Arial" w:eastAsia="Arial" w:hAnsi="Arial"/>
          <w:sz w:val="16"/>
          <w:szCs w:val="16"/>
          <w:color w:val="auto"/>
        </w:rPr>
        <w:t>Twenty (20) years; provided that if the Rent Commencement Date is a</w:t>
      </w:r>
    </w:p>
    <w:p>
      <w:pPr>
        <w:spacing w:after="0" w:line="9" w:lineRule="exact"/>
        <w:rPr>
          <w:sz w:val="20"/>
          <w:szCs w:val="20"/>
          <w:color w:val="auto"/>
        </w:rPr>
      </w:pPr>
    </w:p>
    <w:p>
      <w:pPr>
        <w:ind w:left="2400" w:right="900"/>
        <w:spacing w:after="0" w:line="320" w:lineRule="auto"/>
        <w:rPr>
          <w:sz w:val="20"/>
          <w:szCs w:val="20"/>
          <w:color w:val="auto"/>
        </w:rPr>
      </w:pPr>
      <w:r>
        <w:rPr>
          <w:rFonts w:ascii="Arial" w:cs="Arial" w:eastAsia="Arial" w:hAnsi="Arial"/>
          <w:sz w:val="16"/>
          <w:szCs w:val="16"/>
          <w:color w:val="auto"/>
        </w:rPr>
        <w:t>day other than the first day of a calendar month, the Lease Term will extend until the last day of the calendar month during which the 20- year anniversary of the Rent Commencement Date occurs.</w:t>
      </w:r>
    </w:p>
    <w:p>
      <w:pPr>
        <w:spacing w:after="0" w:line="14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Renewal Options:</w:t>
      </w:r>
      <w:r>
        <w:rPr>
          <w:sz w:val="20"/>
          <w:szCs w:val="20"/>
          <w:color w:val="auto"/>
        </w:rPr>
        <w:tab/>
      </w:r>
      <w:r>
        <w:rPr>
          <w:rFonts w:ascii="Arial" w:cs="Arial" w:eastAsia="Arial" w:hAnsi="Arial"/>
          <w:sz w:val="16"/>
          <w:szCs w:val="16"/>
          <w:color w:val="auto"/>
        </w:rPr>
        <w:t>Two five-year renewal options, each exercisable by Tenant no later than</w:t>
      </w:r>
    </w:p>
    <w:p>
      <w:pPr>
        <w:spacing w:after="0" w:line="9" w:lineRule="exact"/>
        <w:rPr>
          <w:sz w:val="20"/>
          <w:szCs w:val="20"/>
          <w:color w:val="auto"/>
        </w:rPr>
      </w:pPr>
    </w:p>
    <w:p>
      <w:pPr>
        <w:jc w:val="both"/>
        <w:ind w:left="2400" w:right="360"/>
        <w:spacing w:after="0" w:line="252" w:lineRule="auto"/>
        <w:rPr>
          <w:sz w:val="20"/>
          <w:szCs w:val="20"/>
          <w:color w:val="auto"/>
        </w:rPr>
      </w:pPr>
      <w:r>
        <w:rPr>
          <w:rFonts w:ascii="Arial" w:cs="Arial" w:eastAsia="Arial" w:hAnsi="Arial"/>
          <w:sz w:val="18"/>
          <w:szCs w:val="18"/>
          <w:color w:val="auto"/>
        </w:rPr>
        <w:t>one year prior to the expiration of the then-current term. Annual Fixed Rent during each Lease Year of a renewal term, and the corresponding monthly installments thereof, shall continue to be 103% of the annual</w:t>
      </w:r>
    </w:p>
    <w:p>
      <w:pPr>
        <w:spacing w:after="0" w:line="32" w:lineRule="exact"/>
        <w:rPr>
          <w:sz w:val="20"/>
          <w:szCs w:val="20"/>
          <w:color w:val="auto"/>
        </w:rPr>
      </w:pPr>
    </w:p>
    <w:p>
      <w:pPr>
        <w:ind w:left="2400"/>
        <w:spacing w:after="0" w:line="276" w:lineRule="auto"/>
        <w:rPr>
          <w:sz w:val="20"/>
          <w:szCs w:val="20"/>
          <w:color w:val="auto"/>
        </w:rPr>
      </w:pPr>
      <w:r>
        <w:rPr>
          <w:rFonts w:ascii="Arial" w:cs="Arial" w:eastAsia="Arial" w:hAnsi="Arial"/>
          <w:sz w:val="18"/>
          <w:szCs w:val="18"/>
          <w:color w:val="auto"/>
        </w:rPr>
        <w:t>Fixed Rent (and the corresponding monthly installment thereof) for the immediately preceding Lease Year - see Section 10.</w:t>
      </w:r>
    </w:p>
    <w:p>
      <w:pPr>
        <w:spacing w:after="0" w:line="186" w:lineRule="exact"/>
        <w:rPr>
          <w:sz w:val="20"/>
          <w:szCs w:val="20"/>
          <w:color w:val="auto"/>
        </w:rPr>
      </w:pPr>
    </w:p>
    <w:p>
      <w:pPr>
        <w:ind w:left="620" w:right="600" w:hanging="2399"/>
        <w:spacing w:after="0" w:line="276" w:lineRule="auto"/>
        <w:tabs>
          <w:tab w:leader="none" w:pos="600" w:val="left"/>
        </w:tabs>
        <w:rPr>
          <w:sz w:val="20"/>
          <w:szCs w:val="20"/>
          <w:color w:val="auto"/>
        </w:rPr>
      </w:pPr>
      <w:r>
        <w:rPr>
          <w:rFonts w:ascii="Arial" w:cs="Arial" w:eastAsia="Arial" w:hAnsi="Arial"/>
          <w:sz w:val="18"/>
          <w:szCs w:val="18"/>
          <w:color w:val="auto"/>
        </w:rPr>
        <w:t>Term:</w:t>
        <w:tab/>
        <w:t>The Initial Lease Term, plus any extensions of the Initial Lease Term resulting from the exercise by Tenant of one or both of the Renewal Options.</w:t>
      </w:r>
    </w:p>
    <w:p>
      <w:pPr>
        <w:spacing w:after="0" w:line="17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Termination Date:</w:t>
      </w:r>
      <w:r>
        <w:rPr>
          <w:sz w:val="20"/>
          <w:szCs w:val="20"/>
          <w:color w:val="auto"/>
        </w:rPr>
        <w:tab/>
      </w:r>
      <w:r>
        <w:rPr>
          <w:rFonts w:ascii="Arial" w:cs="Arial" w:eastAsia="Arial" w:hAnsi="Arial"/>
          <w:sz w:val="16"/>
          <w:szCs w:val="16"/>
          <w:color w:val="auto"/>
        </w:rPr>
        <w:t>If the Rent Commencement Date is the first day of a calendar month,</w:t>
      </w:r>
    </w:p>
    <w:p>
      <w:pPr>
        <w:spacing w:after="0" w:line="9" w:lineRule="exact"/>
        <w:rPr>
          <w:sz w:val="20"/>
          <w:szCs w:val="20"/>
          <w:color w:val="auto"/>
        </w:rPr>
      </w:pPr>
    </w:p>
    <w:p>
      <w:pPr>
        <w:ind w:left="2400" w:right="780"/>
        <w:spacing w:after="0" w:line="252" w:lineRule="auto"/>
        <w:rPr>
          <w:sz w:val="20"/>
          <w:szCs w:val="20"/>
          <w:color w:val="auto"/>
        </w:rPr>
      </w:pPr>
      <w:r>
        <w:rPr>
          <w:rFonts w:ascii="Arial" w:cs="Arial" w:eastAsia="Arial" w:hAnsi="Arial"/>
          <w:sz w:val="18"/>
          <w:szCs w:val="18"/>
          <w:color w:val="auto"/>
        </w:rPr>
        <w:t>the Termination Date shall be the date immediately preceding the 20- year anniversary of the Rent Commencement Date. If the Rent Commencement Date is a day other than the first day of a calendar month, the Termination Date shall be the last day of the</w:t>
      </w:r>
    </w:p>
    <w:p>
      <w:pPr>
        <w:sectPr>
          <w:pgSz w:w="11900" w:h="16838" w:orient="portrait"/>
          <w:cols w:equalWidth="0" w:num="1">
            <w:col w:w="10580"/>
          </w:cols>
          <w:pgMar w:left="700" w:top="348" w:right="619" w:bottom="1440" w:gutter="0" w:footer="0" w:header="0"/>
        </w:sectPr>
      </w:pPr>
    </w:p>
    <w:bookmarkStart w:id="73" w:name="page74"/>
    <w:bookmarkEnd w:id="73"/>
    <w:p>
      <w:pPr>
        <w:ind w:left="2400"/>
        <w:spacing w:after="0"/>
        <w:rPr>
          <w:sz w:val="20"/>
          <w:szCs w:val="20"/>
          <w:color w:val="auto"/>
        </w:rPr>
      </w:pPr>
      <w:r>
        <w:rPr>
          <w:rFonts w:ascii="Arial" w:cs="Arial" w:eastAsia="Arial" w:hAnsi="Arial"/>
          <w:sz w:val="18"/>
          <w:szCs w:val="18"/>
          <w:color w:val="auto"/>
        </w:rPr>
        <w:t>calendar month during which the 20-year anniversary of the Rent Commencement Date occurs.</w:t>
      </w:r>
    </w:p>
    <w:p>
      <w:pPr>
        <w:spacing w:after="0" w:line="23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Early Termination:</w:t>
      </w:r>
      <w:r>
        <w:rPr>
          <w:sz w:val="20"/>
          <w:szCs w:val="20"/>
          <w:color w:val="auto"/>
        </w:rPr>
        <w:tab/>
      </w:r>
      <w:r>
        <w:rPr>
          <w:rFonts w:ascii="Arial" w:cs="Arial" w:eastAsia="Arial" w:hAnsi="Arial"/>
          <w:sz w:val="15"/>
          <w:szCs w:val="15"/>
          <w:color w:val="auto"/>
        </w:rPr>
        <w:t>See Section 1.10.</w:t>
      </w:r>
    </w:p>
    <w:p>
      <w:pPr>
        <w:spacing w:after="0" w:line="23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Lease Year(s):</w:t>
      </w:r>
      <w:r>
        <w:rPr>
          <w:sz w:val="20"/>
          <w:szCs w:val="20"/>
          <w:color w:val="auto"/>
        </w:rPr>
        <w:tab/>
      </w:r>
      <w:r>
        <w:rPr>
          <w:rFonts w:ascii="Arial" w:cs="Arial" w:eastAsia="Arial" w:hAnsi="Arial"/>
          <w:sz w:val="16"/>
          <w:szCs w:val="16"/>
          <w:color w:val="auto"/>
        </w:rPr>
        <w:t>If the Rent Commencement Date is the first day of a calendar month,</w:t>
      </w:r>
    </w:p>
    <w:p>
      <w:pPr>
        <w:spacing w:after="0" w:line="9" w:lineRule="exact"/>
        <w:rPr>
          <w:sz w:val="20"/>
          <w:szCs w:val="20"/>
          <w:color w:val="auto"/>
        </w:rPr>
      </w:pPr>
    </w:p>
    <w:p>
      <w:pPr>
        <w:ind w:left="2400"/>
        <w:spacing w:after="0" w:line="265" w:lineRule="auto"/>
        <w:rPr>
          <w:sz w:val="20"/>
          <w:szCs w:val="20"/>
          <w:color w:val="auto"/>
        </w:rPr>
      </w:pPr>
      <w:r>
        <w:rPr>
          <w:rFonts w:ascii="Arial" w:cs="Arial" w:eastAsia="Arial" w:hAnsi="Arial"/>
          <w:sz w:val="17"/>
          <w:szCs w:val="17"/>
          <w:color w:val="auto"/>
        </w:rPr>
        <w:t>the first Lease Year shall be the consecutive 12-month period extending from the Rent Commencement Date through the date immediately preceding the one-year anniversary of the Rent Commencement Date. If the Rent Commencement Date is a day other than the first day of a calendar month, the first Lease Year shall be the 12-month+ period extending from the Rent Commencement Date through the last day of the calendar month during which the one year anniversary of the Rent Commencement Date occurs. Each Lease Year following the first Lease Year shall be the 12-consecutive calendar month period immediately following the expiration of the immediately preceding Lease Year.</w:t>
      </w:r>
    </w:p>
    <w:p>
      <w:pPr>
        <w:spacing w:after="0" w:line="185" w:lineRule="exact"/>
        <w:rPr>
          <w:sz w:val="20"/>
          <w:szCs w:val="20"/>
          <w:color w:val="auto"/>
        </w:rPr>
      </w:pPr>
    </w:p>
    <w:p>
      <w:pPr>
        <w:ind w:left="1040" w:right="60" w:hanging="2399"/>
        <w:spacing w:after="0" w:line="250" w:lineRule="auto"/>
        <w:tabs>
          <w:tab w:leader="none" w:pos="1020" w:val="left"/>
        </w:tabs>
        <w:rPr>
          <w:sz w:val="20"/>
          <w:szCs w:val="20"/>
          <w:color w:val="auto"/>
        </w:rPr>
      </w:pPr>
      <w:r>
        <w:rPr>
          <w:rFonts w:ascii="Arial" w:cs="Arial" w:eastAsia="Arial" w:hAnsi="Arial"/>
          <w:sz w:val="18"/>
          <w:szCs w:val="18"/>
          <w:color w:val="auto"/>
        </w:rPr>
        <w:t>Fixed Rent:</w:t>
        <w:tab/>
        <w:t xml:space="preserve">For the first Lease Year, annual Fixed Rent shall be $1,083,390.00, payable in monthly installments of $90,282.50. Annual Fixed Rent for each Lease Year after the first Lease Year, and the corresponding monthly installments thereof, shall increase by 3% over the annual Fixed Rent (and corresponding monthly installments) during the immediately preceding Lease Year. Notwithstanding the foregoing, if the Rent Commencement Date is a day other than the first day of a calendar month, monthly Fixed Rent for the first partial month of Lease Year 1 shall be prorated and such prorated amount shall be in addition to the annual Fixed Rent amount stated above. A Fixed Rent Schedule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(“Fixed Rent Schedule”). Landlord reserves the right to update such Fixed Rent Schedule when the Rent Commencement Date is specifically known.</w:t>
      </w:r>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Parking:</w:t>
      </w:r>
      <w:r>
        <w:rPr>
          <w:sz w:val="20"/>
          <w:szCs w:val="20"/>
          <w:color w:val="auto"/>
        </w:rPr>
        <w:tab/>
      </w:r>
      <w:r>
        <w:rPr>
          <w:rFonts w:ascii="Arial" w:cs="Arial" w:eastAsia="Arial" w:hAnsi="Arial"/>
          <w:sz w:val="16"/>
          <w:szCs w:val="16"/>
          <w:color w:val="auto"/>
        </w:rPr>
        <w:t>250 spaces - see also Section 13.11 Right of First Opportunity</w:t>
      </w:r>
    </w:p>
    <w:p>
      <w:pPr>
        <w:spacing w:after="0" w:line="10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to Lease Adjacent Space:</w:t>
      </w:r>
      <w:r>
        <w:rPr>
          <w:sz w:val="20"/>
          <w:szCs w:val="20"/>
          <w:color w:val="auto"/>
        </w:rPr>
        <w:tab/>
      </w:r>
      <w:r>
        <w:rPr>
          <w:rFonts w:ascii="Arial" w:cs="Arial" w:eastAsia="Arial" w:hAnsi="Arial"/>
          <w:sz w:val="16"/>
          <w:szCs w:val="16"/>
          <w:color w:val="auto"/>
        </w:rPr>
        <w:t>See Section 11.</w:t>
      </w:r>
    </w:p>
    <w:p>
      <w:pPr>
        <w:spacing w:after="0" w:line="230"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Use of any of the above headings (e.g., “Building”, “Landlord’s Campus”, “Landlord”, “Tenant”, etc.) in other sections of this Lease shall have the meanings ascribed to them in the above Key Lease Terms.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Exhibits</w:t>
      </w:r>
    </w:p>
    <w:p>
      <w:pPr>
        <w:spacing w:after="0" w:line="305" w:lineRule="exact"/>
        <w:rPr>
          <w:sz w:val="20"/>
          <w:szCs w:val="20"/>
          <w:color w:val="auto"/>
        </w:rPr>
      </w:pPr>
    </w:p>
    <w:p>
      <w:pPr>
        <w:ind w:right="1440"/>
        <w:spacing w:after="0" w:line="252" w:lineRule="auto"/>
        <w:rPr>
          <w:sz w:val="20"/>
          <w:szCs w:val="20"/>
          <w:color w:val="auto"/>
        </w:rPr>
      </w:pPr>
      <w:r>
        <w:rPr>
          <w:rFonts w:ascii="Arial" w:cs="Arial" w:eastAsia="Arial" w:hAnsi="Arial"/>
          <w:sz w:val="18"/>
          <w:szCs w:val="18"/>
          <w:color w:val="auto"/>
        </w:rPr>
        <w:t>Exhibit A - Floor Plan of Building Showing Premises, Demising Wall and Other Areas Exhibit B – Fixed Rent Schedule Exhibit C – Aerial photograph showing Shared Spaces Exhibit D – Personal Property Leased to Tenant</w:t>
      </w:r>
    </w:p>
    <w:p>
      <w:pPr>
        <w:spacing w:after="0" w:line="233" w:lineRule="auto"/>
        <w:rPr>
          <w:sz w:val="20"/>
          <w:szCs w:val="20"/>
          <w:color w:val="auto"/>
        </w:rPr>
      </w:pPr>
      <w:r>
        <w:rPr>
          <w:rFonts w:ascii="Arial" w:cs="Arial" w:eastAsia="Arial" w:hAnsi="Arial"/>
          <w:sz w:val="18"/>
          <w:szCs w:val="18"/>
          <w:color w:val="auto"/>
        </w:rPr>
        <w:t>Exhibit E – Examples of Calculations of Early Termination Fees</w:t>
      </w:r>
    </w:p>
    <w:p>
      <w:pPr>
        <w:spacing w:after="0"/>
        <w:rPr>
          <w:sz w:val="20"/>
          <w:szCs w:val="20"/>
          <w:color w:val="auto"/>
        </w:rPr>
      </w:pPr>
      <w:r>
        <w:rPr>
          <w:rFonts w:ascii="Arial" w:cs="Arial" w:eastAsia="Arial" w:hAnsi="Arial"/>
          <w:sz w:val="18"/>
          <w:szCs w:val="18"/>
          <w:color w:val="auto"/>
        </w:rPr>
        <w:t>Exhibit F – 2019 Operating Expenses for Landlord’s Campus and Allocations to Building; Exhibit F(1) - Example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Section 2.03(c) for Calendar Year 2020</w:t>
      </w:r>
    </w:p>
    <w:p>
      <w:pPr>
        <w:spacing w:after="0" w:line="238" w:lineRule="auto"/>
        <w:rPr>
          <w:sz w:val="20"/>
          <w:szCs w:val="20"/>
          <w:color w:val="auto"/>
        </w:rPr>
      </w:pPr>
      <w:r>
        <w:rPr>
          <w:rFonts w:ascii="Arial" w:cs="Arial" w:eastAsia="Arial" w:hAnsi="Arial"/>
          <w:sz w:val="18"/>
          <w:szCs w:val="18"/>
          <w:color w:val="auto"/>
        </w:rPr>
        <w:t>Exhibit G – Landlord’s Rules</w:t>
      </w:r>
    </w:p>
    <w:p>
      <w:pPr>
        <w:spacing w:after="0"/>
        <w:rPr>
          <w:sz w:val="20"/>
          <w:szCs w:val="20"/>
          <w:color w:val="auto"/>
        </w:rPr>
      </w:pPr>
      <w:r>
        <w:rPr>
          <w:rFonts w:ascii="Arial" w:cs="Arial" w:eastAsia="Arial" w:hAnsi="Arial"/>
          <w:sz w:val="18"/>
          <w:szCs w:val="18"/>
          <w:color w:val="auto"/>
        </w:rPr>
        <w:t>Exhibit H – Aerial Photograph Showing Tenant Parking Areas and Shared Visitor Parking Area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1-BASIC PROVISIONS</w:t>
      </w:r>
    </w:p>
    <w:p>
      <w:pPr>
        <w:sectPr>
          <w:pgSz w:w="11900" w:h="16838" w:orient="portrait"/>
          <w:cols w:equalWidth="0" w:num="1">
            <w:col w:w="10280"/>
          </w:cols>
          <w:pgMar w:left="700" w:top="348" w:right="919" w:bottom="1440" w:gutter="0" w:footer="0" w:header="0"/>
        </w:sectPr>
      </w:pPr>
    </w:p>
    <w:bookmarkStart w:id="74" w:name="page75"/>
    <w:bookmarkEnd w:id="74"/>
    <w:p>
      <w:pPr>
        <w:jc w:val="both"/>
        <w:spacing w:after="0" w:line="281" w:lineRule="auto"/>
        <w:rPr>
          <w:sz w:val="20"/>
          <w:szCs w:val="20"/>
          <w:color w:val="auto"/>
        </w:rPr>
      </w:pPr>
      <w:r>
        <w:rPr>
          <w:rFonts w:ascii="Arial" w:cs="Arial" w:eastAsia="Arial" w:hAnsi="Arial"/>
          <w:sz w:val="18"/>
          <w:szCs w:val="18"/>
          <w:i w:val="1"/>
          <w:iCs w:val="1"/>
          <w:color w:val="auto"/>
        </w:rPr>
        <w:t>1.01. Date and parties</w:t>
      </w:r>
      <w:r>
        <w:rPr>
          <w:rFonts w:ascii="Arial" w:cs="Arial" w:eastAsia="Arial" w:hAnsi="Arial"/>
          <w:sz w:val="18"/>
          <w:szCs w:val="18"/>
          <w:color w:val="auto"/>
        </w:rPr>
        <w:t>. This lease ("Lease") is made as of April 24, 2020, between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SEMINIS VEGETABLE SEEDS, INC.</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MISSION PRODUCE, INC.</w:t>
      </w:r>
      <w:r>
        <w:rPr>
          <w:rFonts w:ascii="Arial" w:cs="Arial" w:eastAsia="Arial" w:hAnsi="Arial"/>
          <w:sz w:val="18"/>
          <w:szCs w:val="18"/>
          <w:color w:val="auto"/>
        </w:rPr>
        <w:t xml:space="preserve"> ("Tenant").</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1.02. Premises</w:t>
      </w:r>
      <w:r>
        <w:rPr>
          <w:rFonts w:ascii="Arial" w:cs="Arial" w:eastAsia="Arial" w:hAnsi="Arial"/>
          <w:sz w:val="16"/>
          <w:szCs w:val="16"/>
          <w:color w:val="auto"/>
        </w:rPr>
        <w:t>. Landlord leases to Tenant the Premises, as shown on the floor plan attached hereto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The Premises contain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total of 51,590 square feet (+/-) of rentable area and are located on the first and second floors of the Building. The Premises include the fixtures, improvements, and other property now installed plus any improvements constructed by Tenant pursuant to the terms of this Lease. The parties acknowledge that Landlord has provided Tenant with documents confirming the measurement of the Premises. The parties agree that for purposes of this Lease, the Premises shall be treated as containing exactly 51,590 square feet of rentable area, the Building shall be treated as containing exactly 100,000 square feet of rentable area, and the buildings on Landlord’s Campus (including the Building) shall be treated as having exactly 366,000 square feet of rentable area, even though the actual square footages of the Building and such buildings on Landlord’s Campus may be different than those amounts. Notwithstanding the foregoing, Landlord reserves the exclusive right to use the electrical/data/fire alarm closets and the roof access points designated as “Landlord Reserved Areas” on </w:t>
      </w:r>
      <w:r>
        <w:rPr>
          <w:rFonts w:ascii="Arial" w:cs="Arial" w:eastAsia="Arial" w:hAnsi="Arial"/>
          <w:sz w:val="16"/>
          <w:szCs w:val="16"/>
          <w:u w:val="single" w:color="auto"/>
          <w:color w:val="auto"/>
        </w:rPr>
        <w:t>Exhibit A</w:t>
      </w:r>
      <w:r>
        <w:rPr>
          <w:rFonts w:ascii="Arial" w:cs="Arial" w:eastAsia="Arial" w:hAnsi="Arial"/>
          <w:sz w:val="16"/>
          <w:szCs w:val="16"/>
          <w:color w:val="auto"/>
        </w:rPr>
        <w:t>. Throughout the Term, Landlord shall also have access through the Premises to the Landlord Reserved Areas; provided that Landlord shall use good faith efforts to minimize interruption to Tenant’s business operations when accessing the Landlord Reserved Areas.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1.03. Common Areas; Server Room</w:t>
      </w:r>
      <w:r>
        <w:rPr>
          <w:rFonts w:ascii="Arial" w:cs="Arial" w:eastAsia="Arial" w:hAnsi="Arial"/>
          <w:sz w:val="16"/>
          <w:szCs w:val="16"/>
          <w:color w:val="auto"/>
        </w:rPr>
        <w:t>. Subject to the provisions of this Section 1.03 and the other provisions of this Lease, during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Tenant shall also have the right to use the following areas (collectively, the “Common Areas”): (i) Tenant shall have the right to use, in common with Landlord and any other occupants of Landlord’s Campus, the exterior areas that are designated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as the “Shared Spaces”, provided, however, that Landlord agrees that its access to the Shared Space situated east of the Building shall be limited to maintaining such area and caring for the pollinator and vegetable gardens located in such area; (ii) Tenant shall have the right, on a non-shared basis, to use the two parking areas that are designated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as a “Tenant Parking Areas” (see Section</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13.11 hereof); (iii) Tenant shall have the right to use, in common with Landlord and any other occupants of Landlord’s Campus, the driveways, sidewalks and access roads that provide vehicle and pedestrian access to the Premises from the Shared Spaces and from the Tenant Parking Areas; and (iv) Tenant shall have the right to use, in common with Landlord and any other occupants of Landlord’s Campus, the visitors parking spaces within the area identified as “Shared Visitor Parking” on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solely for purposes of parking for Tenant’s visitors. Tenant’s use of all Common Areas shall be limited to their intended purposes and shall be subject to reasonable limits imposed by Landlord on time and scope of access, the confidentiality provisions set forth herein, and any reasonable rules and regulations established by Landlord from time to time. Notwithstanding the foregoing, Landlord shall have the right from time to time to change the size, location, configuration or use of any of the Common Areas; to construct additional improvements, buildings or facilities in any part of the areas currently comprising the Common Areas; to close any portion of the Common Areas; or to change the manner in which any of the Common Areas are operated; provided other than temporary closures of the Common Areas that Landlord reasonably determines to be necessary, Landlord will not make any changes to the Common Areas that unreasonably interfere with Tenant’s use of or access to the Premises. During the Term, Tenant shall also have access to the server room situated on the first floor of the Building (the location of which is shown on Exhibit C), and the right to exclusively use up to 150 square feet of space within such server room, for purposes of housing IT equipment and running IT lines into the Premises; provided that</w:t>
      </w:r>
    </w:p>
    <w:p>
      <w:pPr>
        <w:spacing w:after="0" w:line="6" w:lineRule="exact"/>
        <w:rPr>
          <w:sz w:val="20"/>
          <w:szCs w:val="20"/>
          <w:color w:val="auto"/>
        </w:rPr>
      </w:pPr>
    </w:p>
    <w:p>
      <w:pPr>
        <w:jc w:val="both"/>
        <w:ind w:firstLine="3"/>
        <w:spacing w:after="0" w:line="274" w:lineRule="auto"/>
        <w:tabs>
          <w:tab w:leader="none" w:pos="2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Tenant’s use of and access to such server room and such area within the server room, shall be subject to reasonable rules prescribed by Landlord, and (ii) the specific location of Tenant’s above-referenced exclusive use area within the server room, and the manner in which such exclusive use area is partitioned and secured, shall be mutually and reasonably determined by Landlord and Tenant. Tenant</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acknowledges that Landlord may have a security officer located at the security counter in the front lobby of the Building, and Landlord shall permit Tenant to maintain a receptionist at such security counter. Tenant shall not be permitted to access the roof of the Building. Landlord represents to Tenant that as of the date of this Lease, there are no occupants of the Building other than</w:t>
      </w:r>
    </w:p>
    <w:p>
      <w:pPr>
        <w:sectPr>
          <w:pgSz w:w="11900" w:h="16838" w:orient="portrait"/>
          <w:cols w:equalWidth="0" w:num="1">
            <w:col w:w="10340"/>
          </w:cols>
          <w:pgMar w:left="700" w:top="344" w:right="859" w:bottom="1440" w:gutter="0" w:footer="0" w:header="0"/>
        </w:sectPr>
      </w:pPr>
    </w:p>
    <w:bookmarkStart w:id="75" w:name="page76"/>
    <w:bookmarkEnd w:id="75"/>
    <w:p>
      <w:pPr>
        <w:jc w:val="both"/>
        <w:ind w:right="60"/>
        <w:spacing w:after="0" w:line="276" w:lineRule="auto"/>
        <w:rPr>
          <w:sz w:val="20"/>
          <w:szCs w:val="20"/>
          <w:color w:val="auto"/>
        </w:rPr>
      </w:pPr>
      <w:r>
        <w:rPr>
          <w:rFonts w:ascii="Arial" w:cs="Arial" w:eastAsia="Arial" w:hAnsi="Arial"/>
          <w:sz w:val="18"/>
          <w:szCs w:val="18"/>
          <w:color w:val="auto"/>
        </w:rPr>
        <w:t>Landlord’s employees and contractors involved with the operation of Landlord’s business. However, Landlord may in the future lease some or all of the space in the Building outside of the Premises to others.</w:t>
      </w:r>
    </w:p>
    <w:p>
      <w:pPr>
        <w:spacing w:after="0" w:line="186"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i w:val="1"/>
          <w:iCs w:val="1"/>
          <w:color w:val="auto"/>
        </w:rPr>
        <w:t>1.04. No Access to Other Areas of Landlord’s Campus</w:t>
      </w:r>
      <w:r>
        <w:rPr>
          <w:rFonts w:ascii="Arial" w:cs="Arial" w:eastAsia="Arial" w:hAnsi="Arial"/>
          <w:sz w:val="18"/>
          <w:szCs w:val="18"/>
          <w:color w:val="auto"/>
        </w:rPr>
        <w:t>. Tenant shall not enter, access or use any areas of Landlord’s Campus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those identified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as Common Areas available for Tenant’s use.</w:t>
      </w:r>
    </w:p>
    <w:p>
      <w:pPr>
        <w:spacing w:after="0" w:line="174"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i w:val="1"/>
          <w:iCs w:val="1"/>
          <w:color w:val="auto"/>
        </w:rPr>
        <w:t>1.05. Use</w:t>
      </w:r>
      <w:r>
        <w:rPr>
          <w:rFonts w:ascii="Arial" w:cs="Arial" w:eastAsia="Arial" w:hAnsi="Arial"/>
          <w:sz w:val="18"/>
          <w:szCs w:val="18"/>
          <w:color w:val="auto"/>
        </w:rPr>
        <w:t>. Tenant shall use the Premises for general office use and for purposes incidental thereto, to the extent necessary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business operations. Tenant shall not use the Premises for any other purpose.</w:t>
      </w:r>
    </w:p>
    <w:p>
      <w:pPr>
        <w:spacing w:after="0" w:line="174"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i w:val="1"/>
          <w:iCs w:val="1"/>
          <w:color w:val="auto"/>
        </w:rPr>
        <w:t>1.06. Personal Property</w:t>
      </w:r>
      <w:r>
        <w:rPr>
          <w:rFonts w:ascii="Arial" w:cs="Arial" w:eastAsia="Arial" w:hAnsi="Arial"/>
          <w:sz w:val="16"/>
          <w:szCs w:val="16"/>
          <w:color w:val="auto"/>
        </w:rPr>
        <w:t>. The furniture, workstations and other personal property listed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is owned by Landlord</w:t>
      </w:r>
      <w:r>
        <w:rPr>
          <w:rFonts w:ascii="Arial" w:cs="Arial" w:eastAsia="Arial" w:hAnsi="Arial"/>
          <w:sz w:val="16"/>
          <w:szCs w:val="16"/>
          <w:i w:val="1"/>
          <w:iCs w:val="1"/>
          <w:color w:val="auto"/>
        </w:rPr>
        <w:t xml:space="preserve"> </w:t>
      </w:r>
      <w:r>
        <w:rPr>
          <w:rFonts w:ascii="Arial" w:cs="Arial" w:eastAsia="Arial" w:hAnsi="Arial"/>
          <w:sz w:val="16"/>
          <w:szCs w:val="16"/>
          <w:color w:val="auto"/>
        </w:rPr>
        <w:t>and is currently situated in the Premises (collectively, the "Personal Property"). The Personal Property is also leased to Tenant during the Term at no additional charge and may be used by Tenant at the Premises during the Term. If Tenant desires to use any additional furniture or other personal property in the Premises, Tenant shall provide the same at Tenant's expense. Upon the expiration or earlier termination of this Lease, the Personal Property shall be surrendered to Landlord (except to the extent discarded by Tenant as set forth below) in the condition in which it was on the Rent Commencement Date, ordinary wear and tear excepted. The Personal Property is leased to Tenant in its AS IS condition. Tenant shall maintain and repair the Personal Property in its current condition, subject to normal wear and tear. Notwithstanding the foregoing, Tenant may from time to time discard of any of the Personal Property; provided that Tenant shall first notify Landlord of the Personal Property that Tenant desires to discard and give Landlord the opportunity to repossess the same.</w:t>
      </w:r>
    </w:p>
    <w:p>
      <w:pPr>
        <w:spacing w:after="0" w:line="183"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i w:val="1"/>
          <w:iCs w:val="1"/>
          <w:color w:val="auto"/>
        </w:rPr>
        <w:t>1.07. Lease Term</w:t>
      </w:r>
      <w:r>
        <w:rPr>
          <w:rFonts w:ascii="Arial" w:cs="Arial" w:eastAsia="Arial" w:hAnsi="Arial"/>
          <w:sz w:val="18"/>
          <w:szCs w:val="18"/>
          <w:color w:val="auto"/>
        </w:rPr>
        <w:t>. The initial term of this Lease shall be for the Initial Lease Term. The Initial Lease Term shall begin on the Rent</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Date and expire on the Termination Date. Within 30 days after the Rent Commencement Date, Landlord shall submit to Tenant a memorandum that confirms the actual Rent Commencement Date and Termination Date, and includes such other factual information that Landlord reasonably requests, including, without limitation, an updated Fixed Rent Schedule. Landlord and Tenant shall execute such memorandum to confirm their respective agreements to the accuracy of the information contained therein. Notwithstanding the foregoing, the Initial Lease Term is subject to extension by the exercise of the Renewal Options, as provided in the Key Lease Terms and Section 10 hereof.</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1.08. AS IS; Landlord’s TI Work</w:t>
      </w:r>
      <w:r>
        <w:rPr>
          <w:rFonts w:ascii="Arial" w:cs="Arial" w:eastAsia="Arial" w:hAnsi="Arial"/>
          <w:sz w:val="18"/>
          <w:szCs w:val="18"/>
          <w:color w:val="auto"/>
        </w:rPr>
        <w:t>. Except as otherwise expressly provided in this Lease, Landlord and Tenant agree that the Premises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being leased by Landlord and accepted by Tenant in their AS IS condition. Following the date of this Lease, Landlord shall (i) construct a demising wall in the location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(“Demising Wall”), and (ii) perform the following other work in the Premises and Common Areas:</w:t>
      </w:r>
    </w:p>
    <w:p>
      <w:pPr>
        <w:spacing w:after="0" w:line="192" w:lineRule="exact"/>
        <w:rPr>
          <w:sz w:val="20"/>
          <w:szCs w:val="20"/>
          <w:color w:val="auto"/>
        </w:rPr>
      </w:pPr>
    </w:p>
    <w:p>
      <w:pPr>
        <w:jc w:val="both"/>
        <w:ind w:left="880" w:hanging="278"/>
        <w:spacing w:after="0" w:line="261" w:lineRule="auto"/>
        <w:tabs>
          <w:tab w:leader="none" w:pos="10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Replace two HVAC units in the Premises that have reached their useful life, and service all other HVAC units in the Premises within 15 days of the Rent Commencement Date so that all HVAC units serving the Premises are in good working order on the Rent Commencement Date;</w:t>
      </w:r>
    </w:p>
    <w:p>
      <w:pPr>
        <w:spacing w:after="0" w:line="199" w:lineRule="exact"/>
        <w:rPr>
          <w:rFonts w:ascii="Arial" w:cs="Arial" w:eastAsia="Arial" w:hAnsi="Arial"/>
          <w:sz w:val="18"/>
          <w:szCs w:val="18"/>
          <w:color w:val="auto"/>
        </w:rPr>
      </w:pPr>
    </w:p>
    <w:p>
      <w:pPr>
        <w:ind w:left="1000" w:hanging="39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Install a parking lot gate and make security access changes to Tenant’s Parking Area;</w:t>
      </w:r>
    </w:p>
    <w:p>
      <w:pPr>
        <w:spacing w:after="0" w:line="67" w:lineRule="exact"/>
        <w:rPr>
          <w:rFonts w:ascii="Arial" w:cs="Arial" w:eastAsia="Arial" w:hAnsi="Arial"/>
          <w:sz w:val="18"/>
          <w:szCs w:val="18"/>
          <w:color w:val="auto"/>
        </w:rPr>
      </w:pPr>
    </w:p>
    <w:p>
      <w:pPr>
        <w:ind w:left="1000" w:hanging="39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Interior changes to conference rooms in the Premises and retrofit lab space in the Premises to office space;</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construction of the Demising Wall and the performance of the other work described in part (ii) above shall be collectively referred to as “Landlord’s TI Work”). Landlord shall complete Landlord’s TI Work prior to November 1, 2020. Landlord shall perform Landlord’s TI Work in a good and workmanlike manner and in accordance with all applicable laws and codes.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Notwithstanding the foregoing, if the performance of Landlord’s TI Work and Tenant’s Initial Tenant Improvements necessitate that energy efficiency-related improvements or upgrades be made</w:t>
      </w:r>
    </w:p>
    <w:p>
      <w:pPr>
        <w:sectPr>
          <w:pgSz w:w="11900" w:h="16838" w:orient="portrait"/>
          <w:cols w:equalWidth="0" w:num="1">
            <w:col w:w="10400"/>
          </w:cols>
          <w:pgMar w:left="700" w:top="410" w:right="799" w:bottom="1440" w:gutter="0" w:footer="0" w:header="0"/>
        </w:sectPr>
      </w:pPr>
    </w:p>
    <w:bookmarkStart w:id="76" w:name="page77"/>
    <w:bookmarkEnd w:id="76"/>
    <w:p>
      <w:pPr>
        <w:jc w:val="both"/>
        <w:spacing w:after="0" w:line="276" w:lineRule="auto"/>
        <w:rPr>
          <w:sz w:val="20"/>
          <w:szCs w:val="20"/>
          <w:color w:val="auto"/>
        </w:rPr>
      </w:pPr>
      <w:r>
        <w:rPr>
          <w:rFonts w:ascii="Arial" w:cs="Arial" w:eastAsia="Arial" w:hAnsi="Arial"/>
          <w:sz w:val="17"/>
          <w:szCs w:val="17"/>
          <w:color w:val="auto"/>
        </w:rPr>
        <w:t>to portions of the Building outside of the Premises pursuant to Title 24 California Building Standards Code, Landlord shall be also be responsible for installing such improvements or upgrades reasonably promptly and in a good and workmanlike manner, in accordance with such Code (any such required energy efficiency- related improvements or upgrades shall hereinafter be referred to as “Landlord’s Title 24 Work”). Tenant shall be responsible for meeting all Title 24 California Building Standards Code within the Premises.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notwithstanding the foregoing, Landlord agrees that following the completion of the Demising Wall, there shall be a path of travel from Tenant’s Parking Area and the Shared Visitor Parking area to the lobby of the Building and to the Demising Wall, based on current applicable codes, including the Americans with Disabilities Act (“ADA”); and if Landlord has to create such path of travel, Landlord shall do so at its sole expense. Tenant shall have the right to hire a “CASP” Certified Access Specialist, to inspect the Building and associated ADA paths of travel at Tenants sole expense. As provided in Section 3.01, Tenant is responsible for meeting ADA requirements within the Premises.</w:t>
      </w:r>
    </w:p>
    <w:p>
      <w:pPr>
        <w:spacing w:after="0" w:line="19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Subject to Landlord’s obligation under this Section 1.08, and subject to Landlord’s repair and maintenance obligations under this Lease, Landlord shall not be required to make or pay for any improvements to the Premises, the balance of the Building, or the Common Areas.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Landlord shall provide Tenant with a copy of the plans for Landlord’s TI Work and Landlord’s Title 24 Work (if applicable) and Landlord’s good faith estimate of the cost thereof.</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Landlord’s TI Work is not completed by November 1, 2020 for any reason other than delays caused by the actions or inactions of Tenant, then the Rent Commencement Date shall be postponed until Landlord’s TI Work is completed. Landlord’s TI Work shall be considered completed when all components thereof have been installed and functioning as designed, and Landlord has notified Tenant of such completion in writing, and, if applicable, Landlord’s TI Work has been inspected and approved as completed by applicable governmental authorities. Notwithstanding the foregoing, Landlord’s TI Work shall be considered completed (i) even though minor punchlist items remain, so long as such punchlist items do not materially interfere with Tenant’s operations, and/or (ii) even though the portion of Landlord’s TI Work in Tenant’s Parking Area is not complete, so long as Tenant is able to park in such area while such portion of Landlord’s TI Work is not completed. Landlord shall complete any such punchlist items and any such incomplete portion of Landlord’s TI Work in the Tenant’s Parking Area as promptly as reasonably practicable.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Force Majeure Events (as defined in Section 13.15 hereof) and delays in the performance of Landlord’s Work caused by the actions or inactions of Tenant, if Landlord does not complete Landlord’s Work by November 1, 2020, Tenant shall receive an abatement of Fixed Rent (in addition to the Rent Abatement described in the Key Lease Terms) for each day from November 1, 2020 until the date Landlord’s Work is completed (as provided in the immediately preceding paragraph).</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1.09. Early Occupancy</w:t>
      </w:r>
      <w:r>
        <w:rPr>
          <w:rFonts w:ascii="Arial" w:cs="Arial" w:eastAsia="Arial" w:hAnsi="Arial"/>
          <w:sz w:val="18"/>
          <w:szCs w:val="18"/>
          <w:color w:val="auto"/>
        </w:rPr>
        <w:t>. Tenant shall be permitted to enter the Building and the Premises within two business days after this Lease is 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purpose of constructing the Initial Tenant Improvements (as defined in Section 1.11) and installing Tenant’s furniture, fixtures, and equipment (the "Early Occupancy Period"). All provisions of this Lease shall be applicable during the Early Occupancy Period, including, but not limited to, the provisions regarding Tenant’s insurance, and Tenant’s indemnity obligations; however, Tenant shall not pay any Fixed Rent during the Early Occupancy Period.</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1.10. Early Termination</w:t>
      </w:r>
      <w:r>
        <w:rPr>
          <w:rFonts w:ascii="Arial" w:cs="Arial" w:eastAsia="Arial" w:hAnsi="Arial"/>
          <w:sz w:val="17"/>
          <w:szCs w:val="17"/>
          <w:color w:val="auto"/>
        </w:rPr>
        <w:t>. At any time after the expiration of the third Lease Year, either party may terminate this Lease early by giving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party at least three (3) years advance notice of the effective date of the early termination. To eliminate doubt, the earliest date either party may give notice of the exercise of its early termination right under this Section 1.10 is the first day of the fourth Lease Year.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1.10(a). </w:t>
      </w:r>
      <w:r>
        <w:rPr>
          <w:rFonts w:ascii="Arial" w:cs="Arial" w:eastAsia="Arial" w:hAnsi="Arial"/>
          <w:sz w:val="18"/>
          <w:szCs w:val="18"/>
          <w:color w:val="auto"/>
        </w:rPr>
        <w:t>If Landlord terminates early pursuant to this Section 1.10, Landlord shall pay Tenant a termination fee in the amount of: (1) the</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portion of the amount paid by Tenant for the</w:t>
      </w:r>
    </w:p>
    <w:p>
      <w:pPr>
        <w:sectPr>
          <w:pgSz w:w="11900" w:h="16838" w:orient="portrait"/>
          <w:cols w:equalWidth="0" w:num="1">
            <w:col w:w="10400"/>
          </w:cols>
          <w:pgMar w:left="700" w:top="348" w:right="799" w:bottom="1440" w:gutter="0" w:footer="0" w:header="0"/>
        </w:sectPr>
      </w:pPr>
    </w:p>
    <w:bookmarkStart w:id="77" w:name="page78"/>
    <w:bookmarkEnd w:id="77"/>
    <w:p>
      <w:pPr>
        <w:jc w:val="both"/>
        <w:spacing w:after="0" w:line="247" w:lineRule="auto"/>
        <w:rPr>
          <w:sz w:val="20"/>
          <w:szCs w:val="20"/>
          <w:color w:val="auto"/>
        </w:rPr>
      </w:pPr>
      <w:r>
        <w:rPr>
          <w:rFonts w:ascii="Arial" w:cs="Arial" w:eastAsia="Arial" w:hAnsi="Arial"/>
          <w:sz w:val="18"/>
          <w:szCs w:val="18"/>
          <w:color w:val="auto"/>
        </w:rPr>
        <w:t>construction and installation of the Initial Tenant Improvements (as defined in Section 1.11), plus (2) the unamortized portion of the total amount paid by Tenant for any energy efficiency-related improvements or upgrades required be made to the Premises pursuant to Title 24 California Building Standards Code as part of the governmental approval/permit process for the Initial Tenant Improvements (any such energy efficiency-related improvements or upgrades to be hereinafter referred to as the “Tenant Title 24 Work”), minus (3) the total amount of the Rent Abatement that Tenant received prior to the effective date of the early termination. Notwithstanding the foregoing, the total amount paid by Tenant for the Initial Tenant Improvements to be amortized for purposes of computing Landlord’s early termination fee under this Section 1.10 shall not exceed $1,250,000, even if the actual amount paid by Tenant for such Initial Tenant Improvements exceeds such amount. For purposes of computing Landlord’s early termination fee under this Section 1.10(a), the total amount paid by Tenant for the construction and installation of the Initial Tenant Improvements, capped at $1,250,000 as provided in the preceding sentence, and the total amount paid for the Tenant Title 24 Work, if any, shall be amortized on a straight line basis over the first 20 Lease Years (excluding any partial month occurring at the beginning of the first Lease Year), and the amount of the early termination fee payable by Tenant shall be (i) the unamortized portion of such Initial Tenant Improvement amount, plus (ii) the unamortized portion of the Tenant Title 24 Work, if any, minus</w:t>
      </w:r>
    </w:p>
    <w:p>
      <w:pPr>
        <w:spacing w:after="0" w:line="9" w:lineRule="exact"/>
        <w:rPr>
          <w:sz w:val="20"/>
          <w:szCs w:val="20"/>
          <w:color w:val="auto"/>
        </w:rPr>
      </w:pPr>
    </w:p>
    <w:p>
      <w:pPr>
        <w:ind w:firstLine="3"/>
        <w:spacing w:after="0" w:line="258" w:lineRule="auto"/>
        <w:tabs>
          <w:tab w:leader="none" w:pos="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amount of the Rent Abatement that Tenant received prior to the effective date of the early termination, all as of the effective date of the early termination.</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1.10(b). </w:t>
      </w:r>
      <w:r>
        <w:rPr>
          <w:rFonts w:ascii="Arial" w:cs="Arial" w:eastAsia="Arial" w:hAnsi="Arial"/>
          <w:sz w:val="16"/>
          <w:szCs w:val="16"/>
          <w:color w:val="auto"/>
        </w:rPr>
        <w:t>If Tenant terminates early pursuant to this Section 1.10, Tenant shall pay Landlord a termination fee in the amount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portion of the total amount paid by Landlord for the construction and installation of Landlord’s TI Work (which total amount is estimated to be $600,000), plus (2) the unamortized portion of the total amount paid by Landlord for any energy efficiency-related improvements or upgrades required be made to portions of the Building outside of the Premises pursuant to Title 24 California Building Standards Code as part of the governmental approval/permit process for Landlord’s TI Work (any such energy efficiency-related improvements or upgrades to be hereinafter referred to as the “Landlord Title 24 Work”), plus (3) the unamortized portion of the broker commissions paid by Landlord pursuant to Section 12.01. For purposes of computing Tenant’s early termination fee under this Section 1.10(b), the total amount paid by Landlord for the construction and installation of Landlord’s TI Work, and the total amount paid by Landlord for the Landlord Title 24 Work, if any, plus the broker commission paid by Landlord pursuant to Section 12.01, shall be amortized on a straight line basis over the first twenty 20 Lease Years (excluding any partial month occurring at the beginning of the first Lease Year), and the amount of the early termination fee payable by Tenant shall be the total of the (i) unamortized portion of (i) such construction and installation amount of Landlord’s TI Work, plus (ii) the unamortized portion of the amount paid by Landlord for the Landlord Title 24 Work, if any, plus (iii) the unamortized portion of such broker commission, all as of the effective date of the early termination.</w:t>
      </w:r>
    </w:p>
    <w:p>
      <w:pPr>
        <w:spacing w:after="0" w:line="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1.10(c). </w:t>
      </w:r>
      <w:r>
        <w:rPr>
          <w:rFonts w:ascii="Arial" w:cs="Arial" w:eastAsia="Arial" w:hAnsi="Arial"/>
          <w:sz w:val="18"/>
          <w:szCs w:val="18"/>
          <w:color w:val="auto"/>
        </w:rPr>
        <w:t>Examples of the calculation of Landlord’s early termination fee, if Landlord exercises its early termination right hereunder,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the calculation of Tenant’s early termination fee, if Tenant exercises its early termination right hereunder, are shown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attached hereto.</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1.10(d). </w:t>
      </w:r>
      <w:r>
        <w:rPr>
          <w:rFonts w:ascii="Arial" w:cs="Arial" w:eastAsia="Arial" w:hAnsi="Arial"/>
          <w:sz w:val="17"/>
          <w:szCs w:val="17"/>
          <w:color w:val="auto"/>
        </w:rPr>
        <w:t>If either party exercises its early termination right hereunder, the parties shall promptly thereafter cooperate with each other in</w:t>
      </w:r>
      <w:r>
        <w:rPr>
          <w:rFonts w:ascii="Arial" w:cs="Arial" w:eastAsia="Arial" w:hAnsi="Arial"/>
          <w:sz w:val="17"/>
          <w:szCs w:val="17"/>
          <w:i w:val="1"/>
          <w:iCs w:val="1"/>
          <w:color w:val="auto"/>
        </w:rPr>
        <w:t xml:space="preserve"> </w:t>
      </w:r>
      <w:r>
        <w:rPr>
          <w:rFonts w:ascii="Arial" w:cs="Arial" w:eastAsia="Arial" w:hAnsi="Arial"/>
          <w:sz w:val="17"/>
          <w:szCs w:val="17"/>
          <w:color w:val="auto"/>
        </w:rPr>
        <w:t>confirming the amount of the early termination fee payable to the non- terminating party, computed as provided above. Without limiting the foregoing, (i) if Tenant exercises its early termination right hereunder, Landlord shall provide Tenant with information substantiating, in reasonable detail, the total amount paid by Landlord for the construction and installation of Landlord’s TI Work, the total amount paid by Landlord for the Landlord Title 24 Work, if any, and the amount of the broker commission paid by Landlord pursuant to Section 12.01, and</w:t>
      </w:r>
    </w:p>
    <w:p>
      <w:pPr>
        <w:spacing w:after="0" w:line="3" w:lineRule="exact"/>
        <w:rPr>
          <w:sz w:val="20"/>
          <w:szCs w:val="20"/>
          <w:color w:val="auto"/>
        </w:rPr>
      </w:pPr>
    </w:p>
    <w:p>
      <w:pPr>
        <w:jc w:val="both"/>
        <w:ind w:firstLine="3"/>
        <w:spacing w:after="0" w:line="267" w:lineRule="auto"/>
        <w:tabs>
          <w:tab w:leader="none" w:pos="2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Landlord exercises its early termination right hereunder, Tenant shall provide Landlord with information substantiating, in reasonable detail, the total amount paid by Tenant for the construction and installation of the Initial Tenant Improvements and the total amount paid by Tenant for the Tenant Title 24 Work, if any. The applicable early termination fee shall be paid by the terminating party to the non-terminating party at least six months prior to the effective date of the early termination. Until the effective date of the early termination, each party shall continue to be responsible for the performance of all of its obligations under this Lease that</w:t>
      </w:r>
    </w:p>
    <w:p>
      <w:pPr>
        <w:sectPr>
          <w:pgSz w:w="11900" w:h="16838" w:orient="portrait"/>
          <w:cols w:equalWidth="0" w:num="1">
            <w:col w:w="10400"/>
          </w:cols>
          <w:pgMar w:left="700" w:top="348" w:right="79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arise prior to the effective date of the early termination, including, without limitation, Tenant’s obligation to pay rent.</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1.10(e). </w:t>
      </w:r>
      <w:r>
        <w:rPr>
          <w:rFonts w:ascii="Arial" w:cs="Arial" w:eastAsia="Arial" w:hAnsi="Arial"/>
          <w:sz w:val="17"/>
          <w:szCs w:val="17"/>
          <w:color w:val="auto"/>
        </w:rPr>
        <w:t>Landlord and Tenant acknowledge and agree that (i) any efficiency-related improvements or upgrades required be made by Tenant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Premises pursuant to Title 24 California Building Standards Code other than as part of the governmental approval/permit process for the Initial Tenant Improvements shall not be considered in determining Landlord’s termination fee pursuant to Section 1.10(a); and (ii) any energy efficiency-related improvements or upgrades required be made by Landlord to portions of the Building outside of the Premises pursuant to Title 24 California Building Standards Code other than as part of the governmental approval/permit process for the Landlord’s TI Work shall not be considered in determining Tenant’s termination fee pursuant to Section 1.10(b).</w:t>
      </w:r>
    </w:p>
    <w:p>
      <w:pPr>
        <w:spacing w:after="0" w:line="180"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i w:val="1"/>
          <w:iCs w:val="1"/>
          <w:color w:val="auto"/>
        </w:rPr>
        <w:t>1.11. Initial Tenant Improvements</w:t>
      </w:r>
      <w:r>
        <w:rPr>
          <w:rFonts w:ascii="Arial" w:cs="Arial" w:eastAsia="Arial" w:hAnsi="Arial"/>
          <w:sz w:val="17"/>
          <w:szCs w:val="17"/>
          <w:color w:val="auto"/>
        </w:rPr>
        <w:t>. Tenant agrees that, at its sole cost and expense, it will perform any and all work to be done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Premises so as to ready its business for opening and operation within the Premises, including, but not limited to, all work necessary for code compliance and occupancy permits. Tenant represents to Landlord that as of the execution of this Lease, Tenant has inspected the physical nature and condition of the Premises to Tenant’s full satisfaction and has not relied upon any representation of Landlord or its agents as to the condition thereof or with respect to code compliance, except as expressly provided in this Lease. All improvements to be constructed by Tenant in readying the Premises for Tenant’s business shall hereinafter be referred to as the “Initial Tenant Improvements”. The design and construction of the Initial Tenant Improvements shall be subject to the provisions of Section 4 hereof. Promptly following the completion of the Initial Tenant Improvements, Tenant shall provide Landlord with (i) a statement certified by Tenant and Tenant’s general contractor that the construction of the Initial Tenant Improvements has been completed in accordance with the provisions of this Section 1.11 (subject only to minor punchlist items, if applicable); (ii) final lien waivers from all contractors, subcontractors and materialmen who were involved with the construction of the Initial Tenant Improvements; and (iii) a copy of the final certificate of occupancy issued to Tenant for the Premises, as improved by the Initial Tenant Improvements, from the applicable municipal authority. Tenant shall not operate its business in the Premises until Tenant has completed the Initial Tenant Improvements and provided Landlord with the documentation therefor, as provided in the immediately preceding sentence.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2-RENT AND SECURITY</w:t>
      </w:r>
    </w:p>
    <w:p>
      <w:pPr>
        <w:spacing w:after="0" w:line="234"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i w:val="1"/>
          <w:iCs w:val="1"/>
          <w:color w:val="auto"/>
        </w:rPr>
        <w:t>2.01. Fixed Rent</w:t>
      </w:r>
      <w:r>
        <w:rPr>
          <w:rFonts w:ascii="Arial" w:cs="Arial" w:eastAsia="Arial" w:hAnsi="Arial"/>
          <w:sz w:val="18"/>
          <w:szCs w:val="18"/>
          <w:color w:val="auto"/>
        </w:rPr>
        <w:t>. Subject to the Rent Abatement, Tenant shall pay to Landlord annual Fixed Rent, and corresponding monthly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in the applicable amounts set forth in the Fixed Rent Schedule for each month of the Term. Subject to the Rent Abatement, each monthly installment of monthly Fixed Rent shall be paid in advance, without advance notice, demand, offset, or deduction unless offset or deduction is made by Tenant as expressly permitted herein, on or before the first day of each month during the Term. As provided in the Key Lease Terms and as shown on the Fixed Rent Schedule, subject to the Rent Abatement, beginning on first day of the second Lease Year and each Lease Year thereafter, annual Fixed Rent (and the corresponding monthly installments thereof) shall increase by 3% per annum over the Fixed Rent payable in the immediately preceding Lease Year. Tenant shall pay all monthly installments of Fixed Rent electronically per the wire information provided in the Key Lease Terms. Landlord may change such wire information upon at least 10 business days’ advance notice to Tenant.</w:t>
      </w:r>
    </w:p>
    <w:p>
      <w:pPr>
        <w:spacing w:after="0" w:line="209" w:lineRule="exact"/>
        <w:rPr>
          <w:sz w:val="20"/>
          <w:szCs w:val="20"/>
          <w:color w:val="auto"/>
        </w:rPr>
      </w:pPr>
    </w:p>
    <w:p>
      <w:pPr>
        <w:jc w:val="both"/>
        <w:ind w:right="60" w:firstLine="599"/>
        <w:spacing w:after="0" w:line="261" w:lineRule="auto"/>
        <w:rPr>
          <w:sz w:val="20"/>
          <w:szCs w:val="20"/>
          <w:color w:val="auto"/>
        </w:rPr>
      </w:pPr>
      <w:r>
        <w:rPr>
          <w:rFonts w:ascii="Arial" w:cs="Arial" w:eastAsia="Arial" w:hAnsi="Arial"/>
          <w:sz w:val="18"/>
          <w:szCs w:val="18"/>
          <w:color w:val="auto"/>
        </w:rPr>
        <w:t>If the Initial Lease Term does not begin on the first day or end on the last day of a month, the monthly Fixed Rent for that partial month shall be prorated by multiplying the monthly Fixed Rent by a fraction, the numerator of which is the number of days of the partial month included in the Term and the denominator of which is the total number of days in the full calendar month.</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2.02.</w:t>
      </w:r>
      <w:r>
        <w:rPr>
          <w:sz w:val="20"/>
          <w:szCs w:val="20"/>
          <w:color w:val="auto"/>
        </w:rPr>
        <w:tab/>
      </w:r>
      <w:r>
        <w:rPr>
          <w:rFonts w:ascii="Arial" w:cs="Arial" w:eastAsia="Arial" w:hAnsi="Arial"/>
          <w:sz w:val="16"/>
          <w:szCs w:val="16"/>
          <w:i w:val="1"/>
          <w:iCs w:val="1"/>
          <w:color w:val="auto"/>
        </w:rPr>
        <w:t>Rent Abatement</w:t>
      </w:r>
      <w:r>
        <w:rPr>
          <w:rFonts w:ascii="Arial" w:cs="Arial" w:eastAsia="Arial" w:hAnsi="Arial"/>
          <w:sz w:val="16"/>
          <w:szCs w:val="16"/>
          <w:color w:val="auto"/>
        </w:rPr>
        <w:t>. Notwithstanding the provisions of Section 2.01hereof, Tenant shall be entitled to the Rent Abatement.</w:t>
      </w:r>
    </w:p>
    <w:p>
      <w:pPr>
        <w:spacing w:after="0" w:line="2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2.03.</w:t>
      </w:r>
      <w:r>
        <w:rPr>
          <w:sz w:val="20"/>
          <w:szCs w:val="20"/>
          <w:color w:val="auto"/>
        </w:rPr>
        <w:tab/>
      </w:r>
      <w:r>
        <w:rPr>
          <w:rFonts w:ascii="Arial" w:cs="Arial" w:eastAsia="Arial" w:hAnsi="Arial"/>
          <w:sz w:val="16"/>
          <w:szCs w:val="16"/>
          <w:i w:val="1"/>
          <w:iCs w:val="1"/>
          <w:color w:val="auto"/>
        </w:rPr>
        <w:t>Possible Reimbursement by Tenant for Certain Increases in Operating Expenses Allocable to the Building</w:t>
      </w:r>
      <w:r>
        <w:rPr>
          <w:rFonts w:ascii="Arial" w:cs="Arial" w:eastAsia="Arial" w:hAnsi="Arial"/>
          <w:sz w:val="16"/>
          <w:szCs w:val="16"/>
          <w:color w:val="auto"/>
        </w:rPr>
        <w:t>.</w:t>
      </w:r>
    </w:p>
    <w:p>
      <w:pPr>
        <w:sectPr>
          <w:pgSz w:w="11900" w:h="16838" w:orient="portrait"/>
          <w:cols w:equalWidth="0" w:num="1">
            <w:col w:w="10400"/>
          </w:cols>
          <w:pgMar w:left="700" w:top="423" w:right="79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2.03(a). Definitions</w:t>
      </w:r>
      <w:r>
        <w:rPr>
          <w:rFonts w:ascii="Arial" w:cs="Arial" w:eastAsia="Arial" w:hAnsi="Arial"/>
          <w:sz w:val="18"/>
          <w:szCs w:val="18"/>
          <w:color w:val="auto"/>
        </w:rPr>
        <w:t>.</w:t>
      </w:r>
    </w:p>
    <w:p>
      <w:pPr>
        <w:spacing w:after="0" w:line="243" w:lineRule="exact"/>
        <w:rPr>
          <w:sz w:val="20"/>
          <w:szCs w:val="20"/>
          <w:color w:val="auto"/>
        </w:rPr>
      </w:pPr>
    </w:p>
    <w:p>
      <w:pPr>
        <w:ind w:firstLine="3"/>
        <w:spacing w:after="0" w:line="250" w:lineRule="auto"/>
        <w:tabs>
          <w:tab w:leader="none" w:pos="414" w:val="left"/>
        </w:tabs>
        <w:numPr>
          <w:ilvl w:val="0"/>
          <w:numId w:val="48"/>
        </w:numPr>
        <w:rPr>
          <w:rFonts w:ascii="Arial" w:cs="Arial" w:eastAsia="Arial" w:hAnsi="Arial"/>
          <w:sz w:val="20"/>
          <w:szCs w:val="20"/>
          <w:color w:val="auto"/>
        </w:rPr>
      </w:pPr>
      <w:r>
        <w:rPr>
          <w:rFonts w:ascii="Arial" w:cs="Arial" w:eastAsia="Arial" w:hAnsi="Arial"/>
          <w:sz w:val="18"/>
          <w:szCs w:val="18"/>
          <w:color w:val="auto"/>
        </w:rPr>
        <w:t>Operating Expenses: means Landlord's operating expenses to operate, maintain, manage, and repair Landlord’s Campus, including but not limited to:</w:t>
      </w:r>
    </w:p>
    <w:p>
      <w:pPr>
        <w:spacing w:after="0" w:line="182" w:lineRule="exact"/>
        <w:rPr>
          <w:rFonts w:ascii="Arial" w:cs="Arial" w:eastAsia="Arial" w:hAnsi="Arial"/>
          <w:sz w:val="20"/>
          <w:szCs w:val="20"/>
          <w:color w:val="auto"/>
        </w:rPr>
      </w:pPr>
    </w:p>
    <w:p>
      <w:pPr>
        <w:ind w:firstLine="602"/>
        <w:spacing w:after="0" w:line="276" w:lineRule="auto"/>
        <w:tabs>
          <w:tab w:leader="none" w:pos="9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salaries, payroll taxes and other compensation and benefits paid with respect to employees of Landlord primarily engaged in the direct operation, repair, management, or maintenance of Landlord’s Campus;</w:t>
      </w:r>
    </w:p>
    <w:p>
      <w:pPr>
        <w:spacing w:after="0" w:line="186" w:lineRule="exact"/>
        <w:rPr>
          <w:rFonts w:ascii="Arial" w:cs="Arial" w:eastAsia="Arial" w:hAnsi="Arial"/>
          <w:sz w:val="18"/>
          <w:szCs w:val="18"/>
          <w:color w:val="auto"/>
        </w:rPr>
      </w:pPr>
    </w:p>
    <w:p>
      <w:pPr>
        <w:ind w:firstLine="602"/>
        <w:spacing w:after="0" w:line="276" w:lineRule="auto"/>
        <w:tabs>
          <w:tab w:leader="none" w:pos="10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repairs and maintenance of Landlord’s Campus, to the extent such expenses would not be capitalized under generally accepted accounting principles consistently applied,</w:t>
      </w:r>
    </w:p>
    <w:p>
      <w:pPr>
        <w:spacing w:after="0" w:line="173" w:lineRule="exact"/>
        <w:rPr>
          <w:rFonts w:ascii="Arial" w:cs="Arial" w:eastAsia="Arial" w:hAnsi="Arial"/>
          <w:sz w:val="18"/>
          <w:szCs w:val="18"/>
          <w:color w:val="auto"/>
        </w:rPr>
      </w:pPr>
    </w:p>
    <w:p>
      <w:pPr>
        <w:jc w:val="both"/>
        <w:ind w:firstLine="602"/>
        <w:spacing w:after="0" w:line="252" w:lineRule="auto"/>
        <w:tabs>
          <w:tab w:leader="none" w:pos="1061"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premiums and other charges incurred by Landlord for insurance on Landlord’s Campus, including the insurance Landlord is required to carry under this Lease plus other insurance carried by Landlord that is consistent with insurance carried by reasonably prudent operators of comparable property in the metropolitan area of the Building and workers' compensation insurance; provided, however, if Landlord self-insures its insurance obligations under this Lease, then Operating Expenses shall include an amount for Landlord’s insurance that Landlord reasonably determines is consistent with what the cost of Landlord’s insurance would be if Landlord did not self-insure (and Landlord shall advise Tenant of such amount).</w:t>
      </w:r>
    </w:p>
    <w:p>
      <w:pPr>
        <w:spacing w:after="0" w:line="208" w:lineRule="exact"/>
        <w:rPr>
          <w:rFonts w:ascii="Arial" w:cs="Arial" w:eastAsia="Arial" w:hAnsi="Arial"/>
          <w:sz w:val="18"/>
          <w:szCs w:val="18"/>
          <w:color w:val="auto"/>
        </w:rPr>
      </w:pPr>
    </w:p>
    <w:p>
      <w:pPr>
        <w:jc w:val="both"/>
        <w:ind w:firstLine="602"/>
        <w:spacing w:after="0" w:line="304" w:lineRule="auto"/>
        <w:tabs>
          <w:tab w:leader="none" w:pos="1077" w:val="left"/>
        </w:tabs>
        <w:numPr>
          <w:ilvl w:val="1"/>
          <w:numId w:val="48"/>
        </w:numPr>
        <w:rPr>
          <w:rFonts w:ascii="Arial" w:cs="Arial" w:eastAsia="Arial" w:hAnsi="Arial"/>
          <w:sz w:val="16"/>
          <w:szCs w:val="16"/>
          <w:color w:val="auto"/>
        </w:rPr>
      </w:pPr>
      <w:r>
        <w:rPr>
          <w:rFonts w:ascii="Arial" w:cs="Arial" w:eastAsia="Arial" w:hAnsi="Arial"/>
          <w:sz w:val="16"/>
          <w:szCs w:val="16"/>
          <w:color w:val="auto"/>
        </w:rPr>
        <w:t>costs incurred for inspection and servicing of Landlord’s Campus, including all outside maintenance contracts necessary or proper for the maintenance of Landlord’s Campus, such as janitorial and window cleaning, rubbish removal, exterminating, elevator, electrical, plumbing, and mechanical equipment, and the cost of materials, tools, supplies, and equipment used for inspection and servicing;</w:t>
      </w:r>
    </w:p>
    <w:p>
      <w:pPr>
        <w:ind w:left="1000" w:hanging="398"/>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costs incurred for electricity, water, gas, fuel, or other utilities serving Landlord’s Campus;</w:t>
      </w:r>
    </w:p>
    <w:p>
      <w:pPr>
        <w:spacing w:after="0" w:line="230" w:lineRule="exact"/>
        <w:rPr>
          <w:rFonts w:ascii="Arial" w:cs="Arial" w:eastAsia="Arial" w:hAnsi="Arial"/>
          <w:sz w:val="18"/>
          <w:szCs w:val="18"/>
          <w:color w:val="auto"/>
        </w:rPr>
      </w:pPr>
    </w:p>
    <w:p>
      <w:pPr>
        <w:jc w:val="both"/>
        <w:ind w:firstLine="602"/>
        <w:spacing w:after="0" w:line="254" w:lineRule="auto"/>
        <w:tabs>
          <w:tab w:leader="none" w:pos="9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annual amortization over its useful life with a reasonable salvage value on a straight-line basis of the (A) costs of any capital improvements made by Landlord and required by any changes in applicable laws, rules, or regulations of any governmental authorities enacted after this Lease is signed or</w:t>
      </w:r>
    </w:p>
    <w:p>
      <w:pPr>
        <w:jc w:val="both"/>
        <w:spacing w:after="0" w:line="290" w:lineRule="auto"/>
        <w:rPr>
          <w:rFonts w:ascii="Arial" w:cs="Arial" w:eastAsia="Arial" w:hAnsi="Arial"/>
          <w:sz w:val="18"/>
          <w:szCs w:val="18"/>
          <w:color w:val="auto"/>
        </w:rPr>
      </w:pPr>
      <w:r>
        <w:rPr>
          <w:rFonts w:ascii="Arial" w:cs="Arial" w:eastAsia="Arial" w:hAnsi="Arial"/>
          <w:sz w:val="16"/>
          <w:szCs w:val="16"/>
          <w:color w:val="auto"/>
        </w:rPr>
        <w:t>(B) the costs of any equipment or capital improvements made by Landlord after this Lease is signed, as a labor-saving measure or to accomplish other savings in operating, repairing, managing, or maintaining Landlord’s Campus, but only if Landlord reasonably determines that it is likely to save money over the life of such improvement. Notwithstanding the foregoing, no portion of the cost of any new HVAC units, chillers or other equipment servicing exclusively buildings on Landlord’s Campus other than the Building, shall not be included within Operating Expenses, but the cost of maintaining and repairing such equipment shall be included pursuant to part (2) hereof);</w:t>
      </w:r>
    </w:p>
    <w:p>
      <w:pPr>
        <w:spacing w:after="0" w:line="167" w:lineRule="exact"/>
        <w:rPr>
          <w:rFonts w:ascii="Arial" w:cs="Arial" w:eastAsia="Arial" w:hAnsi="Arial"/>
          <w:sz w:val="18"/>
          <w:szCs w:val="18"/>
          <w:color w:val="auto"/>
        </w:rPr>
      </w:pPr>
    </w:p>
    <w:p>
      <w:pPr>
        <w:ind w:left="1000" w:hanging="398"/>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cost of providing security at staffing levels not to exceed the staffing levels for calendar year 2021;</w:t>
      </w:r>
    </w:p>
    <w:p>
      <w:pPr>
        <w:spacing w:after="0" w:line="242" w:lineRule="exact"/>
        <w:rPr>
          <w:rFonts w:ascii="Arial" w:cs="Arial" w:eastAsia="Arial" w:hAnsi="Arial"/>
          <w:sz w:val="18"/>
          <w:szCs w:val="18"/>
          <w:color w:val="auto"/>
        </w:rPr>
      </w:pPr>
    </w:p>
    <w:p>
      <w:pPr>
        <w:ind w:left="1000" w:hanging="398"/>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Real Estate Taxes (as hereinafter defined); and</w:t>
      </w:r>
    </w:p>
    <w:p>
      <w:pPr>
        <w:spacing w:after="0" w:line="230" w:lineRule="exact"/>
        <w:rPr>
          <w:rFonts w:ascii="Arial" w:cs="Arial" w:eastAsia="Arial" w:hAnsi="Arial"/>
          <w:sz w:val="18"/>
          <w:szCs w:val="18"/>
          <w:color w:val="auto"/>
        </w:rPr>
      </w:pPr>
    </w:p>
    <w:p>
      <w:pPr>
        <w:ind w:firstLine="602"/>
        <w:spacing w:after="0" w:line="276" w:lineRule="auto"/>
        <w:tabs>
          <w:tab w:leader="none" w:pos="10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subdivision assessments or other private assessments assessed against Landlord’s Campus to the extent such assessments are not included as Real Estate Taxes.</w:t>
      </w:r>
    </w:p>
    <w:p>
      <w:pPr>
        <w:spacing w:after="0" w:line="17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8"/>
          <w:szCs w:val="18"/>
          <w:color w:val="auto"/>
        </w:rPr>
        <w:t>The following shall be excluded from Operating Expenses: (1) leasing commissions, rent reductions, costs, disbursements, and other expenses incurred for leasing, renovating, or improving space for tenants; (2) depreciation on the Building or any other buildings on Landlord’s Campus; (3) costs of a capital nature including capital improvements, capital repairs, capital equipment, and capital tools, as determined under generally accepted accounting principles consistently applied, and depreciation or amortization of such costs, except that the annual amortization of these costs shall be included to the extent expressly permitted above; (4) interest on debt or amortization payments on mortgages or deeds of trust or any other debt for borrowed money; or (5) repairs or other work needed because of fire, windstorm, or other casualty or cause Landlord is insured against.</w:t>
      </w:r>
    </w:p>
    <w:p>
      <w:pPr>
        <w:sectPr>
          <w:pgSz w:w="11900" w:h="16838" w:orient="portrait"/>
          <w:cols w:equalWidth="0" w:num="1">
            <w:col w:w="10400"/>
          </w:cols>
          <w:pgMar w:left="700" w:top="585" w:right="799" w:bottom="1440" w:gutter="0" w:footer="0" w:header="0"/>
        </w:sectPr>
      </w:pPr>
    </w:p>
    <w:bookmarkStart w:id="80" w:name="page81"/>
    <w:bookmarkEnd w:id="80"/>
    <w:p>
      <w:pPr>
        <w:jc w:val="both"/>
        <w:ind w:firstLine="3"/>
        <w:spacing w:after="0" w:line="281" w:lineRule="auto"/>
        <w:tabs>
          <w:tab w:leader="none" w:pos="507" w:val="left"/>
        </w:tabs>
        <w:numPr>
          <w:ilvl w:val="0"/>
          <w:numId w:val="49"/>
        </w:numPr>
        <w:rPr>
          <w:rFonts w:ascii="Arial" w:cs="Arial" w:eastAsia="Arial" w:hAnsi="Arial"/>
          <w:sz w:val="18"/>
          <w:szCs w:val="18"/>
          <w:color w:val="auto"/>
        </w:rPr>
      </w:pPr>
      <w:r>
        <w:rPr>
          <w:rFonts w:ascii="Arial" w:cs="Arial" w:eastAsia="Arial" w:hAnsi="Arial"/>
          <w:sz w:val="16"/>
          <w:szCs w:val="16"/>
          <w:color w:val="auto"/>
        </w:rPr>
        <w:t>Real Estate Taxes: means (1) real property taxes and currently due installments of assessments, special or otherwise, imposed upon Landlord’s Campus or any portion thereof, and (2) taxes which are imposed in lieu of real property taxes on Landlord’s Campus or any portion thereof. Real Estate Taxes shall include taxes and assessments imposed on Landlord’s Campus by all taxing districts in which Landlord’s Campus is located, and shall include any new methods of taxation in the event that the method of taxing is changed. The following shall be excluded from Real Estate Taxes: (1) federal, state, or local income taxes, (2) franchise, gift, transfer, excise, capital stock, estate, succession, or inheritance taxes, (3) penalties or interest for late payment of Real Estate Taxes, and (4) any increase in real property taxes directly attributable to tenant improvements in areas of the Building outside of the Premises occupied by other tenants of the Building.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2.03(b) Allocation of Operating Expenses to the Building. </w:t>
      </w:r>
      <w:r>
        <w:rPr>
          <w:rFonts w:ascii="Arial" w:cs="Arial" w:eastAsia="Arial" w:hAnsi="Arial"/>
          <w:sz w:val="17"/>
          <w:szCs w:val="17"/>
          <w:color w:val="auto"/>
        </w:rPr>
        <w:t>Each calendar year during the Term, Landlord shall analyze the various categories</w:t>
      </w:r>
      <w:r>
        <w:rPr>
          <w:rFonts w:ascii="Arial" w:cs="Arial" w:eastAsia="Arial" w:hAnsi="Arial"/>
          <w:sz w:val="17"/>
          <w:szCs w:val="17"/>
          <w:i w:val="1"/>
          <w:iCs w:val="1"/>
          <w:color w:val="auto"/>
        </w:rPr>
        <w:t xml:space="preserve"> </w:t>
      </w:r>
      <w:r>
        <w:rPr>
          <w:rFonts w:ascii="Arial" w:cs="Arial" w:eastAsia="Arial" w:hAnsi="Arial"/>
          <w:sz w:val="17"/>
          <w:szCs w:val="17"/>
          <w:color w:val="auto"/>
        </w:rPr>
        <w:t>of costs that make up the Operating Expenses for that year and make reasonable allocations of those various cost categories to the Building. Landlord shall be consistent with its allocations from calendar year to calendar year unless factors exist which reasonably warrant a difference in any allocations between years. Notwithstanding the foregoing, (i) any equipment installed on Landlord’s Campus that is reasonably expected to result in a greater than 5% increase in the utility service costs allocated to the Building over the prior year, shall be brought to Tenant’s attention prior to its installation; and (ii) to the extent any equipment described in part (i) of this sentence results in a utility service cost increase of more than 10% allocated to the Building over the prior year (but excluding utility</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service cost increases due to rate increases), the amount of such increase in excess of 10% shall be excluded from the utility costs allocated to the Building. Landlord has advised Tenant that the Operating Expenses for Landlord’s Campus for calendar year 2019, and the portions thereof allocated to the Building by Landlord, are shown on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Landlord and Tenant further agree that an example of the application of this Section 2.03(c) for calendar year 2020 is shown on </w:t>
      </w:r>
      <w:r>
        <w:rPr>
          <w:rFonts w:ascii="Arial" w:cs="Arial" w:eastAsia="Arial" w:hAnsi="Arial"/>
          <w:sz w:val="17"/>
          <w:szCs w:val="17"/>
          <w:u w:val="single" w:color="auto"/>
          <w:color w:val="auto"/>
        </w:rPr>
        <w:t>Exhibit F(1</w:t>
      </w:r>
      <w:r>
        <w:rPr>
          <w:rFonts w:ascii="Arial" w:cs="Arial" w:eastAsia="Arial" w:hAnsi="Arial"/>
          <w:sz w:val="17"/>
          <w:szCs w:val="17"/>
          <w:color w:val="auto"/>
        </w:rPr>
        <w:t>) attached hereto.</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2.03(c). Assumed Cumulative Operating Expenses; Possible Reimbursement by Tenant. </w:t>
      </w:r>
      <w:r>
        <w:rPr>
          <w:rFonts w:ascii="Arial" w:cs="Arial" w:eastAsia="Arial" w:hAnsi="Arial"/>
          <w:sz w:val="16"/>
          <w:szCs w:val="16"/>
          <w:color w:val="auto"/>
        </w:rPr>
        <w:t>For purposes of this Lease, Landlord and Tenant</w:t>
      </w:r>
      <w:r>
        <w:rPr>
          <w:rFonts w:ascii="Arial" w:cs="Arial" w:eastAsia="Arial" w:hAnsi="Arial"/>
          <w:sz w:val="16"/>
          <w:szCs w:val="16"/>
          <w:i w:val="1"/>
          <w:iCs w:val="1"/>
          <w:color w:val="auto"/>
        </w:rPr>
        <w:t xml:space="preserve"> </w:t>
      </w:r>
      <w:r>
        <w:rPr>
          <w:rFonts w:ascii="Arial" w:cs="Arial" w:eastAsia="Arial" w:hAnsi="Arial"/>
          <w:sz w:val="16"/>
          <w:szCs w:val="16"/>
          <w:color w:val="auto"/>
        </w:rPr>
        <w:t>assume that the Operating Expenses allocated to the Building by Landlord will increase by 3% each calendar year on a cumulative basis. The amount of the assumed cumulative Operating Expenses allocated to the Building for a particular calendar year, based on the assumed cumulative increase of 3% per year described in the immediately preceding sentence, shall be referred to as the “Assumed Cumulative Operating Expenses” for that calendar year. In the event the actual Operating Expenses allocated to the Building for any particular calendar year are more than 110% of the Assumed Cumulative Operating Expenses for the immediately preceding calendar year, Tenant shall reimburse Landlord for 50% of the amount by which the actual Operating Expenses allocated to the Building for the calendar year in question exceeds 110% of the Assumed Cumulative Operating Expenses for the immediately preceding calendar year. For each calendar year occurring during the Term, beginning with calendar year 2021, Landlord shall provide Tenant with information showing the actual amount of the Operating Expenses for the immediately preceding year and the allocation of such Operating Expenses to the Building. Such information shall also show if Tenant owes Landlord any amounts as provided in this Section 2.03(c) due to the actual Operating Expenses allocated to the Building for the calendar year in question having increased by more than 10% of the Assumed Cumulative Operating Expenses for the calendar year immediately preceding the calendar year in question. Any amounts owed Landlord by Tenant under this Section 2.03(c) shall be due and payable within 30 days after Tenant’s receipt of Landlord’s statement therefor. If any amounts are payable by Tenant under this Section 2.03(c) for a partial calendar year during the Term, the amount owed by Tenant shall be pro-rated on the basis of the number of days during such calendar year occurring during the Term over the number of days in such calendar year (i.e., 365 or 366, as applicable).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2.03(d). Audit Rights. </w:t>
      </w:r>
      <w:r>
        <w:rPr>
          <w:rFonts w:ascii="Arial" w:cs="Arial" w:eastAsia="Arial" w:hAnsi="Arial"/>
          <w:sz w:val="18"/>
          <w:szCs w:val="18"/>
          <w:color w:val="auto"/>
        </w:rPr>
        <w:t>If Tenant disputes Landlord’s charges under paragraph 2.03(c) for any particular calendar year, Tenant shall give</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 written notice that Tenant elects to audit Landlord records and/or have the dispute submitted to an independent firm (the "Independent Firm") that is reasonably acceptable to Landlord and Tenant. The charges of the Independent Firm shall be paid by Tenant, except that Landlord shall pay the charges of the Independent Firm if the</w:t>
      </w:r>
    </w:p>
    <w:p>
      <w:pPr>
        <w:sectPr>
          <w:pgSz w:w="11900" w:h="16838" w:orient="portrait"/>
          <w:cols w:equalWidth="0" w:num="1">
            <w:col w:w="10400"/>
          </w:cols>
          <w:pgMar w:left="700" w:top="610" w:right="79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t>Independent Firm determines that Tenant has been overcharged under paragraph 2.03(c) by an amount equal to 4% or more of the correct amount due; provided that the amount to be reimbursed by Landlord for an audit under this Section 2.03</w:t>
      </w:r>
    </w:p>
    <w:p>
      <w:pPr>
        <w:spacing w:after="0" w:line="1" w:lineRule="exact"/>
        <w:rPr>
          <w:sz w:val="20"/>
          <w:szCs w:val="20"/>
          <w:color w:val="auto"/>
        </w:rPr>
      </w:pPr>
    </w:p>
    <w:p>
      <w:pPr>
        <w:jc w:val="both"/>
        <w:ind w:firstLine="3"/>
        <w:spacing w:after="0" w:line="248" w:lineRule="auto"/>
        <w:tabs>
          <w:tab w:leader="none" w:pos="2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not exceed One Thousand Dollars ($1,000.00). If the dispute is submitted to the Independent Firm, the decision of the Independent Firm shall be binding on both parties. If the determination by the Independent Firm shows that the amounts paid by Tenant to Landlord on account of such charges exceeded the amounts to which Landlord was entitled hereunder, or that Tenant is entitled to a credit with respect to any such charges, Landlord shall, within 30 days of the determination thereof, refund to Tenant the amount of such excess or apply such amount as a credit against rent hereunder. In no event shall any firm performing an audit pursuant to this paragraph 2.03(d) be compensated on a contingency fee basis.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2.04. Personal Property Tax</w:t>
      </w:r>
      <w:r>
        <w:rPr>
          <w:rFonts w:ascii="Arial" w:cs="Arial" w:eastAsia="Arial" w:hAnsi="Arial"/>
          <w:sz w:val="18"/>
          <w:szCs w:val="18"/>
          <w:color w:val="auto"/>
        </w:rPr>
        <w:t>. Tenant shall timely pay any taxes that may be assessed during the Term against trade fixtures or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placed by Tenant in the Premises. If these taxes are assessed against the Building, Tenant shall pay its share of the taxes to Landlord on the later of (i) 10 business days after receiving Landlord's written statement setting forth the amount of taxes applicable to Tenant's property and the basis for the charge to Tenant, or (ii) the date the taxes are due. Tenant's failure to pay within such period shall entitle Landlord to the same remedies it has upon Tenant's failure to pay rent.</w:t>
      </w:r>
    </w:p>
    <w:p>
      <w:pPr>
        <w:spacing w:after="0" w:line="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2.05. Security Deposit; Tenant’s Financial Statements. </w:t>
      </w:r>
      <w:r>
        <w:rPr>
          <w:rFonts w:ascii="Arial" w:cs="Arial" w:eastAsia="Arial" w:hAnsi="Arial"/>
          <w:sz w:val="16"/>
          <w:szCs w:val="16"/>
          <w:color w:val="auto"/>
        </w:rPr>
        <w:t>Tenant has provided Landlord with the Consolidated Financial Statements of Tenant</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subsidiaries as and for the Years ended October 31, 2019 and 2018 (Restated), and Independent Auditors’ Report (“Tenant’s Current Financial Statements”) and based on Tenant’s Current Financial Statements, Landlord does not require that Tenant provide Landlord with a security deposit, or other form of security to secure the performance of Tenant’s obligations hereunder. Tenant agrees to provide Landlord with copies of Tenant’s audited financial statements for each year during the Term. Tenant further agrees that if Landlord reasonably determines that Tenant’s future audited financial statements indicate a material decline in Tenant’s financial condition, Landlord shall have the right to require that Tenant deposit with Landlord an amount equal to two monthly installments of the then-current Fixed Rent to serve as a security deposit to secure the performance of Tenant’s obligations under this Lease. In such event, Landlord shall prepare an amendment to this Lease which memorializes the payment of such security deposit by Tenant and the terms regarding Landlord’s right to draw from it and to return it to Tenant upon the expiration of this Lease. Such amendment shall be reasonably acceptable to Tenant. Landlord agrees to hold Tenant’s Current Financial Statements, as well as all financial statements of Tenant delivered to Landlord in the future pursuant to this Section 2.04, in confidence; provided that Landlord may disclose such financial statements to its attorneys, accountants, lenders (including potential lenders) and advisors, as well any prospective purchaser of Landlord’s Campus, so long as each recipient thereof agrees to maintain the confidentiality of such statements. Landlord shall advise Tenant of any entity or individual to whom Landlord intends to release Tenant’s financial statements in connection with a possible sale of Landlord’s Campus.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3-AFFIRMATIVE OBLIGATIONS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3.01. Compliance with Laws</w:t>
      </w:r>
      <w:r>
        <w:rPr>
          <w:rFonts w:ascii="Arial" w:cs="Arial" w:eastAsia="Arial" w:hAnsi="Arial"/>
          <w:sz w:val="18"/>
          <w:szCs w:val="18"/>
          <w:color w:val="auto"/>
        </w:rPr>
        <w:t>. Tenant shall comply with all applicable laws, ordinances, rules, codes, and regulations of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including, without limitation, the ADA (i) in connection with all alterations that Tenant makes to the Premises, including the Initial Tenant Improvements, and (ii) in connection with Tenant's use of the Premises.</w:t>
      </w:r>
    </w:p>
    <w:p>
      <w:pPr>
        <w:spacing w:after="0" w:line="18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3.02.</w:t>
      </w:r>
      <w:r>
        <w:rPr>
          <w:sz w:val="20"/>
          <w:szCs w:val="20"/>
          <w:color w:val="auto"/>
        </w:rPr>
        <w:tab/>
      </w:r>
      <w:r>
        <w:rPr>
          <w:rFonts w:ascii="Arial" w:cs="Arial" w:eastAsia="Arial" w:hAnsi="Arial"/>
          <w:sz w:val="16"/>
          <w:szCs w:val="16"/>
          <w:i w:val="1"/>
          <w:iCs w:val="1"/>
          <w:color w:val="auto"/>
        </w:rPr>
        <w:t>Environmental Matters</w:t>
      </w:r>
      <w:r>
        <w:rPr>
          <w:rFonts w:ascii="Arial" w:cs="Arial" w:eastAsia="Arial" w:hAnsi="Arial"/>
          <w:sz w:val="16"/>
          <w:szCs w:val="16"/>
          <w:color w:val="auto"/>
        </w:rPr>
        <w:t>.</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3.02(a). Definitions. </w:t>
      </w:r>
      <w:r>
        <w:rPr>
          <w:rFonts w:ascii="Arial" w:cs="Arial" w:eastAsia="Arial" w:hAnsi="Arial"/>
          <w:sz w:val="18"/>
          <w:szCs w:val="18"/>
          <w:color w:val="auto"/>
        </w:rPr>
        <w:t>As used in this Lease, "Environmental Laws” shall mean all federal, state and local laws, statutes, ordinances,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rules, judicial and administrative orders and decrees, permits, licenses, approvals, authorizations of all federal, state, and local governmental agencies or other governmental authorities pertaining to the protection of human health and safety or the environment, now existing or later adopted during the term of this Lease. As used in this Lease, "Hazardous Material" shall mean any substance, material or waste which is regulated by or defined under any Environmental Law, including any material, substance or waste which is defined as a “hazardous waste,” “hazardous material,” “hazardous substance,” “extremely hazardous</w:t>
      </w:r>
    </w:p>
    <w:p>
      <w:pPr>
        <w:sectPr>
          <w:pgSz w:w="11900" w:h="16838" w:orient="portrait"/>
          <w:cols w:equalWidth="0" w:num="1">
            <w:col w:w="10400"/>
          </w:cols>
          <w:pgMar w:left="700" w:top="348" w:right="799" w:bottom="1440" w:gutter="0" w:footer="0" w:header="0"/>
        </w:sectPr>
      </w:pPr>
    </w:p>
    <w:bookmarkStart w:id="82" w:name="page83"/>
    <w:bookmarkEnd w:id="82"/>
    <w:p>
      <w:pPr>
        <w:jc w:val="both"/>
        <w:spacing w:after="0" w:line="251" w:lineRule="auto"/>
        <w:rPr>
          <w:sz w:val="20"/>
          <w:szCs w:val="20"/>
          <w:color w:val="auto"/>
        </w:rPr>
      </w:pPr>
      <w:r>
        <w:rPr>
          <w:rFonts w:ascii="Arial" w:cs="Arial" w:eastAsia="Arial" w:hAnsi="Arial"/>
          <w:sz w:val="18"/>
          <w:szCs w:val="18"/>
          <w:color w:val="auto"/>
        </w:rPr>
        <w:t>substance,” “restricted hazardous waste,” “contaminant,” “toxic waste” or “toxic substance” under any provision of an Environmental Law, and including petroleum, petroleum products, asbestos, presumed asbestos-containing material or asbestos- containing material, urea formaldehyde and polychlorinated biphenyls. As used in this Lease, "Permitted Activities" shall mean the lawful activities of Tenant that are part of the ordinary course of Tenant's business. As used in this Lease, “Release” shall mean any release, spill, emission, leaking, pumping, pouring, dumping, emptying, injection, deposit, disposal, discharge, dispersal, leaching or migration and does not include mere presence. As used in this Lease, "Permitted Materials" shall mean chemicals and quantities thereof typically used, stored, and handled in a premises limited to normal office use.</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3.02(b). Environmental Requirements. </w:t>
      </w:r>
      <w:r>
        <w:rPr>
          <w:rFonts w:ascii="Arial" w:cs="Arial" w:eastAsia="Arial" w:hAnsi="Arial"/>
          <w:sz w:val="18"/>
          <w:szCs w:val="18"/>
          <w:color w:val="auto"/>
        </w:rPr>
        <w:t>Tenant hereby agrees that: (a) Tenant shall not conduct, or permit to be conducted, on the Premises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which is not a Permitted Activity; (b) Tenant shall not use, store or otherwise handle, or permit any use, storage or other handling of, any material or substance which</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is not a Permitted Material on or about the Premises; (c) Tenant shall obtain and maintain in effect all permits and licenses required pursuant to any Environmental Laws for Tenant's activities on the Premises;</w:t>
      </w:r>
    </w:p>
    <w:p>
      <w:pPr>
        <w:spacing w:after="0" w:line="1" w:lineRule="exact"/>
        <w:rPr>
          <w:sz w:val="20"/>
          <w:szCs w:val="20"/>
          <w:color w:val="auto"/>
        </w:rPr>
      </w:pPr>
    </w:p>
    <w:p>
      <w:pPr>
        <w:jc w:val="both"/>
        <w:ind w:firstLine="3"/>
        <w:spacing w:after="0" w:line="277" w:lineRule="auto"/>
        <w:tabs>
          <w:tab w:leader="none" w:pos="2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Tenant shall at all times comply with all applicable Environmental Laws and any health, safety and environmental policies that Landlord establishes for Landlord’s Campus from time to time, and reasonably applies to the Premises; (e) at Landlord’s request, Tenant shall promptly provide Landlord information regarding the quantities of Permitted Materials in Tenant’s possession and other information requested by Landlord for management of HSE issues at the Premises; (f) Tenant shall not engage in the storage, treatment or disposal on or about the Premises of any waste except for any temporary storage of waste generated in the course of Permitted Activities; (g) Tenant shall not install any aboveground or underground storage tank or any subsurface lines for the storage or transfer of any material or substance;</w:t>
      </w:r>
    </w:p>
    <w:p>
      <w:pPr>
        <w:jc w:val="both"/>
        <w:ind w:firstLine="3"/>
        <w:spacing w:after="0" w:line="246" w:lineRule="auto"/>
        <w:tabs>
          <w:tab w:leader="none" w:pos="2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store all Permitted Materials in a manner that protects the Premises, the Building, Landlord’s Campus, and the environment from accidental Releases; (i) on or before the date Tenant ceases to occupy the Premises, Tenant shall remove from the Premises all materials or substances that were handled by or permitted on the Premises by Tenant during the term of this Lease; (j) Tenant shall manage, dispose of and pay for the disposal of all waste generated by its personnel and operations; and</w:t>
      </w:r>
    </w:p>
    <w:p>
      <w:pPr>
        <w:spacing w:after="0" w:line="1" w:lineRule="exact"/>
        <w:rPr>
          <w:rFonts w:ascii="Arial" w:cs="Arial" w:eastAsia="Arial" w:hAnsi="Arial"/>
          <w:sz w:val="18"/>
          <w:szCs w:val="18"/>
          <w:color w:val="auto"/>
        </w:rPr>
      </w:pPr>
    </w:p>
    <w:p>
      <w:pPr>
        <w:jc w:val="both"/>
        <w:ind w:firstLine="3"/>
        <w:spacing w:after="0" w:line="279" w:lineRule="auto"/>
        <w:tabs>
          <w:tab w:leader="none" w:pos="2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any unpermitted Release of a Hazardous Material to the environment occurs on or about or beneath the Premises as a result of any act or omission of Tenant or its agents, officers, employees, contractors, invitees or licensees occurring during the term of this Lease, Tenant shall, at Tenant's sole cost and expense, promptly undertake all remedial measures reasonably required to clean up and abate or otherwise respond to the Release in accordance with applicable Environmental Laws and any then-current health, safety and environmental policies established by Landlord for Landlord’s Campus and reasonably applied to the Premises</w:t>
      </w:r>
      <w:r>
        <w:rPr>
          <w:rFonts w:ascii="Arial" w:cs="Arial" w:eastAsia="Arial" w:hAnsi="Arial"/>
          <w:sz w:val="16"/>
          <w:szCs w:val="16"/>
          <w:b w:val="1"/>
          <w:bCs w:val="1"/>
          <w:color w:val="auto"/>
        </w:rPr>
        <w:t>,</w:t>
      </w:r>
      <w:r>
        <w:rPr>
          <w:rFonts w:ascii="Arial" w:cs="Arial" w:eastAsia="Arial" w:hAnsi="Arial"/>
          <w:sz w:val="16"/>
          <w:szCs w:val="16"/>
          <w:color w:val="auto"/>
        </w:rPr>
        <w:t xml:space="preserve"> and restore the Premises to its pre-release condition. Landlord and Landlord's representatives shall have the right, but not the obligation, to enter the Premises at any reasonable time with reasonable notice for the purpose of inspecting the storage, use and handling of any Permitted Material on the Premises in order to determine Tenant's compliance with the requirements of this Lease and applicable Environmental Laws. Tenant shall indemnify and defend Landlord, its subsidiaries and affiliates, and all members, shareholders, partners, directors, officers, managers, persons, firms, brokers, agents, employees or representatives of, or acting or purporting to act on behalf of any thereof (collectively, “Landlord Indemnified Persons”) against and hold all Landlord Indemnified Persons harmless from all claims, demands, actions, judgments, liabilities, costs, expenses, losses, damages (including the limited right to recover consequential damages pursuant to section 10.2 hereof), penalties, fines and obligations of any nature (including, but not limited to, for bodily injury or personal injury, illness or death of any person in, on or about the Premises, the Building or other parts of Landlord’s Campus, for damage to the Premises or the Building or other parts of Landlord’s Campus, and for reasonable attorneys' fees and disbursements incurred in the investigation, defense or settlement of claims) that any of Landlord Indemnified Persons may incur as a result of, or in connection with, claims arising from the presence, use storage, transportation, treatment, Release or other handling, on or about the Property, of any Permitted Material or Hazardous Material introduced or permitted by any act or omission of Tenant or its agents, officers, employees, contractors, invitees, subtenants</w:t>
      </w:r>
    </w:p>
    <w:p>
      <w:pPr>
        <w:sectPr>
          <w:pgSz w:w="11900" w:h="16838" w:orient="portrait"/>
          <w:cols w:equalWidth="0" w:num="1">
            <w:col w:w="10400"/>
          </w:cols>
          <w:pgMar w:left="700" w:top="348" w:right="79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or licensees during the term of this Lease. The liability of Tenant under this paragraph 3.02(b) shall survive the termination of this Lease.</w:t>
      </w:r>
    </w:p>
    <w:p>
      <w:pPr>
        <w:spacing w:after="0" w:line="2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3.03.</w:t>
      </w:r>
      <w:r>
        <w:rPr>
          <w:sz w:val="20"/>
          <w:szCs w:val="20"/>
          <w:color w:val="auto"/>
        </w:rPr>
        <w:tab/>
      </w:r>
      <w:r>
        <w:rPr>
          <w:rFonts w:ascii="Arial" w:cs="Arial" w:eastAsia="Arial" w:hAnsi="Arial"/>
          <w:sz w:val="16"/>
          <w:szCs w:val="16"/>
          <w:i w:val="1"/>
          <w:iCs w:val="1"/>
          <w:color w:val="auto"/>
        </w:rPr>
        <w:t>Services and Utilities</w:t>
      </w:r>
      <w:r>
        <w:rPr>
          <w:rFonts w:ascii="Arial" w:cs="Arial" w:eastAsia="Arial" w:hAnsi="Arial"/>
          <w:sz w:val="16"/>
          <w:szCs w:val="16"/>
          <w:color w:val="auto"/>
        </w:rPr>
        <w:t>.</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3.03(a). Services</w:t>
      </w:r>
      <w:r>
        <w:rPr>
          <w:rFonts w:ascii="Arial" w:cs="Arial" w:eastAsia="Arial" w:hAnsi="Arial"/>
          <w:sz w:val="18"/>
          <w:szCs w:val="18"/>
          <w:color w:val="auto"/>
        </w:rPr>
        <w:t>. Landlord shall provide the following services to the Premises at Landlord’s expense, but subject to Tenant’s costs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Section 2.03:</w:t>
      </w:r>
    </w:p>
    <w:p>
      <w:pPr>
        <w:spacing w:after="0" w:line="174" w:lineRule="exact"/>
        <w:rPr>
          <w:sz w:val="20"/>
          <w:szCs w:val="20"/>
          <w:color w:val="auto"/>
        </w:rPr>
      </w:pPr>
    </w:p>
    <w:p>
      <w:pPr>
        <w:jc w:val="both"/>
        <w:ind w:firstLine="3"/>
        <w:spacing w:after="0" w:line="261" w:lineRule="auto"/>
        <w:tabs>
          <w:tab w:leader="none" w:pos="4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Heating, ventilation, and air conditioning ("HVAC") for the Premises during business hours to maintain temperatures for comfortable use and occupancy for normal office use. Landlord shall provide Tenant with access to thermostats controlling the Premises and permit Tenant to override Landlord’s</w:t>
      </w:r>
    </w:p>
    <w:p>
      <w:pPr>
        <w:spacing w:after="0" w:line="25"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programming at any time during or outside of normal business hours, provided that Tenant shall at all times maintain a temperature in the Premises ranging from 68⁰ to 72⁰ Fahrenheit;</w:t>
      </w:r>
    </w:p>
    <w:p>
      <w:pPr>
        <w:spacing w:after="0" w:line="147" w:lineRule="exact"/>
        <w:rPr>
          <w:sz w:val="20"/>
          <w:szCs w:val="20"/>
          <w:color w:val="auto"/>
        </w:rPr>
      </w:pPr>
    </w:p>
    <w:p>
      <w:pPr>
        <w:ind w:firstLine="3"/>
        <w:spacing w:after="0" w:line="276" w:lineRule="auto"/>
        <w:tabs>
          <w:tab w:leader="none" w:pos="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Hot and cold water sufficient for drinking, lavatory, toilet, and ordinary cleaning purposes to be drawn from approved fixtures in the Premises;</w:t>
      </w:r>
    </w:p>
    <w:p>
      <w:pPr>
        <w:spacing w:after="0" w:line="186" w:lineRule="exact"/>
        <w:rPr>
          <w:rFonts w:ascii="Arial" w:cs="Arial" w:eastAsia="Arial" w:hAnsi="Arial"/>
          <w:sz w:val="18"/>
          <w:szCs w:val="18"/>
          <w:color w:val="auto"/>
        </w:rPr>
      </w:pPr>
    </w:p>
    <w:p>
      <w:pPr>
        <w:ind w:firstLine="3"/>
        <w:spacing w:after="0" w:line="276" w:lineRule="auto"/>
        <w:tabs>
          <w:tab w:leader="none" w:pos="4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Electricity to the Premises during business hours that provides electric current in reasonable amounts necessary for normal office use, lighting, and HVAC;</w:t>
      </w:r>
    </w:p>
    <w:p>
      <w:pPr>
        <w:spacing w:after="0" w:line="173" w:lineRule="exact"/>
        <w:rPr>
          <w:rFonts w:ascii="Arial" w:cs="Arial" w:eastAsia="Arial" w:hAnsi="Arial"/>
          <w:sz w:val="18"/>
          <w:szCs w:val="18"/>
          <w:color w:val="auto"/>
        </w:rPr>
      </w:pPr>
    </w:p>
    <w:p>
      <w:pPr>
        <w:ind w:left="460" w:hanging="458"/>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Extermination and pest control consistent with normal office use when necessary;</w:t>
      </w:r>
    </w:p>
    <w:p>
      <w:pPr>
        <w:spacing w:after="0" w:line="230" w:lineRule="exact"/>
        <w:rPr>
          <w:rFonts w:ascii="Arial" w:cs="Arial" w:eastAsia="Arial" w:hAnsi="Arial"/>
          <w:sz w:val="18"/>
          <w:szCs w:val="18"/>
          <w:color w:val="auto"/>
        </w:rPr>
      </w:pPr>
    </w:p>
    <w:p>
      <w:pPr>
        <w:ind w:firstLine="3"/>
        <w:spacing w:after="0" w:line="276" w:lineRule="auto"/>
        <w:tabs>
          <w:tab w:leader="none" w:pos="43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Basic daily cleaning services for break room and rest rooms, and weekly vacuuming of offices, all performed by Landlord’s janitorial vendor during after-hours;</w:t>
      </w:r>
    </w:p>
    <w:p>
      <w:pPr>
        <w:spacing w:after="0" w:line="186" w:lineRule="exact"/>
        <w:rPr>
          <w:rFonts w:ascii="Arial" w:cs="Arial" w:eastAsia="Arial" w:hAnsi="Arial"/>
          <w:sz w:val="18"/>
          <w:szCs w:val="18"/>
          <w:color w:val="auto"/>
        </w:rPr>
      </w:pPr>
    </w:p>
    <w:p>
      <w:pPr>
        <w:ind w:firstLine="3"/>
        <w:spacing w:after="0" w:line="276" w:lineRule="auto"/>
        <w:tabs>
          <w:tab w:leader="none" w:pos="4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Trash hauling and recycling services on a weekly basis from collection points designated by Landlord (provided that Tenant’s trash and recycling shall be consistent with normal office use);</w:t>
      </w:r>
    </w:p>
    <w:p>
      <w:pPr>
        <w:spacing w:after="0" w:line="173" w:lineRule="exact"/>
        <w:rPr>
          <w:rFonts w:ascii="Arial" w:cs="Arial" w:eastAsia="Arial" w:hAnsi="Arial"/>
          <w:sz w:val="18"/>
          <w:szCs w:val="18"/>
          <w:color w:val="auto"/>
        </w:rPr>
      </w:pPr>
    </w:p>
    <w:p>
      <w:pPr>
        <w:jc w:val="both"/>
        <w:ind w:firstLine="3"/>
        <w:spacing w:after="0" w:line="261" w:lineRule="auto"/>
        <w:tabs>
          <w:tab w:leader="none" w:pos="5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Maintenance of Common Areas in a manner comparable to other office developments of similar class in the metropolitan area where the Building is located. The maintenance shall include cleaning, HVAC, illumination, snow shoveling, deicing, repairs, replacements, lawn care and landscaping; and</w:t>
      </w:r>
    </w:p>
    <w:p>
      <w:pPr>
        <w:spacing w:after="0" w:line="187" w:lineRule="exact"/>
        <w:rPr>
          <w:rFonts w:ascii="Arial" w:cs="Arial" w:eastAsia="Arial" w:hAnsi="Arial"/>
          <w:sz w:val="18"/>
          <w:szCs w:val="18"/>
          <w:color w:val="auto"/>
        </w:rPr>
      </w:pPr>
    </w:p>
    <w:p>
      <w:pPr>
        <w:ind w:left="560" w:hanging="558"/>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Security of the Common Areas, but subject to paragraph 13.19 hereof.</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for the services listed above, Landlord is not obligated to provide any other services. Tenant shall have the right, at Tenant’s sole expense, to hire Landlord’s janitorial contractor to perform janitorial services above the level performed by Landlord pursuant to part (v) above.</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3</w:t>
      </w:r>
      <w:r>
        <w:rPr>
          <w:rFonts w:ascii="Arial" w:cs="Arial" w:eastAsia="Arial" w:hAnsi="Arial"/>
          <w:sz w:val="17"/>
          <w:szCs w:val="17"/>
          <w:i w:val="1"/>
          <w:iCs w:val="1"/>
          <w:color w:val="auto"/>
        </w:rPr>
        <w:t>.03(b). Business Hours</w:t>
      </w:r>
      <w:r>
        <w:rPr>
          <w:rFonts w:ascii="Arial" w:cs="Arial" w:eastAsia="Arial" w:hAnsi="Arial"/>
          <w:sz w:val="17"/>
          <w:szCs w:val="17"/>
          <w:color w:val="auto"/>
        </w:rPr>
        <w:t>. "Business hours" means Monday through Friday, 7:00 a.m. through 7:00 p.m. and Saturday, 8:00 a.m. through 1:00 p.m., excluding New Year's Day, Memorial Day, Independence Day, Labor Day, Thanksgiving Day and Christmas Day.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3.03(c). 24 Hour Access</w:t>
      </w:r>
      <w:r>
        <w:rPr>
          <w:rFonts w:ascii="Arial" w:cs="Arial" w:eastAsia="Arial" w:hAnsi="Arial"/>
          <w:sz w:val="18"/>
          <w:szCs w:val="18"/>
          <w:color w:val="auto"/>
        </w:rPr>
        <w:t>. Tenant, its employees, agents, and invitees shall have access to the Premises twenty-four (24) hours a day, seven (7)</w:t>
      </w:r>
      <w:r>
        <w:rPr>
          <w:rFonts w:ascii="Arial" w:cs="Arial" w:eastAsia="Arial" w:hAnsi="Arial"/>
          <w:sz w:val="18"/>
          <w:szCs w:val="18"/>
          <w:i w:val="1"/>
          <w:iCs w:val="1"/>
          <w:color w:val="auto"/>
        </w:rPr>
        <w:t xml:space="preserve"> </w:t>
      </w:r>
      <w:r>
        <w:rPr>
          <w:rFonts w:ascii="Arial" w:cs="Arial" w:eastAsia="Arial" w:hAnsi="Arial"/>
          <w:sz w:val="18"/>
          <w:szCs w:val="18"/>
          <w:color w:val="auto"/>
        </w:rPr>
        <w:t>days a week without any additional charge or costs; subject, however, to Landlord’s right under Section 9.06 to limit Tenant’s access to the Premises or to close the Building.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3.03(d). Extra Services</w:t>
      </w:r>
      <w:r>
        <w:rPr>
          <w:rFonts w:ascii="Arial" w:cs="Arial" w:eastAsia="Arial" w:hAnsi="Arial"/>
          <w:sz w:val="18"/>
          <w:szCs w:val="18"/>
          <w:color w:val="auto"/>
        </w:rPr>
        <w:t>. If Tenant’s use of electricity or other utilities in the Premises is in excess of the quantity that would be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consumed for normal office use, as substantiated in writing by an engineer or contractor qualified to make such determination, Landlord may directly charge Tenant for the extra use and exclude those charges from Operating Expenses and Tenant shall pay any amounts billed to Tenant for such excess use within 30 days after such amounts are billed. If Tenant requires or desires janitorial services or extermination or pest control services that exceed the levels described in paragraph 3.3(a), Tenant shall be solely responsible for obtaining them. If Tenant installs a gym or fitness area within the Premises (which must be approved by Landlord pursuant to Section 4 hereof), Landlord shall have no responsibility to</w:t>
      </w:r>
    </w:p>
    <w:p>
      <w:pPr>
        <w:sectPr>
          <w:pgSz w:w="11900" w:h="16838" w:orient="portrait"/>
          <w:cols w:equalWidth="0" w:num="1">
            <w:col w:w="10400"/>
          </w:cols>
          <w:pgMar w:left="700" w:top="348" w:right="799" w:bottom="1440" w:gutter="0" w:footer="0" w:header="0"/>
        </w:sectPr>
      </w:pPr>
    </w:p>
    <w:bookmarkStart w:id="84" w:name="page85"/>
    <w:bookmarkEnd w:id="84"/>
    <w:p>
      <w:pPr>
        <w:jc w:val="both"/>
        <w:spacing w:after="0" w:line="276" w:lineRule="auto"/>
        <w:rPr>
          <w:sz w:val="20"/>
          <w:szCs w:val="20"/>
          <w:color w:val="auto"/>
        </w:rPr>
      </w:pPr>
      <w:r>
        <w:rPr>
          <w:rFonts w:ascii="Arial" w:cs="Arial" w:eastAsia="Arial" w:hAnsi="Arial"/>
          <w:sz w:val="18"/>
          <w:szCs w:val="18"/>
          <w:color w:val="auto"/>
        </w:rPr>
        <w:t>provide janitorial services or extermination or pest control services to such area. Landlord shall have no responsibility to provide security services to the interior of the Premises.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.03(e). Interruption of Services</w:t>
      </w:r>
      <w:r>
        <w:rPr>
          <w:rFonts w:ascii="Arial" w:cs="Arial" w:eastAsia="Arial" w:hAnsi="Arial"/>
          <w:sz w:val="18"/>
          <w:szCs w:val="18"/>
          <w:color w:val="auto"/>
        </w:rPr>
        <w:t>. If any essential services (such as HVAC, passenger elevators if necessary for reasonable access, electricity, water) supplied by Landlord are interrupted, and the interruption does not result from the negligence or willful misconduct of Tenant, its employees, invitees,</w:t>
      </w:r>
    </w:p>
    <w:p>
      <w:pPr>
        <w:spacing w:after="0" w:line="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or agents, Tenant shall be entitled to an abatement of Fixed Rent on an equitable basis, with the amount of the abatement being an amount that would be equitable based on the nature of the interruption as reasonably determined by Landlord (an "equitable abatement"); provided, however, that the equitable abatement shall begin on the fourth consecutive business day of the interruption, or when Tenant stops using the Premises because of the interruption, whichever is later. The equitable abatement shall end when the services are restored. During any such interruption, Landlord shall use commercially reasonable efforts to restore the services as promptly as is possible.</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3.04.</w:t>
      </w:r>
      <w:r>
        <w:rPr>
          <w:sz w:val="20"/>
          <w:szCs w:val="20"/>
          <w:color w:val="auto"/>
        </w:rPr>
        <w:tab/>
      </w:r>
      <w:r>
        <w:rPr>
          <w:rFonts w:ascii="Arial" w:cs="Arial" w:eastAsia="Arial" w:hAnsi="Arial"/>
          <w:sz w:val="16"/>
          <w:szCs w:val="16"/>
          <w:i w:val="1"/>
          <w:iCs w:val="1"/>
          <w:color w:val="auto"/>
        </w:rPr>
        <w:t>Repairs, Maintenance, and Surrender</w:t>
      </w:r>
      <w:r>
        <w:rPr>
          <w:rFonts w:ascii="Arial" w:cs="Arial" w:eastAsia="Arial" w:hAnsi="Arial"/>
          <w:sz w:val="16"/>
          <w:szCs w:val="16"/>
          <w:color w:val="auto"/>
        </w:rPr>
        <w:t>.</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3.04(a). Tenant's Care of Premises</w:t>
      </w:r>
      <w:r>
        <w:rPr>
          <w:rFonts w:ascii="Arial" w:cs="Arial" w:eastAsia="Arial" w:hAnsi="Arial"/>
          <w:sz w:val="18"/>
          <w:szCs w:val="18"/>
          <w:color w:val="auto"/>
        </w:rPr>
        <w:t>. Tenant shall, at Tenant’s sole expense, (i) make repairs and replacements to the interior of the 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 Landlord for the repairs or replacements to the Building if any such repairs or replacements are needed because of Tenant's misuse or negligence or because of damage caused by Tenant's employees, contractors or invitees, except to the extent that a claim for such repairs or replacements is waived under paragraph 5.01(d); (ii) repair and replace all furniture, fixtures, equipment or decorative treatments in the Premises installed by Tenant, except (A) to the extent the repairs or replacements are needed because of Landlord's negligence or intentional misconduct, and the claim is not waived under paragraph 5.01(d); or (B) if the Lease is ended under Sections 6.01 (Damages), 6.02 (Condemnation); and (iii) not commit waste. If Tenant installs a gym or fitness area within the Premises (which must be approved by Landlord pursuant to Section 4 hereof), Tenant shall be solely responsible for the maintenance thereof and the repair to all fixtures and equipment located therein.</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3.04(b). Landlord's Repairs</w:t>
      </w:r>
      <w:r>
        <w:rPr>
          <w:rFonts w:ascii="Arial" w:cs="Arial" w:eastAsia="Arial" w:hAnsi="Arial"/>
          <w:sz w:val="16"/>
          <w:szCs w:val="16"/>
          <w:color w:val="auto"/>
        </w:rPr>
        <w:t>. Except for repairs and replacements that Tenant must make under paragraph 3.04(a), subject to 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Landlord shall pay for and make all repairs and replacements to the Premises, common areas and Building (including Building fixtures and equipment). Landlord shall make the repairs and replacements to maintain the Building in a similar condition to comparable buildings of similar class in the metropolitan area where the Building is located. This maintenance shall include the roof, foundation, exterior walls, interior structural walls, all structural components, and all systems such as mechanical, electrical, HVAC, life-safety and plumbing.</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3.04(c). Time for Repairs</w:t>
      </w:r>
      <w:r>
        <w:rPr>
          <w:rFonts w:ascii="Arial" w:cs="Arial" w:eastAsia="Arial" w:hAnsi="Arial"/>
          <w:sz w:val="18"/>
          <w:szCs w:val="18"/>
          <w:color w:val="auto"/>
        </w:rPr>
        <w:t>. Repairs or replacements required under paragraphs 3.04(a) or 3.04(b) shall be made within a reasonable time</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nature of the repair or replacement needed) after receiving notice or having actual knowledge of the need for a repair or replacement.</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3.04(d). Surrendering the Premises</w:t>
      </w:r>
      <w:r>
        <w:rPr>
          <w:rFonts w:ascii="Arial" w:cs="Arial" w:eastAsia="Arial" w:hAnsi="Arial"/>
          <w:sz w:val="18"/>
          <w:szCs w:val="18"/>
          <w:color w:val="auto"/>
        </w:rPr>
        <w:t>. Upon the expiration of the Term or the earlier termination of this Lease, Tenant shall surrender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to Landlord in broom clean condition similar to the condition that the Premises were in on upon the completion of the Initial Tenant Improvements, except for ordinary wear and tear and damage by the elements, fire, or other casualty or condemnation. Upon surrender, Tenant shall remove from the Premises its personal property and trade fixtures and repair any damage to the Premises caused by the removal, and comply with the provisions of Section 1.06 with respect to the Personal Property. Any items not removed by Tenant as required above shall be considered abandoned. Landlord may dispose of abandoned items as Landlord chooses and bill Tenant for the cost of their disposal, minus any revenues received by Landlord for their disposal. If Tenant constructs any special facilities (including, without limitation, a gym or fitness area), upon surrender of the Premises the area where the special facilities were located shall be restored by Tenant to its condition at the time possession of said area was delivered to Tenant, unless otherwise agreed in writing at that time by Landlord. With respect to any other</w:t>
      </w:r>
    </w:p>
    <w:p>
      <w:pPr>
        <w:sectPr>
          <w:pgSz w:w="11900" w:h="16838" w:orient="portrait"/>
          <w:cols w:equalWidth="0" w:num="1">
            <w:col w:w="10400"/>
          </w:cols>
          <w:pgMar w:left="700" w:top="348" w:right="799" w:bottom="1440" w:gutter="0" w:footer="0" w:header="0"/>
        </w:sectPr>
      </w:pPr>
    </w:p>
    <w:bookmarkStart w:id="85" w:name="page86"/>
    <w:bookmarkEnd w:id="85"/>
    <w:p>
      <w:pPr>
        <w:jc w:val="both"/>
        <w:spacing w:after="0" w:line="276" w:lineRule="auto"/>
        <w:rPr>
          <w:sz w:val="20"/>
          <w:szCs w:val="20"/>
          <w:color w:val="auto"/>
        </w:rPr>
      </w:pPr>
      <w:r>
        <w:rPr>
          <w:rFonts w:ascii="Arial" w:cs="Arial" w:eastAsia="Arial" w:hAnsi="Arial"/>
          <w:sz w:val="18"/>
          <w:szCs w:val="18"/>
          <w:color w:val="auto"/>
        </w:rPr>
        <w:t>Alterations (defined below), Tenant upon surrender of the Premises shall comply with any removal requirements specified when Landlord gave its written consent to those Alterations.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4-ALTERATIONS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 Alterations</w:t>
      </w:r>
      <w:r>
        <w:rPr>
          <w:rFonts w:ascii="Arial" w:cs="Arial" w:eastAsia="Arial" w:hAnsi="Arial"/>
          <w:sz w:val="18"/>
          <w:szCs w:val="18"/>
          <w:color w:val="auto"/>
        </w:rPr>
        <w:t>.</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4.01(a). Landlord Approval Required. </w:t>
      </w:r>
      <w:r>
        <w:rPr>
          <w:rFonts w:ascii="Arial" w:cs="Arial" w:eastAsia="Arial" w:hAnsi="Arial"/>
          <w:sz w:val="16"/>
          <w:szCs w:val="16"/>
          <w:color w:val="auto"/>
        </w:rPr>
        <w:t>Tenant shall not make any alterations, additions or improvements in or to the Premises or any part</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(each, an “Alteration”), or attach any fixtures or equipment thereto, without Landlord's prior written consent; and Landlord’s consent to the foregoing shall not be unreasonably withheld. With respect to any alterations desired by Tenant, including those that Tenant desires to comprise the Initial Tenant Improvements, Tenant shall submit to Landlord along with Tenant’s request for approval (such approval not to be unreasonably withheld), complete plans and specifications for the applicable work. Such plans and specifications shall be prepared by responsible licensed architect(s) and engineer(s), shall comply with all applicable codes, laws, ordinances, rules and regulations, shall not adversely affect any systems, components or elements of the Building or other parts of Landlord’s Campus, and shall be in a form sufficient to secure the approval of all government authorities with jurisdiction over the Property. Such plans shall also include rules and regulations to be incorporated into a construction contract with the contractor designed to avoid interference caused by construction, protect safety and regulate construction staging areas. Except with respect to the Initial Tenant Improvements, Landlord shall have the right to condition its consent to any such Alteration upon Tenant agreeing to restore the altered area upon the expiration of the Term or the earlier termination of this Lease as near as practicable to the said area’s condition immediately prior to the commencement of the subject alteration 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4.01(b). Requirements for Alterations Approved by Landlord.</w:t>
      </w:r>
    </w:p>
    <w:p>
      <w:pPr>
        <w:spacing w:after="0" w:line="243" w:lineRule="exact"/>
        <w:rPr>
          <w:sz w:val="20"/>
          <w:szCs w:val="20"/>
          <w:color w:val="auto"/>
        </w:rPr>
      </w:pPr>
    </w:p>
    <w:p>
      <w:pPr>
        <w:jc w:val="both"/>
        <w:ind w:firstLine="3"/>
        <w:spacing w:after="0" w:line="250" w:lineRule="auto"/>
        <w:tabs>
          <w:tab w:leader="none" w:pos="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all Alterations approved by Landlord, including those Alterations comprising the Initial Tenant Improvements, Tenant shall obtain all required permits for the subject work. Tenant shall engage responsible licensed contractor(s) to perform the subject work who shall carry insurance reasonably acceptable to Landlord. Tenant shall perform the subject work in accordance with the plans and specifications approved by Landlord, in a good and workmanlike manner, in full compliance with all applicable laws, codes, ordinances, rules and regulations, including, without limitation, Landlord’s rules and regulations for the Building and/or Landlord’s Campus regarding safety and logistics. Tenant shall pay for all work (including the cost of all utilities, permits, fees, taxes, and property and liability insurance premiums in connection therewith) required to install the subject Alterations. Under no circumstances shall Landlord be liable to Tenant for any damage, loss, cost or expense incurred by Tenant on account of the design of any work, construction of any work, or delay in completion of any work performed by, or at the direction, of Tenant.</w:t>
      </w:r>
    </w:p>
    <w:p>
      <w:pPr>
        <w:spacing w:after="0" w:line="209" w:lineRule="exact"/>
        <w:rPr>
          <w:rFonts w:ascii="Arial" w:cs="Arial" w:eastAsia="Arial" w:hAnsi="Arial"/>
          <w:sz w:val="18"/>
          <w:szCs w:val="18"/>
          <w:color w:val="auto"/>
        </w:rPr>
      </w:pPr>
    </w:p>
    <w:p>
      <w:pPr>
        <w:jc w:val="both"/>
        <w:ind w:firstLine="3"/>
        <w:spacing w:after="0" w:line="252"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give written notice to Landlord of the date on which construction of any work will be commenced at least five business days prior to such date (or such lesser period of time, as reasonable under the circumstances, if it is not reasonably practicable to provide at least 5-business days’ advance notice); provided that with respect to the Initial Tenant Improvements, Tenant shall exercise good faith, reasonable efforts to keep Landlord informed of the commencement and progress of the subject work, and respond reasonably promptly to any questions of Landlord concerning the installation of the Initial Tenant Improvements. All work associated with any Alteration shall be subject to Section 9.02 hereof (Mechanics Liens).</w:t>
      </w:r>
    </w:p>
    <w:p>
      <w:pPr>
        <w:spacing w:after="0" w:line="196" w:lineRule="exact"/>
        <w:rPr>
          <w:sz w:val="20"/>
          <w:szCs w:val="20"/>
          <w:color w:val="auto"/>
        </w:rPr>
      </w:pPr>
    </w:p>
    <w:p>
      <w:pPr>
        <w:ind w:firstLine="3"/>
        <w:spacing w:after="0" w:line="276" w:lineRule="auto"/>
        <w:tabs>
          <w:tab w:leader="none" w:pos="4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Landlord may, but shall not be obligated to, supervise the construction of any approved Alteration to ensure that the subject work is performed in accordance with the standards set forth in this Section 4.01(b).</w:t>
      </w:r>
    </w:p>
    <w:p>
      <w:pPr>
        <w:spacing w:after="0" w:line="23" w:lineRule="exact"/>
        <w:rPr>
          <w:rFonts w:ascii="Arial" w:cs="Arial" w:eastAsia="Arial" w:hAnsi="Arial"/>
          <w:sz w:val="18"/>
          <w:szCs w:val="18"/>
          <w:color w:val="auto"/>
        </w:rPr>
      </w:pPr>
    </w:p>
    <w:p>
      <w:pPr>
        <w:ind w:right="120" w:firstLine="3"/>
        <w:spacing w:after="0" w:line="250" w:lineRule="auto"/>
        <w:tabs>
          <w:tab w:leader="none" w:pos="500" w:val="left"/>
        </w:tabs>
        <w:numPr>
          <w:ilvl w:val="0"/>
          <w:numId w:val="57"/>
        </w:numPr>
        <w:rPr>
          <w:rFonts w:ascii="Arial" w:cs="Arial" w:eastAsia="Arial" w:hAnsi="Arial"/>
          <w:sz w:val="20"/>
          <w:szCs w:val="20"/>
          <w:color w:val="auto"/>
        </w:rPr>
      </w:pPr>
      <w:r>
        <w:rPr>
          <w:rFonts w:ascii="Arial" w:cs="Arial" w:eastAsia="Arial" w:hAnsi="Arial"/>
          <w:sz w:val="18"/>
          <w:szCs w:val="18"/>
          <w:color w:val="auto"/>
        </w:rPr>
        <w:t>Landlord shall have a continuing right to approve the logistics and timing of any construction of Tenant that involve activities outside of buildings (e.g., activities that require construction trucks).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5-INSURANCE</w:t>
      </w:r>
    </w:p>
    <w:p>
      <w:pPr>
        <w:sectPr>
          <w:pgSz w:w="11900" w:h="16838" w:orient="portrait"/>
          <w:cols w:equalWidth="0" w:num="1">
            <w:col w:w="10400"/>
          </w:cols>
          <w:pgMar w:left="700" w:top="348" w:right="799" w:bottom="1440" w:gutter="0" w:footer="0" w:header="0"/>
        </w:sectPr>
      </w:pPr>
    </w:p>
    <w:bookmarkStart w:id="86" w:name="page87"/>
    <w:bookmarkEnd w:id="86"/>
    <w:p>
      <w:pPr>
        <w:spacing w:after="0"/>
        <w:tabs>
          <w:tab w:leader="none" w:pos="540" w:val="left"/>
        </w:tabs>
        <w:rPr>
          <w:sz w:val="20"/>
          <w:szCs w:val="20"/>
          <w:color w:val="auto"/>
        </w:rPr>
      </w:pPr>
      <w:r>
        <w:rPr>
          <w:rFonts w:ascii="Arial" w:cs="Arial" w:eastAsia="Arial" w:hAnsi="Arial"/>
          <w:sz w:val="18"/>
          <w:szCs w:val="18"/>
          <w:i w:val="1"/>
          <w:iCs w:val="1"/>
          <w:color w:val="auto"/>
        </w:rPr>
        <w:t>5.01.</w:t>
      </w:r>
      <w:r>
        <w:rPr>
          <w:sz w:val="20"/>
          <w:szCs w:val="20"/>
          <w:color w:val="auto"/>
        </w:rPr>
        <w:tab/>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5.01(a). Landlord's Building Insurance</w:t>
      </w:r>
      <w:r>
        <w:rPr>
          <w:rFonts w:ascii="Arial" w:cs="Arial" w:eastAsia="Arial" w:hAnsi="Arial"/>
          <w:sz w:val="18"/>
          <w:szCs w:val="18"/>
          <w:color w:val="auto"/>
        </w:rPr>
        <w:t>. Subject to Landlord's right to self insure, at all times during the term hereof, Landlord shall keep the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including the Initial Tenant Improvements, insured against damage and destruction by fire, vandalism, and other perils so called "All Risks" perils. The "All Risks" perils, Flood, and Boiler and Machinery. The amount of the insurance shall be equal to the full replacement value of the Building, as the value may exist from time to time. Landlord may, but shall not be obligated to, insure the Personal Property. Notwithstanding the foregoing, Landlord shall not be required to insure (or self-insure) any fixtures or equipment in any gym or fitness area included within the Initial Tenant Improvements.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5.01(b). Property Insurance</w:t>
      </w:r>
      <w:r>
        <w:rPr>
          <w:rFonts w:ascii="Arial" w:cs="Arial" w:eastAsia="Arial" w:hAnsi="Arial"/>
          <w:sz w:val="18"/>
          <w:szCs w:val="18"/>
          <w:color w:val="auto"/>
        </w:rPr>
        <w:t>. Tenant shall keep its personal property and trade fixtures in the Premises insured against damage and destruction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fire, vandalism, and other perils so called "All Risks" perils, The amount of the insurance shall be in an amount to cover 100% of the replacement value of the property and fixtures, as that value may exist from time to time. Tenant shall also keep any Alterations made to the Premises by Tenant, other than the Initial Tenant Improvements, to the same degree as Tenant's personal property and trade fixtures. Tenant acknowledges that Landlord is not obligated to insure any fixtures or equipment in any gym or fitness area included within the Initial Tenant Improvements.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5.01(c). Liability Insurance</w:t>
      </w:r>
      <w:r>
        <w:rPr>
          <w:rFonts w:ascii="Arial" w:cs="Arial" w:eastAsia="Arial" w:hAnsi="Arial"/>
          <w:sz w:val="18"/>
          <w:szCs w:val="18"/>
          <w:color w:val="auto"/>
        </w:rPr>
        <w:t>. Subject to Landlord's right to self insure, each party shall maintain Commercial General Liability insurance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because of bodily injury to or personal injury to or death of any person(s) or property damage occurring in or about the Building and Premises in the following minimum amounts: one million ($1,000,000.00) dollars each occurrence; two million ($2,000,000.00) dollars general aggregate.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5.01(d). Release of Claims and Waiver of Subrogation</w:t>
      </w:r>
      <w:r>
        <w:rPr>
          <w:rFonts w:ascii="Arial" w:cs="Arial" w:eastAsia="Arial" w:hAnsi="Arial"/>
          <w:sz w:val="17"/>
          <w:szCs w:val="17"/>
          <w:color w:val="auto"/>
        </w:rPr>
        <w:t>. Each party waives any right of recovery against the other party and releases all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in any manner in its ("Injured Party's") favor and against the other party for any loss or damage to the Injured Party's property (real or personal) located within or constituting a part of or all of the Building. The parties further agree to have their respective insurers waive any rights of subrogation that such insurers may have against the other party. This waiver and release apply to the extent the loss or damage is covered by the Injured Party's insurance or the insurance the Injured Party is required to carry under this Section 5, whichever is greater. The waiver and release also apply to each party's directors, officers, employees, shareholders, and agents.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5.01(e). Insurance Criteria</w:t>
      </w:r>
      <w:r>
        <w:rPr>
          <w:rFonts w:ascii="Arial" w:cs="Arial" w:eastAsia="Arial" w:hAnsi="Arial"/>
          <w:sz w:val="18"/>
          <w:szCs w:val="18"/>
          <w:color w:val="auto"/>
        </w:rPr>
        <w:t>. Insurance policies required by this Lease shall:</w:t>
      </w:r>
    </w:p>
    <w:p>
      <w:pPr>
        <w:spacing w:after="0" w:line="243" w:lineRule="exact"/>
        <w:rPr>
          <w:sz w:val="20"/>
          <w:szCs w:val="20"/>
          <w:color w:val="auto"/>
        </w:rPr>
      </w:pPr>
    </w:p>
    <w:p>
      <w:pPr>
        <w:ind w:left="400" w:hanging="397"/>
        <w:spacing w:after="0"/>
        <w:tabs>
          <w:tab w:leader="none" w:pos="400" w:val="left"/>
        </w:tabs>
        <w:numPr>
          <w:ilvl w:val="0"/>
          <w:numId w:val="58"/>
        </w:numPr>
        <w:rPr>
          <w:rFonts w:ascii="Arial" w:cs="Arial" w:eastAsia="Arial" w:hAnsi="Arial"/>
          <w:sz w:val="20"/>
          <w:szCs w:val="20"/>
          <w:color w:val="auto"/>
        </w:rPr>
      </w:pPr>
      <w:r>
        <w:rPr>
          <w:rFonts w:ascii="Arial" w:cs="Arial" w:eastAsia="Arial" w:hAnsi="Arial"/>
          <w:sz w:val="18"/>
          <w:szCs w:val="18"/>
          <w:color w:val="auto"/>
        </w:rPr>
        <w:t>Tenant shall endeavor to provide 30 days’ notice to the Landlord, if the insurance is to be canceled or materially changed;</w:t>
      </w:r>
    </w:p>
    <w:p>
      <w:pPr>
        <w:spacing w:after="0" w:line="232" w:lineRule="exact"/>
        <w:rPr>
          <w:rFonts w:ascii="Arial" w:cs="Arial" w:eastAsia="Arial" w:hAnsi="Arial"/>
          <w:sz w:val="20"/>
          <w:szCs w:val="20"/>
          <w:color w:val="auto"/>
        </w:rPr>
      </w:pPr>
    </w:p>
    <w:p>
      <w:pPr>
        <w:ind w:left="440" w:hanging="437"/>
        <w:spacing w:after="0"/>
        <w:tabs>
          <w:tab w:leader="none" w:pos="440" w:val="left"/>
        </w:tabs>
        <w:numPr>
          <w:ilvl w:val="0"/>
          <w:numId w:val="58"/>
        </w:numPr>
        <w:rPr>
          <w:rFonts w:ascii="Arial" w:cs="Arial" w:eastAsia="Arial" w:hAnsi="Arial"/>
          <w:sz w:val="20"/>
          <w:szCs w:val="20"/>
          <w:color w:val="auto"/>
        </w:rPr>
      </w:pPr>
      <w:r>
        <w:rPr>
          <w:rFonts w:ascii="Arial" w:cs="Arial" w:eastAsia="Arial" w:hAnsi="Arial"/>
          <w:sz w:val="18"/>
          <w:szCs w:val="18"/>
          <w:color w:val="auto"/>
        </w:rPr>
        <w:t>be primary policies not as contributing with, or in excess of, the coverage that the other party may carry;</w:t>
      </w:r>
    </w:p>
    <w:p>
      <w:pPr>
        <w:spacing w:after="0" w:line="232" w:lineRule="exact"/>
        <w:rPr>
          <w:rFonts w:ascii="Arial" w:cs="Arial" w:eastAsia="Arial" w:hAnsi="Arial"/>
          <w:sz w:val="20"/>
          <w:szCs w:val="20"/>
          <w:color w:val="auto"/>
        </w:rPr>
      </w:pPr>
    </w:p>
    <w:p>
      <w:pPr>
        <w:ind w:left="500" w:hanging="498"/>
        <w:spacing w:after="0"/>
        <w:tabs>
          <w:tab w:leader="none" w:pos="500" w:val="left"/>
        </w:tabs>
        <w:numPr>
          <w:ilvl w:val="0"/>
          <w:numId w:val="58"/>
        </w:numPr>
        <w:rPr>
          <w:rFonts w:ascii="Arial" w:cs="Arial" w:eastAsia="Arial" w:hAnsi="Arial"/>
          <w:sz w:val="20"/>
          <w:szCs w:val="20"/>
          <w:color w:val="auto"/>
        </w:rPr>
      </w:pPr>
      <w:r>
        <w:rPr>
          <w:rFonts w:ascii="Arial" w:cs="Arial" w:eastAsia="Arial" w:hAnsi="Arial"/>
          <w:sz w:val="18"/>
          <w:szCs w:val="18"/>
          <w:color w:val="auto"/>
        </w:rPr>
        <w:t>be written on an "occurrence" basis; and</w:t>
      </w:r>
    </w:p>
    <w:p>
      <w:pPr>
        <w:spacing w:after="0" w:line="244" w:lineRule="exact"/>
        <w:rPr>
          <w:rFonts w:ascii="Arial" w:cs="Arial" w:eastAsia="Arial" w:hAnsi="Arial"/>
          <w:sz w:val="20"/>
          <w:szCs w:val="20"/>
          <w:color w:val="auto"/>
        </w:rPr>
      </w:pPr>
    </w:p>
    <w:p>
      <w:pPr>
        <w:ind w:left="500" w:hanging="498"/>
        <w:spacing w:after="0"/>
        <w:tabs>
          <w:tab w:leader="none" w:pos="500" w:val="left"/>
        </w:tabs>
        <w:numPr>
          <w:ilvl w:val="0"/>
          <w:numId w:val="58"/>
        </w:numPr>
        <w:rPr>
          <w:rFonts w:ascii="Arial" w:cs="Arial" w:eastAsia="Arial" w:hAnsi="Arial"/>
          <w:sz w:val="20"/>
          <w:szCs w:val="20"/>
          <w:color w:val="auto"/>
        </w:rPr>
      </w:pPr>
      <w:r>
        <w:rPr>
          <w:rFonts w:ascii="Arial" w:cs="Arial" w:eastAsia="Arial" w:hAnsi="Arial"/>
          <w:sz w:val="18"/>
          <w:szCs w:val="18"/>
          <w:color w:val="auto"/>
        </w:rPr>
        <w:t>be maintained during the entire Term.</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5.01(f). Evidence of Insurance</w:t>
      </w:r>
      <w:r>
        <w:rPr>
          <w:rFonts w:ascii="Arial" w:cs="Arial" w:eastAsia="Arial" w:hAnsi="Arial"/>
          <w:sz w:val="18"/>
          <w:szCs w:val="18"/>
          <w:color w:val="auto"/>
        </w:rPr>
        <w:t>. Contemporaneous with the execution of this Lease, and upon each renewal of its insurance policies,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shall give certificates of insurance to the other party in the form of an Acord 28 or its equivalent or provide a certificate that it is self insuring if that is the case. Each certificate shall specify amounts, types of coverage, the waiver of subrogation, and the insurance criteria listed in paragraph 5.01(e). The policies shall be renewed or replaced and maintained by the party responsible for that policy. If either party fails to give the required certificate within 30 days after notice of demand for it, the other party may obtain and pay for that insurance and receive reimbursement from the party required to have the insurance.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5.01(g). Landlord's Right to Self-Insure</w:t>
      </w:r>
      <w:r>
        <w:rPr>
          <w:rFonts w:ascii="Arial" w:cs="Arial" w:eastAsia="Arial" w:hAnsi="Arial"/>
          <w:sz w:val="18"/>
          <w:szCs w:val="18"/>
          <w:color w:val="auto"/>
        </w:rPr>
        <w:t>. Notwithstanding anything to the contrary contained in this Lease, Landlord shall have the right, at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election, to self-insure with respect to some or all of</w:t>
      </w:r>
    </w:p>
    <w:p>
      <w:pPr>
        <w:sectPr>
          <w:pgSz w:w="11900" w:h="16838" w:orient="portrait"/>
          <w:cols w:equalWidth="0" w:num="1">
            <w:col w:w="10400"/>
          </w:cols>
          <w:pgMar w:left="700" w:top="348" w:right="799" w:bottom="1440" w:gutter="0" w:footer="0" w:header="0"/>
        </w:sectPr>
      </w:pPr>
    </w:p>
    <w:bookmarkStart w:id="87" w:name="page88"/>
    <w:bookmarkEnd w:id="87"/>
    <w:p>
      <w:pPr>
        <w:jc w:val="both"/>
        <w:spacing w:after="0" w:line="276" w:lineRule="auto"/>
        <w:rPr>
          <w:sz w:val="20"/>
          <w:szCs w:val="20"/>
          <w:color w:val="auto"/>
        </w:rPr>
      </w:pPr>
      <w:r>
        <w:rPr>
          <w:rFonts w:ascii="Arial" w:cs="Arial" w:eastAsia="Arial" w:hAnsi="Arial"/>
          <w:sz w:val="18"/>
          <w:szCs w:val="18"/>
          <w:color w:val="auto"/>
        </w:rPr>
        <w:t>the insurance coverages required to be carried by it under this Lease, under any plan of self-insurance which it may from time to time have in force and effect.</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5.02.</w:t>
      </w:r>
      <w:r>
        <w:rPr>
          <w:sz w:val="20"/>
          <w:szCs w:val="20"/>
          <w:color w:val="auto"/>
        </w:rPr>
        <w:tab/>
      </w:r>
      <w:r>
        <w:rPr>
          <w:rFonts w:ascii="Arial" w:cs="Arial" w:eastAsia="Arial" w:hAnsi="Arial"/>
          <w:sz w:val="17"/>
          <w:szCs w:val="17"/>
          <w:i w:val="1"/>
          <w:iCs w:val="1"/>
          <w:color w:val="auto"/>
        </w:rPr>
        <w:t>Indemnification of Third Party Claims</w:t>
      </w:r>
      <w:r>
        <w:rPr>
          <w:rFonts w:ascii="Arial" w:cs="Arial" w:eastAsia="Arial" w:hAnsi="Arial"/>
          <w:sz w:val="17"/>
          <w:szCs w:val="17"/>
          <w:color w:val="auto"/>
        </w:rPr>
        <w:t>.</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5.02(a). Tenant's Indemnity</w:t>
      </w:r>
      <w:r>
        <w:rPr>
          <w:rFonts w:ascii="Arial" w:cs="Arial" w:eastAsia="Arial" w:hAnsi="Arial"/>
          <w:sz w:val="17"/>
          <w:szCs w:val="17"/>
          <w:color w:val="auto"/>
        </w:rPr>
        <w:t>. Tenant hereby agrees to indemnify, defend, and hold Landlord harmless from third party claims for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injury, bodily injury, death, or property damage caused by the negligence or willful misconduct of Tenant, its agents, employees, subtenants, licenses, or invitees. When the claim is caused by the joint negligence or willful misconduct of Tenant and Landlord or Tenant and a third party unrelated to Tenant, except Tenant's agents, employees, subtenants, licenses, or invitees, Tenant's duty to defend, indemnify, and hold Landlord harmless shall be in proportion to Tenant's allocable share of the joint negligence or willful misconduct.</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5.02(b). Landlord's Indemnity</w:t>
      </w:r>
      <w:r>
        <w:rPr>
          <w:rFonts w:ascii="Arial" w:cs="Arial" w:eastAsia="Arial" w:hAnsi="Arial"/>
          <w:sz w:val="18"/>
          <w:szCs w:val="18"/>
          <w:color w:val="auto"/>
        </w:rPr>
        <w:t>. Landlord hereby agrees to indemnify, defend, and hold Tenant harmless from third party claims for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injury, bodily injury, death, or property damage caused by the negligence or willful misconduct of Landlord, its agents, employees, contractors, invitees, or licensees. When the claim is caused by the joint negligence or willful misconduct of Landlord and Tenant or Landlord and a third party unrelated to Landlord, except Landlord's agents, employees, contractors, invitees, or licensees, Landlord's duty to defend, indemnify, and hold Tenant harmless shall be in proportion to Landlord's allocable share of the joint negligence or willful misconduct.</w:t>
      </w:r>
    </w:p>
    <w:p>
      <w:pPr>
        <w:spacing w:after="0" w:line="2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5.03.</w:t>
      </w:r>
      <w:r>
        <w:rPr>
          <w:sz w:val="20"/>
          <w:szCs w:val="20"/>
          <w:color w:val="auto"/>
        </w:rPr>
        <w:tab/>
      </w:r>
      <w:r>
        <w:rPr>
          <w:rFonts w:ascii="Arial" w:cs="Arial" w:eastAsia="Arial" w:hAnsi="Arial"/>
          <w:sz w:val="17"/>
          <w:szCs w:val="17"/>
          <w:color w:val="auto"/>
        </w:rPr>
        <w:t>Limitation of Landlord 's liability.</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5.03(a). Transfer of Premises</w:t>
      </w:r>
      <w:r>
        <w:rPr>
          <w:rFonts w:ascii="Arial" w:cs="Arial" w:eastAsia="Arial" w:hAnsi="Arial"/>
          <w:sz w:val="18"/>
          <w:szCs w:val="18"/>
          <w:color w:val="auto"/>
        </w:rPr>
        <w:t>. If the Building is sold or transferred, voluntarily or involuntarily, including a sale or transfer of the Building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a sale or transfer of Landlord’s Campus, Landlord's Lease obligations and liabilities accruing after the transfer shall be the sole responsibility of the new owner provided that the new owner has assumed Landlord's obligations. Landlord shall notify Tenant if Landlord decides to attempt to sell Landlord’s Campus. Landlord agrees that any efforts by Landlord to sell Landlord’s Campus shall not materially disrupt the business operations of Tenant.</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5.03(b). Liability for Money Judgment</w:t>
      </w:r>
      <w:r>
        <w:rPr>
          <w:rFonts w:ascii="Arial" w:cs="Arial" w:eastAsia="Arial" w:hAnsi="Arial"/>
          <w:sz w:val="17"/>
          <w:szCs w:val="17"/>
          <w:color w:val="auto"/>
        </w:rPr>
        <w:t>. If Landlord, its employees, officers, or partners are ordered to pay Tenant a money judgment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of Landlord's Default under this Lease, then Tenant's sole remedy to satisfy the judgment shall be based on Landlord's interest in the Landlord’s Campus, including the rental income and proceeds from sale and any insurance or condemnation proceeds received because of damage or condemnation to, or of, the Building, or Land that are available for use by Landlord. In the event that Landlord finances the Building and the Land to an extent above 80% of its appraised value, then Tenant's recovery shall not be limited to Landlord's interest in the building for any amounts due Tenant, for such amounts up to 20% of the appraised value of the Building and the Land at the time such recovery is sought. Notwithstanding the foregoing language, Tenant's remedies shall not be limited to money judgments, as Tenant may seek specific performance, an injunction or other remedy permitted at law or 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equity. Further notwithstanding the foregoing, in no event shall Landlord be liable to Tenant for consequential or punitive damages.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6-LOSS OF PREMISES</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6.01.</w:t>
      </w:r>
      <w:r>
        <w:rPr>
          <w:sz w:val="20"/>
          <w:szCs w:val="20"/>
          <w:color w:val="auto"/>
        </w:rPr>
        <w:tab/>
      </w:r>
      <w:r>
        <w:rPr>
          <w:rFonts w:ascii="Arial" w:cs="Arial" w:eastAsia="Arial" w:hAnsi="Arial"/>
          <w:sz w:val="15"/>
          <w:szCs w:val="15"/>
          <w:i w:val="1"/>
          <w:iCs w:val="1"/>
          <w:color w:val="auto"/>
        </w:rPr>
        <w:t>Damages</w:t>
      </w:r>
      <w:r>
        <w:rPr>
          <w:rFonts w:ascii="Arial" w:cs="Arial" w:eastAsia="Arial" w:hAnsi="Arial"/>
          <w:sz w:val="15"/>
          <w:szCs w:val="15"/>
          <w:color w:val="auto"/>
        </w:rPr>
        <w:t>.</w:t>
      </w:r>
    </w:p>
    <w:p>
      <w:pPr>
        <w:spacing w:after="0" w:line="23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i w:val="1"/>
          <w:iCs w:val="1"/>
          <w:color w:val="auto"/>
        </w:rPr>
        <w:t>6.01(a). Definition</w:t>
      </w:r>
      <w:r>
        <w:rPr>
          <w:rFonts w:ascii="Arial" w:cs="Arial" w:eastAsia="Arial" w:hAnsi="Arial"/>
          <w:sz w:val="17"/>
          <w:szCs w:val="17"/>
          <w:color w:val="auto"/>
        </w:rPr>
        <w:t>. "Relevant Space" means: (i) the Premises, excluding any of Tenant Alterations other than the Initial Tenant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(ii) reasonable access to the Premises; and (iii) any part of the Building that provides essential services to the Premises.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6.01(b). Repair of Damage</w:t>
      </w:r>
      <w:r>
        <w:rPr>
          <w:rFonts w:ascii="Arial" w:cs="Arial" w:eastAsia="Arial" w:hAnsi="Arial"/>
          <w:sz w:val="18"/>
          <w:szCs w:val="18"/>
          <w:color w:val="auto"/>
        </w:rPr>
        <w:t>. If the Relevant Space is damaged in part or whole from any cause and the Relevant Space can be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repaired and restored within 180 days from the date of the damage using standard working methods and procedures, Landlord shall at its expense promptly</w:t>
      </w:r>
    </w:p>
    <w:p>
      <w:pPr>
        <w:sectPr>
          <w:pgSz w:w="11900" w:h="16838" w:orient="portrait"/>
          <w:cols w:equalWidth="0" w:num="1">
            <w:col w:w="10400"/>
          </w:cols>
          <w:pgMar w:left="700" w:top="348" w:right="799" w:bottom="1440" w:gutter="0" w:footer="0" w:header="0"/>
        </w:sectPr>
      </w:pPr>
    </w:p>
    <w:bookmarkStart w:id="88" w:name="page89"/>
    <w:bookmarkEnd w:id="88"/>
    <w:p>
      <w:pPr>
        <w:jc w:val="both"/>
        <w:spacing w:after="0" w:line="250" w:lineRule="auto"/>
        <w:rPr>
          <w:sz w:val="20"/>
          <w:szCs w:val="20"/>
          <w:color w:val="auto"/>
        </w:rPr>
      </w:pPr>
      <w:r>
        <w:rPr>
          <w:rFonts w:ascii="Arial" w:cs="Arial" w:eastAsia="Arial" w:hAnsi="Arial"/>
          <w:sz w:val="18"/>
          <w:szCs w:val="18"/>
          <w:color w:val="auto"/>
        </w:rPr>
        <w:t>and diligently repair and restore the Relevant Space to substantially the same condition as existed before the damage. This repair and restoration shall be made within 180 days from the date of the damage. If the Relevant Space is not or cannot be repaired and restored within the 180-day period, then either party may, within 10 days after determining that the repairs and restoration cannot be made within 180 days, cancel this Lease by giving written notice to the other party. Notwithstanding the foregoing, Landlord shall not be obligated to restore any gym or fitness area included within the Initial Tenant Improvements, other than restoring such area to a “white box”. Further notwithstanding the foregoing, if the Relevant Space is damaged at a time when there is less than six months remaining in the Term and the damage to the Relevant Space cannot be restored within 20% of the number of days remaining in the Term, either Landlord or Tenant may cancel this Lease by giving notice to the other.</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6.01(c). Abatement</w:t>
      </w:r>
      <w:r>
        <w:rPr>
          <w:rFonts w:ascii="Arial" w:cs="Arial" w:eastAsia="Arial" w:hAnsi="Arial"/>
          <w:sz w:val="18"/>
          <w:szCs w:val="18"/>
          <w:color w:val="auto"/>
        </w:rPr>
        <w:t>. Unless the damage is caused by Tenant's willful misconduct, the Fixed Rent shall abate in proportion to that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that is unfit for use in Tenant's business. The abatement shall consider the nature and extent of interference to Tenant's ability to conduct business in the Premises and the need for access and essential services. The abatement shall continue from the date the damage occurred until the earlier of (i) 10 business days after Landlord completes the repairs and restoration to the Relevant Space or the part rendered unusable and notice to Tenant that the repairs and restoration are completed, all as reasonably approved by Tenant, or (ii) until Tenant again uses the Premises or the part rendered unusable.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6.01(d). Tenant's Property</w:t>
      </w:r>
      <w:r>
        <w:rPr>
          <w:rFonts w:ascii="Arial" w:cs="Arial" w:eastAsia="Arial" w:hAnsi="Arial"/>
          <w:sz w:val="18"/>
          <w:szCs w:val="18"/>
          <w:color w:val="auto"/>
        </w:rPr>
        <w:t>. Landlord shall be obligated to repair or restore any damage to Tenant's trade fixtures, furniture, equipment,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personal property, or any Tenant Alterations other than the Initial Tenant Improvements. Tenant shall be responsible for restoring any gym or fitness area included in the Initial Tenant Improvements, other than Landlord’s obligation under paragraph 6.01(b) with respect to such area.</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6.01(e). Damage to Building</w:t>
      </w:r>
      <w:r>
        <w:rPr>
          <w:rFonts w:ascii="Arial" w:cs="Arial" w:eastAsia="Arial" w:hAnsi="Arial"/>
          <w:sz w:val="18"/>
          <w:szCs w:val="18"/>
          <w:color w:val="auto"/>
        </w:rPr>
        <w:t>. If more than 25% of the Building is damaged and Landlord decides not to repair and restore the Building, or</w:t>
      </w:r>
      <w:r>
        <w:rPr>
          <w:rFonts w:ascii="Arial" w:cs="Arial" w:eastAsia="Arial" w:hAnsi="Arial"/>
          <w:sz w:val="18"/>
          <w:szCs w:val="18"/>
          <w:i w:val="1"/>
          <w:iCs w:val="1"/>
          <w:color w:val="auto"/>
        </w:rPr>
        <w:t xml:space="preserve"> </w:t>
      </w:r>
      <w:r>
        <w:rPr>
          <w:rFonts w:ascii="Arial" w:cs="Arial" w:eastAsia="Arial" w:hAnsi="Arial"/>
          <w:sz w:val="18"/>
          <w:szCs w:val="18"/>
          <w:color w:val="auto"/>
        </w:rPr>
        <w:t>any mortgagee of the Building shall not allow adequate insurance proceeds for repair and restoration, then Landlord may cancel this Lease. To cancel, Landlord must give written notice to Tenant within thirty (30) days after Landlord knows of the damage. The notice must specify the cancellation date, which shall be at least thirty (30) days after the date notice is given.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6.01(f). Cancellation</w:t>
      </w:r>
      <w:r>
        <w:rPr>
          <w:rFonts w:ascii="Arial" w:cs="Arial" w:eastAsia="Arial" w:hAnsi="Arial"/>
          <w:sz w:val="18"/>
          <w:szCs w:val="18"/>
          <w:color w:val="auto"/>
        </w:rPr>
        <w:t>. If either party cancels this Lease as permitted in this Section 6.01, then this Lease shall end on the day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notice. The Fixed Rent and all other charges hereunder payable by Tenant shall be payable up to the cancellation date and shall account for any abatement. Landlord shall promptly refund to Tenant any prepaid, unaccrued Fixed Rent, accounting for any abatement, less any sum then owing by Tenant to Landlord.</w:t>
      </w:r>
    </w:p>
    <w:p>
      <w:pPr>
        <w:spacing w:after="0" w:line="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6.02.</w:t>
      </w:r>
      <w:r>
        <w:rPr>
          <w:sz w:val="20"/>
          <w:szCs w:val="20"/>
          <w:color w:val="auto"/>
        </w:rPr>
        <w:tab/>
      </w:r>
      <w:r>
        <w:rPr>
          <w:rFonts w:ascii="Arial" w:cs="Arial" w:eastAsia="Arial" w:hAnsi="Arial"/>
          <w:sz w:val="16"/>
          <w:szCs w:val="16"/>
          <w:i w:val="1"/>
          <w:iCs w:val="1"/>
          <w:color w:val="auto"/>
        </w:rPr>
        <w:t>Condemnation</w:t>
      </w:r>
      <w:r>
        <w:rPr>
          <w:rFonts w:ascii="Arial" w:cs="Arial" w:eastAsia="Arial" w:hAnsi="Arial"/>
          <w:sz w:val="16"/>
          <w:szCs w:val="16"/>
          <w:color w:val="auto"/>
        </w:rPr>
        <w:t>.</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6.02(a). Entire Taking</w:t>
      </w:r>
      <w:r>
        <w:rPr>
          <w:rFonts w:ascii="Arial" w:cs="Arial" w:eastAsia="Arial" w:hAnsi="Arial"/>
          <w:sz w:val="18"/>
          <w:szCs w:val="18"/>
          <w:color w:val="auto"/>
        </w:rPr>
        <w:t>. If the entire Premises or the portions of the Building required for reasonable access to, or the reasonable 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are taken by eminent domain, this Lease shall automatically end on the earlier of the date (i) title vests in the condemning authority or (ii) Tenant is dispossessed by the condemning authority.</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6.02(b). Partial Taking</w:t>
      </w:r>
      <w:r>
        <w:rPr>
          <w:rFonts w:ascii="Arial" w:cs="Arial" w:eastAsia="Arial" w:hAnsi="Arial"/>
          <w:sz w:val="18"/>
          <w:szCs w:val="18"/>
          <w:color w:val="auto"/>
        </w:rPr>
        <w:t>. If the taking of a part of the Premises materially interferes with Tenant's ability to continue its business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the same manner and space then Tenant may end this Lease on the earlier of the date (i) title vests in the condemning authority; or (ii) the date Tenant is dispossessed by the condemning authority. If there is a partial taking and this Lease continues, then this Lease shall end as to the part taken and the Fixed Rent shall abate in proportion to the part of the Premises taken and Tenant's share of Operating Expenses increases under Section 2.03 hereof shall be equitably reduced.</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6.02(c). Termination by Landlord</w:t>
      </w:r>
      <w:r>
        <w:rPr>
          <w:rFonts w:ascii="Arial" w:cs="Arial" w:eastAsia="Arial" w:hAnsi="Arial"/>
          <w:sz w:val="17"/>
          <w:szCs w:val="17"/>
          <w:color w:val="auto"/>
        </w:rPr>
        <w:t>. If title to a part of the Building other than the Premises is condemned, and in Landlord's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opinion, the Building should be restored in a manner that materially alters the Premises, Landlord may cancel this Lease by giving notice to Tenant. The cancellation notice shall be given within 60 days following the date Landlord receives notice of</w:t>
      </w:r>
    </w:p>
    <w:p>
      <w:pPr>
        <w:sectPr>
          <w:pgSz w:w="11900" w:h="16838" w:orient="portrait"/>
          <w:cols w:equalWidth="0" w:num="1">
            <w:col w:w="10400"/>
          </w:cols>
          <w:pgMar w:left="700" w:top="348" w:right="79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such condemnation. This Lease shall end on the date specified in the cancellation notice, which date shall be at least 30 days</w:t>
      </w:r>
      <w:r>
        <w:rPr>
          <w:rFonts w:ascii="Arial" w:cs="Arial" w:eastAsia="Arial" w:hAnsi="Arial"/>
          <w:sz w:val="18"/>
          <w:szCs w:val="18"/>
          <w:i w:val="1"/>
          <w:iCs w:val="1"/>
          <w:color w:val="auto"/>
        </w:rPr>
        <w:t>.</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6.02(d). Rent Adjustment</w:t>
      </w:r>
      <w:r>
        <w:rPr>
          <w:rFonts w:ascii="Arial" w:cs="Arial" w:eastAsia="Arial" w:hAnsi="Arial"/>
          <w:sz w:val="17"/>
          <w:szCs w:val="17"/>
          <w:color w:val="auto"/>
        </w:rPr>
        <w:t>. If this Lease is canceled as provided in this Section 6.02, then the Fixed Rent and all other charges payable by</w:t>
      </w:r>
      <w:r>
        <w:rPr>
          <w:rFonts w:ascii="Arial" w:cs="Arial" w:eastAsia="Arial" w:hAnsi="Arial"/>
          <w:sz w:val="17"/>
          <w:szCs w:val="17"/>
          <w:i w:val="1"/>
          <w:iCs w:val="1"/>
          <w:color w:val="auto"/>
        </w:rPr>
        <w:t xml:space="preserve"> </w:t>
      </w:r>
      <w:r>
        <w:rPr>
          <w:rFonts w:ascii="Arial" w:cs="Arial" w:eastAsia="Arial" w:hAnsi="Arial"/>
          <w:sz w:val="17"/>
          <w:szCs w:val="17"/>
          <w:color w:val="auto"/>
        </w:rPr>
        <w:t>Tenant hereunder shall be payable up to the cancellation date, and shall account for any abatement. Landlord, considering any abatement, shall promptly refund to Tenant any prepaid, unaccrued Fixed Rent, less any sum then owing by Tenant to Landlord.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6.02(e). Repair</w:t>
      </w:r>
      <w:r>
        <w:rPr>
          <w:rFonts w:ascii="Arial" w:cs="Arial" w:eastAsia="Arial" w:hAnsi="Arial"/>
          <w:sz w:val="18"/>
          <w:szCs w:val="18"/>
          <w:color w:val="auto"/>
        </w:rPr>
        <w:t>. If the Lease is not canceled as provided for in this Section 6.02, then Landlord at its expense shall promptly repair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restore the Premises to substantially the same condition that existed immediately before the taking, to the extent reasonably practicable, except for the part taken, to render the Premises a complete architectural unit.</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6.02(f). Awards and Damages</w:t>
      </w:r>
      <w:r>
        <w:rPr>
          <w:rFonts w:ascii="Arial" w:cs="Arial" w:eastAsia="Arial" w:hAnsi="Arial"/>
          <w:sz w:val="18"/>
          <w:szCs w:val="18"/>
          <w:color w:val="auto"/>
        </w:rPr>
        <w:t>. Landlord reserves all rights to damages paid because of any partial or entire taking of the Premises. Tenant</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to Landlord any right Tenant may have to the damages or award. Further, Tenant shall not make claims against Landlord or the condemning authority for damages. Notwithstanding anything else in this paragraph 6.02(f), Tenant may claim and recover from the condemning authority a separate award for Tenant's moving expenses, business dislocation damages, Tenant's personal property and fixtures, the unamortized costs of leasehold improvements paid for by Tenant, and any other award that would not reduce the award payable to Landlord. Each party shall seek its own award, as limited above, at its own expense, and neither shall have any right to the award made to the other.</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6.02(g). Temporary Condemnation</w:t>
      </w:r>
      <w:r>
        <w:rPr>
          <w:rFonts w:ascii="Arial" w:cs="Arial" w:eastAsia="Arial" w:hAnsi="Arial"/>
          <w:sz w:val="18"/>
          <w:szCs w:val="18"/>
          <w:color w:val="auto"/>
        </w:rPr>
        <w:t>. If part or all of the Premises are condemned for a limited period of time ("Temporary Condemnation"),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this Lease shall remain in effect. The Fixed Rent and Tenant's obligations for the part of the Premises taken shall abate during the Temporary Condemnation in proportion to the part of the Premises that Tenant is unable to use in its business operations as a result of the Temporary Condemnation.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7-DEFAULT</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i w:val="1"/>
          <w:iCs w:val="1"/>
          <w:color w:val="auto"/>
        </w:rPr>
        <w:t>7.01.</w:t>
      </w:r>
      <w:r>
        <w:rPr>
          <w:sz w:val="20"/>
          <w:szCs w:val="20"/>
          <w:color w:val="auto"/>
        </w:rPr>
        <w:tab/>
      </w:r>
      <w:r>
        <w:rPr>
          <w:rFonts w:ascii="Arial" w:cs="Arial" w:eastAsia="Arial" w:hAnsi="Arial"/>
          <w:sz w:val="16"/>
          <w:szCs w:val="16"/>
          <w:i w:val="1"/>
          <w:iCs w:val="1"/>
          <w:color w:val="auto"/>
        </w:rPr>
        <w:t xml:space="preserve">Default by Tenant. </w:t>
      </w:r>
      <w:r>
        <w:rPr>
          <w:rFonts w:ascii="Arial" w:cs="Arial" w:eastAsia="Arial" w:hAnsi="Arial"/>
          <w:sz w:val="16"/>
          <w:szCs w:val="16"/>
          <w:color w:val="auto"/>
        </w:rPr>
        <w:t>The occurrence of any one or more of the following events ("Event of Default") shall constitute a breach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Lease by Tenant:</w:t>
      </w:r>
    </w:p>
    <w:p>
      <w:pPr>
        <w:spacing w:after="0" w:line="152" w:lineRule="exact"/>
        <w:rPr>
          <w:sz w:val="20"/>
          <w:szCs w:val="20"/>
          <w:color w:val="auto"/>
        </w:rPr>
      </w:pPr>
    </w:p>
    <w:p>
      <w:pPr>
        <w:jc w:val="both"/>
        <w:ind w:firstLine="1202"/>
        <w:spacing w:after="0" w:line="261" w:lineRule="auto"/>
        <w:tabs>
          <w:tab w:leader="none" w:pos="1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Tenant fails to pay any Fixed Rent, or any other amount of money or charge payable by Tenant hereunder as and when such Fixed Rent or other amount or charge becomes due and payable and such failure continues for more than five business days after Landlord gives written notice thereof to Tenant; or</w:t>
      </w:r>
    </w:p>
    <w:p>
      <w:pPr>
        <w:spacing w:after="0" w:line="187" w:lineRule="exact"/>
        <w:rPr>
          <w:rFonts w:ascii="Arial" w:cs="Arial" w:eastAsia="Arial" w:hAnsi="Arial"/>
          <w:sz w:val="18"/>
          <w:szCs w:val="18"/>
          <w:color w:val="auto"/>
        </w:rPr>
      </w:pPr>
    </w:p>
    <w:p>
      <w:pPr>
        <w:ind w:firstLine="1202"/>
        <w:spacing w:after="0" w:line="276" w:lineRule="auto"/>
        <w:tabs>
          <w:tab w:leader="none" w:pos="1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Tenant materially or repeatedly violates the provisions of this Lease related to confidentiality or to Tenant accessing areas of the Landlord’s Campus not permitted under this Lease.</w:t>
      </w:r>
    </w:p>
    <w:p>
      <w:pPr>
        <w:spacing w:after="0" w:line="173" w:lineRule="exact"/>
        <w:rPr>
          <w:rFonts w:ascii="Arial" w:cs="Arial" w:eastAsia="Arial" w:hAnsi="Arial"/>
          <w:sz w:val="18"/>
          <w:szCs w:val="18"/>
          <w:color w:val="auto"/>
        </w:rPr>
      </w:pPr>
    </w:p>
    <w:p>
      <w:pPr>
        <w:jc w:val="both"/>
        <w:ind w:firstLine="1202"/>
        <w:spacing w:after="0" w:line="276" w:lineRule="auto"/>
        <w:tabs>
          <w:tab w:leader="none" w:pos="1628" w:val="left"/>
        </w:tabs>
        <w:numPr>
          <w:ilvl w:val="1"/>
          <w:numId w:val="59"/>
        </w:numPr>
        <w:rPr>
          <w:rFonts w:ascii="Arial" w:cs="Arial" w:eastAsia="Arial" w:hAnsi="Arial"/>
          <w:sz w:val="17"/>
          <w:szCs w:val="17"/>
          <w:color w:val="auto"/>
        </w:rPr>
      </w:pPr>
      <w:r>
        <w:rPr>
          <w:rFonts w:ascii="Arial" w:cs="Arial" w:eastAsia="Arial" w:hAnsi="Arial"/>
          <w:sz w:val="17"/>
          <w:szCs w:val="17"/>
          <w:color w:val="auto"/>
        </w:rPr>
        <w:t>Tenant (i) files, or consents by answer or otherwise to the filing against it of, a petition for relief or reorganization or arrangement or any other petition in bankruptcy or for liquidation or to take advantage of any bankruptcy, insolvency or other debtors' relief law of any jurisdiction, (ii) makes an assignment for the benefit of its creditors, or (iii) consents to the appointment of a custodian, receiver, trustee or other officer with similar powers of Tenant or of any substantial part of Tenant's property; or</w:t>
      </w:r>
    </w:p>
    <w:p>
      <w:pPr>
        <w:spacing w:after="0" w:line="175" w:lineRule="exact"/>
        <w:rPr>
          <w:rFonts w:ascii="Arial" w:cs="Arial" w:eastAsia="Arial" w:hAnsi="Arial"/>
          <w:sz w:val="17"/>
          <w:szCs w:val="17"/>
          <w:color w:val="auto"/>
        </w:rPr>
      </w:pPr>
    </w:p>
    <w:p>
      <w:pPr>
        <w:ind w:left="1620" w:hanging="418"/>
        <w:spacing w:after="0"/>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Without consent by Tenant, a court or government authority enters an order, and such order is not vacated within sixty</w:t>
      </w:r>
    </w:p>
    <w:p>
      <w:pPr>
        <w:spacing w:after="0" w:line="44" w:lineRule="exact"/>
        <w:rPr>
          <w:rFonts w:ascii="Arial" w:cs="Arial" w:eastAsia="Arial" w:hAnsi="Arial"/>
          <w:sz w:val="16"/>
          <w:szCs w:val="16"/>
          <w:color w:val="auto"/>
        </w:rPr>
      </w:pPr>
    </w:p>
    <w:p>
      <w:pPr>
        <w:jc w:val="both"/>
        <w:ind w:firstLine="3"/>
        <w:spacing w:after="0" w:line="250" w:lineRule="auto"/>
        <w:tabs>
          <w:tab w:leader="none" w:pos="3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days, (i) appointing a custodian, receiver, trustee or other officer with similar powers with respect to Tenant or with respect to any substantial part of Tenant's property, or (ii) constituting an order for relief or approving a petition for relief or reorganization or arrangement or any other petition in bankruptcy or for liquidation or to take advantage of any bankruptcy, insolvency or other debtors' relief law of any jurisdiction, or (iii) ordering the dissolution, winding-up or liquidation of Tenant; or</w:t>
      </w:r>
    </w:p>
    <w:p>
      <w:pPr>
        <w:sectPr>
          <w:pgSz w:w="11900" w:h="16838" w:orient="portrait"/>
          <w:cols w:equalWidth="0" w:num="1">
            <w:col w:w="10400"/>
          </w:cols>
          <w:pgMar w:left="700" w:top="348" w:right="799" w:bottom="1440" w:gutter="0" w:footer="0" w:header="0"/>
        </w:sectPr>
      </w:pPr>
    </w:p>
    <w:bookmarkStart w:id="90" w:name="page91"/>
    <w:bookmarkEnd w:id="90"/>
    <w:p>
      <w:pPr>
        <w:ind w:firstLine="1202"/>
        <w:spacing w:after="0" w:line="276" w:lineRule="auto"/>
        <w:tabs>
          <w:tab w:leader="none" w:pos="16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Lease or any estate of Tenant hereunder is levied upon under any attachment or execution and such attachment or execution is not vacated within 60 days.</w:t>
      </w:r>
    </w:p>
    <w:p>
      <w:pPr>
        <w:spacing w:after="0" w:line="186" w:lineRule="exact"/>
        <w:rPr>
          <w:rFonts w:ascii="Arial" w:cs="Arial" w:eastAsia="Arial" w:hAnsi="Arial"/>
          <w:sz w:val="18"/>
          <w:szCs w:val="18"/>
          <w:color w:val="auto"/>
        </w:rPr>
      </w:pPr>
    </w:p>
    <w:p>
      <w:pPr>
        <w:jc w:val="both"/>
        <w:ind w:firstLine="1202"/>
        <w:spacing w:after="0" w:line="252" w:lineRule="auto"/>
        <w:tabs>
          <w:tab w:leader="none" w:pos="16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than the agreements or covenants covered by paragraphs (a) through (e) (e) of this Section 7.01, Tenant fails to perform or breaches any agreement or covenant of this Lease to be performed or observed by Tenant, as and when performance or observance is due and such failure or breach continues for more than thirty (30) days after Landlord gives written notice thereof to Tenant, provided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w:t>
      </w:r>
    </w:p>
    <w:p>
      <w:pPr>
        <w:spacing w:after="0" w:line="196" w:lineRule="exact"/>
        <w:rPr>
          <w:sz w:val="20"/>
          <w:szCs w:val="20"/>
          <w:color w:val="auto"/>
        </w:rPr>
      </w:pPr>
    </w:p>
    <w:p>
      <w:pPr>
        <w:spacing w:after="0" w:line="307" w:lineRule="auto"/>
        <w:rPr>
          <w:sz w:val="20"/>
          <w:szCs w:val="20"/>
          <w:color w:val="auto"/>
        </w:rPr>
      </w:pPr>
      <w:r>
        <w:rPr>
          <w:rFonts w:ascii="Arial" w:cs="Arial" w:eastAsia="Arial" w:hAnsi="Arial"/>
          <w:sz w:val="17"/>
          <w:szCs w:val="17"/>
          <w:i w:val="1"/>
          <w:iCs w:val="1"/>
          <w:color w:val="auto"/>
        </w:rPr>
        <w:t xml:space="preserve">7.02. Remedies. </w:t>
      </w:r>
      <w:r>
        <w:rPr>
          <w:rFonts w:ascii="Arial" w:cs="Arial" w:eastAsia="Arial" w:hAnsi="Arial"/>
          <w:sz w:val="17"/>
          <w:szCs w:val="17"/>
          <w:color w:val="auto"/>
        </w:rPr>
        <w:t>Upon the occurrence of an Event of Default, Landlord shall have the following remedies, in addition to all other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remedies provided by law or otherwise provided in this Lease, to which Landlord may resort cumulatively, or in the alternative:</w:t>
      </w:r>
    </w:p>
    <w:p>
      <w:pPr>
        <w:spacing w:after="0" w:line="162" w:lineRule="exact"/>
        <w:rPr>
          <w:sz w:val="20"/>
          <w:szCs w:val="20"/>
          <w:color w:val="auto"/>
        </w:rPr>
      </w:pPr>
    </w:p>
    <w:p>
      <w:pPr>
        <w:ind w:firstLine="1202"/>
        <w:spacing w:after="0" w:line="255" w:lineRule="auto"/>
        <w:tabs>
          <w:tab w:leader="none" w:pos="1627" w:val="left"/>
        </w:tabs>
        <w:numPr>
          <w:ilvl w:val="1"/>
          <w:numId w:val="62"/>
        </w:numPr>
        <w:rPr>
          <w:rFonts w:ascii="Arial" w:cs="Arial" w:eastAsia="Arial" w:hAnsi="Arial"/>
          <w:sz w:val="18"/>
          <w:szCs w:val="18"/>
          <w:color w:val="auto"/>
        </w:rPr>
      </w:pPr>
      <w:r>
        <w:rPr>
          <w:rFonts w:ascii="Arial" w:cs="Arial" w:eastAsia="Arial" w:hAnsi="Arial"/>
          <w:sz w:val="18"/>
          <w:szCs w:val="18"/>
          <w:color w:val="auto"/>
        </w:rPr>
        <w:t>Landlord may, at Landlord’s election, keep this Lease in effect and enforce, by an action at law or in equity, all of its rights and remedies under this Lease including, without limitation,</w:t>
      </w:r>
    </w:p>
    <w:p>
      <w:pPr>
        <w:spacing w:after="0" w:line="1" w:lineRule="exact"/>
        <w:rPr>
          <w:rFonts w:ascii="Arial" w:cs="Arial" w:eastAsia="Arial" w:hAnsi="Arial"/>
          <w:sz w:val="18"/>
          <w:szCs w:val="18"/>
          <w:color w:val="auto"/>
        </w:rPr>
      </w:pPr>
    </w:p>
    <w:p>
      <w:pPr>
        <w:jc w:val="both"/>
        <w:ind w:firstLine="3"/>
        <w:spacing w:after="0" w:line="250" w:lineRule="auto"/>
        <w:tabs>
          <w:tab w:leader="none" w:pos="2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right to recover the rent and other sums as they become due by appropriate legal action, (ii) the right to make payments required by Tenant, or perform Tenant’s obligations and be reimbursed by Tenant for the cost thereof with interest at the rate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hereof, and the remedies of injunctive relief and specific performance to prevent Tenant from violating the terms of this Lease and/or to compel Tenant to perform its obligations under this Lease, as the case may be.</w:t>
      </w:r>
    </w:p>
    <w:p>
      <w:pPr>
        <w:spacing w:after="0" w:line="196" w:lineRule="exact"/>
        <w:rPr>
          <w:rFonts w:ascii="Arial" w:cs="Arial" w:eastAsia="Arial" w:hAnsi="Arial"/>
          <w:sz w:val="18"/>
          <w:szCs w:val="18"/>
          <w:color w:val="auto"/>
        </w:rPr>
      </w:pPr>
    </w:p>
    <w:p>
      <w:pPr>
        <w:jc w:val="both"/>
        <w:ind w:firstLine="1202"/>
        <w:spacing w:after="0" w:line="284" w:lineRule="auto"/>
        <w:tabs>
          <w:tab w:leader="none" w:pos="16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Landlord may, at Landlord’s election, terminate this Lease by giving Tenant written notice of termination, in which event this Lease shall terminate on the date set forth for termination in such notice, in which event Tenant shall immediately surrender the Premises to Landlord, and if Tenant fails to do so, Landlord may, without prejudice to any other remedy which it may have for</w:t>
      </w:r>
    </w:p>
    <w:p>
      <w:pPr>
        <w:spacing w:after="0" w:line="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possession or arrearages in rent, enter upon and take possession of the Premises and expel or remove Tenant and any other person who may be occupying the Premises or any part thereof, without being liable for prosecution or any claim or damages therefor. Any termination under this paragraph shall not relieve Tenant from its obligation to pay to Landlord all Fixed Rent, additional rent and any other charges under this Lease then or thereafter due, or any other sums due or thereafter accruing to Landlord, or from any claim against Tenant for damages previously accrued or then or thereafter accruing. In no event shall any one or more of the following actions by Landlord, in the absence of a written election by Landlord to terminate this Lease, constitute a termination of this Lease: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interest hereunder;</w:t>
      </w:r>
    </w:p>
    <w:p>
      <w:pPr>
        <w:spacing w:after="0" w:line="80" w:lineRule="exact"/>
        <w:rPr>
          <w:sz w:val="20"/>
          <w:szCs w:val="20"/>
          <w:color w:val="auto"/>
        </w:rPr>
      </w:pPr>
    </w:p>
    <w:p>
      <w:pPr>
        <w:ind w:left="340" w:hanging="33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Appointment of a receiver or keeper in order to protect Landlord’s</w:t>
      </w:r>
    </w:p>
    <w:p>
      <w:pPr>
        <w:spacing w:after="0" w:line="242" w:lineRule="exact"/>
        <w:rPr>
          <w:rFonts w:ascii="Arial" w:cs="Arial" w:eastAsia="Arial" w:hAnsi="Arial"/>
          <w:sz w:val="18"/>
          <w:szCs w:val="18"/>
          <w:color w:val="auto"/>
        </w:rPr>
      </w:pPr>
    </w:p>
    <w:p>
      <w:pPr>
        <w:ind w:right="4660" w:firstLine="2"/>
        <w:spacing w:after="0" w:line="307" w:lineRule="auto"/>
        <w:tabs>
          <w:tab w:leader="none" w:pos="406"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Consent to any subletting of the Premises or assignment of this Lease by Tenant, whether pursuant to the provisions hereof or otherwise; or</w:t>
      </w:r>
    </w:p>
    <w:p>
      <w:pPr>
        <w:spacing w:after="0" w:line="149" w:lineRule="exact"/>
        <w:rPr>
          <w:rFonts w:ascii="Arial" w:cs="Arial" w:eastAsia="Arial" w:hAnsi="Arial"/>
          <w:sz w:val="17"/>
          <w:szCs w:val="17"/>
          <w:color w:val="auto"/>
        </w:rPr>
      </w:pPr>
    </w:p>
    <w:p>
      <w:pPr>
        <w:jc w:val="both"/>
        <w:ind w:firstLine="1802"/>
        <w:spacing w:after="0" w:line="284" w:lineRule="auto"/>
        <w:tabs>
          <w:tab w:leader="none" w:pos="2268" w:val="left"/>
        </w:tabs>
        <w:numPr>
          <w:ilvl w:val="2"/>
          <w:numId w:val="64"/>
        </w:numPr>
        <w:rPr>
          <w:rFonts w:ascii="Arial" w:cs="Arial" w:eastAsia="Arial" w:hAnsi="Arial"/>
          <w:sz w:val="17"/>
          <w:szCs w:val="17"/>
          <w:color w:val="auto"/>
        </w:rPr>
      </w:pPr>
      <w:r>
        <w:rPr>
          <w:rFonts w:ascii="Arial" w:cs="Arial" w:eastAsia="Arial" w:hAnsi="Arial"/>
          <w:sz w:val="17"/>
          <w:szCs w:val="17"/>
          <w:color w:val="auto"/>
        </w:rPr>
        <w:t>Any action taken by Landlord or its officers, agents, employees, or servants, which is intended to mitigate the adverse effects of any breach of this Lease by Tenant, including, without limitation, any action taken to maintain and preserve the Premises on any action taken to relet the Premises or any portion thereof for the account at Tenant and in the name of Tenant.</w:t>
      </w:r>
    </w:p>
    <w:p>
      <w:pPr>
        <w:spacing w:after="0" w:line="168" w:lineRule="exact"/>
        <w:rPr>
          <w:rFonts w:ascii="Arial" w:cs="Arial" w:eastAsia="Arial" w:hAnsi="Arial"/>
          <w:sz w:val="17"/>
          <w:szCs w:val="17"/>
          <w:color w:val="auto"/>
        </w:rPr>
      </w:pPr>
    </w:p>
    <w:p>
      <w:pPr>
        <w:jc w:val="both"/>
        <w:ind w:firstLine="1202"/>
        <w:spacing w:after="0" w:line="256" w:lineRule="auto"/>
        <w:tabs>
          <w:tab w:leader="none" w:pos="16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event Tenant breaches this Lease and abandons the Premises, Landlord may terminate this Lease, but this Lease shall not terminate unless Landlord gives Tenant written notice of termination. If Landlord does not terminate this Lease by giving written notice of termination, Landlord may enforce all its rights and remedies under this Lease, including the right and remedies provided by California Civil Code Section 1951.4 (“lessor may continue lease in</w:t>
      </w:r>
    </w:p>
    <w:p>
      <w:pPr>
        <w:sectPr>
          <w:pgSz w:w="11900" w:h="16838" w:orient="portrait"/>
          <w:cols w:equalWidth="0" w:num="1">
            <w:col w:w="10400"/>
          </w:cols>
          <w:pgMar w:left="700" w:top="348" w:right="799" w:bottom="1440" w:gutter="0" w:footer="0" w:header="0"/>
        </w:sectPr>
      </w:pPr>
    </w:p>
    <w:bookmarkStart w:id="91" w:name="page92"/>
    <w:bookmarkEnd w:id="91"/>
    <w:p>
      <w:pPr>
        <w:spacing w:after="0" w:line="276" w:lineRule="auto"/>
        <w:rPr>
          <w:sz w:val="20"/>
          <w:szCs w:val="20"/>
          <w:color w:val="auto"/>
        </w:rPr>
      </w:pPr>
      <w:r>
        <w:rPr>
          <w:rFonts w:ascii="Arial" w:cs="Arial" w:eastAsia="Arial" w:hAnsi="Arial"/>
          <w:sz w:val="18"/>
          <w:szCs w:val="18"/>
          <w:color w:val="auto"/>
        </w:rPr>
        <w:t>effect after lessee’s breach and abandonment and recover rent as it becomes due, if lessee has right to sublet or assign, subject only to reasonable limitations”), as in effect on the effective date of this Lease.</w:t>
      </w:r>
    </w:p>
    <w:p>
      <w:pPr>
        <w:spacing w:after="0" w:line="186" w:lineRule="exact"/>
        <w:rPr>
          <w:sz w:val="20"/>
          <w:szCs w:val="20"/>
          <w:color w:val="auto"/>
        </w:rPr>
      </w:pPr>
    </w:p>
    <w:p>
      <w:pPr>
        <w:jc w:val="both"/>
        <w:ind w:firstLine="1202"/>
        <w:spacing w:after="0" w:line="256" w:lineRule="auto"/>
        <w:tabs>
          <w:tab w:leader="none" w:pos="172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Landlord terminates this Lease, Landlord shall be entitled, at Landlord’s election, to the rights and remedies provided in California Civil Code Section 1951.2, as in effect on the date of this Lease. For purposes of computing damages pursuant to Section 1951.2, an interest rate equal to the rate stated in Section 7.05 hereof shall apply, where permitted. Such damages shall include, without limitation:</w:t>
      </w:r>
    </w:p>
    <w:p>
      <w:pPr>
        <w:spacing w:after="0" w:line="191" w:lineRule="exact"/>
        <w:rPr>
          <w:rFonts w:ascii="Arial" w:cs="Arial" w:eastAsia="Arial" w:hAnsi="Arial"/>
          <w:sz w:val="18"/>
          <w:szCs w:val="18"/>
          <w:color w:val="auto"/>
        </w:rPr>
      </w:pPr>
    </w:p>
    <w:p>
      <w:pPr>
        <w:ind w:left="1980" w:hanging="351"/>
        <w:spacing w:after="0"/>
        <w:tabs>
          <w:tab w:leader="none" w:pos="198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worth at the time of the award of the unpaid rent which had been earned at the time of termination;</w:t>
      </w:r>
    </w:p>
    <w:p>
      <w:pPr>
        <w:spacing w:after="0" w:line="242" w:lineRule="exact"/>
        <w:rPr>
          <w:rFonts w:ascii="Arial" w:cs="Arial" w:eastAsia="Arial" w:hAnsi="Arial"/>
          <w:sz w:val="18"/>
          <w:szCs w:val="18"/>
          <w:color w:val="auto"/>
        </w:rPr>
      </w:pPr>
    </w:p>
    <w:p>
      <w:pPr>
        <w:ind w:right="20" w:firstLine="1579"/>
        <w:spacing w:after="0" w:line="307" w:lineRule="auto"/>
        <w:tabs>
          <w:tab w:leader="none" w:pos="2064"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149" w:lineRule="exact"/>
        <w:rPr>
          <w:rFonts w:ascii="Arial" w:cs="Arial" w:eastAsia="Arial" w:hAnsi="Arial"/>
          <w:sz w:val="17"/>
          <w:szCs w:val="17"/>
          <w:color w:val="auto"/>
        </w:rPr>
      </w:pPr>
    </w:p>
    <w:p>
      <w:pPr>
        <w:jc w:val="both"/>
        <w:ind w:firstLine="1529"/>
        <w:spacing w:after="0" w:line="261" w:lineRule="auto"/>
        <w:tabs>
          <w:tab w:leader="none" w:pos="1982"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be reasonably avoided, computed by discounting such amount at the discount rate of the Federal Reserve Bank of San Francisco, at the time of award plus 1%;</w:t>
      </w:r>
    </w:p>
    <w:p>
      <w:pPr>
        <w:spacing w:after="0" w:line="187" w:lineRule="exact"/>
        <w:rPr>
          <w:rFonts w:ascii="Arial" w:cs="Arial" w:eastAsia="Arial" w:hAnsi="Arial"/>
          <w:sz w:val="18"/>
          <w:szCs w:val="18"/>
          <w:color w:val="auto"/>
        </w:rPr>
      </w:pPr>
    </w:p>
    <w:p>
      <w:pPr>
        <w:jc w:val="both"/>
        <w:ind w:firstLine="1539"/>
        <w:spacing w:after="0" w:line="252" w:lineRule="auto"/>
        <w:tabs>
          <w:tab w:leader="none" w:pos="2015"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detriment proximately caused by Tenant’s failure to perform Tenant’s obligations under this Lease, or which in the ordinary course of things would be likely to result therefrom, including without limitation, the following:</w:t>
      </w:r>
    </w:p>
    <w:p>
      <w:pPr>
        <w:spacing w:after="0" w:line="1" w:lineRule="exact"/>
        <w:rPr>
          <w:rFonts w:ascii="Arial" w:cs="Arial" w:eastAsia="Arial" w:hAnsi="Arial"/>
          <w:sz w:val="18"/>
          <w:szCs w:val="18"/>
          <w:color w:val="auto"/>
        </w:rPr>
      </w:pPr>
    </w:p>
    <w:p>
      <w:pPr>
        <w:jc w:val="both"/>
        <w:ind w:firstLine="3"/>
        <w:spacing w:after="0" w:line="252"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for cleaning, repairing or restoring the Premises, (ii) expenses for altering, remodeling or otherwise improving the Leased Premises for the purpose of reletting, including removal of existing leasehold improvements and/or installation of additional leasehold improvements (regardless of how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is funded, including reduction of rent, a direct payment or allowance to a new tenant, or otherwise),</w:t>
      </w:r>
    </w:p>
    <w:p>
      <w:pPr>
        <w:spacing w:after="0" w:line="9" w:lineRule="exact"/>
        <w:rPr>
          <w:sz w:val="20"/>
          <w:szCs w:val="20"/>
          <w:color w:val="auto"/>
        </w:rPr>
      </w:pPr>
    </w:p>
    <w:p>
      <w:pPr>
        <w:jc w:val="both"/>
        <w:ind w:firstLine="3"/>
        <w:spacing w:after="0" w:line="248"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broker’s fees allocable to the remainder of the term of this Lease, advertising costs and other expenses of reletting the Premises; (iv) costs of carrying and maintaining the Premises, such as taxes, insurance premiums, utility charges and security precautions, (v) expenses incurred in removing, disposing of and/or storing any of Tenant’s personal property, inventory or trade fixtures remaining therein; (vi) reasonable attorney’s fees, expert witness fees, court costs and other reasonable expenses incurred by Landlord (but not limited to taxable costs) in retaking possession of the Premises, establishing damages hereunder, and releasing the Premises; (vii) damages under Landlord’s mortgage and related financing documents, including, but not limited to, the payment of default interest, legal fees, late charges, collection costs, and sums necessary to maintain Lender’s yield on the loaned amounts and (viii) any other expenses, costs or damages otherwise incurred or suffered as a result of Tenant’s default; and</w:t>
      </w:r>
    </w:p>
    <w:p>
      <w:pPr>
        <w:spacing w:after="0" w:line="197" w:lineRule="exact"/>
        <w:rPr>
          <w:rFonts w:ascii="Arial" w:cs="Arial" w:eastAsia="Arial" w:hAnsi="Arial"/>
          <w:sz w:val="18"/>
          <w:szCs w:val="18"/>
          <w:color w:val="auto"/>
        </w:rPr>
      </w:pPr>
    </w:p>
    <w:p>
      <w:pPr>
        <w:jc w:val="both"/>
        <w:ind w:firstLine="1589"/>
        <w:spacing w:after="0" w:line="253" w:lineRule="auto"/>
        <w:tabs>
          <w:tab w:leader="none" w:pos="20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Pursuant to California Code of Civil Procedure Section 1161.1, Landlord may accept a partial payment of rent after serving a notice pursuant to California Code of Civil Procedure Section 1161, and may without further notice to the Tenant, commence and pursue an action to recover the difference between the amount demanded in that notice and the payment actually received. This acceptance of such a partial payment of rent does not constitute a waiver of any rights, including any right the Landlord may have to recover possession of the Leased Premises.</w:t>
      </w:r>
    </w:p>
    <w:p>
      <w:pPr>
        <w:spacing w:after="0" w:line="200" w:lineRule="exact"/>
        <w:rPr>
          <w:rFonts w:ascii="Arial" w:cs="Arial" w:eastAsia="Arial" w:hAnsi="Arial"/>
          <w:sz w:val="18"/>
          <w:szCs w:val="18"/>
          <w:color w:val="auto"/>
        </w:rPr>
      </w:pPr>
    </w:p>
    <w:p>
      <w:pPr>
        <w:ind w:left="2000" w:hanging="438"/>
        <w:spacing w:after="0"/>
        <w:tabs>
          <w:tab w:leader="none" w:pos="2000" w:val="left"/>
        </w:tabs>
        <w:numPr>
          <w:ilvl w:val="1"/>
          <w:numId w:val="67"/>
        </w:numPr>
        <w:rPr>
          <w:rFonts w:ascii="Arial" w:cs="Arial" w:eastAsia="Arial" w:hAnsi="Arial"/>
          <w:sz w:val="15"/>
          <w:szCs w:val="15"/>
          <w:color w:val="auto"/>
        </w:rPr>
      </w:pPr>
      <w:r>
        <w:rPr>
          <w:rFonts w:ascii="Arial" w:cs="Arial" w:eastAsia="Arial" w:hAnsi="Arial"/>
          <w:sz w:val="15"/>
          <w:szCs w:val="15"/>
          <w:color w:val="auto"/>
        </w:rPr>
        <w:t>For purposes of Section 7 of this Lease, the term “rent” shall include the Fixed Rent and all other charges payable by Tenant</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under this Lease.</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7.03. Continuation. </w:t>
      </w:r>
      <w:r>
        <w:rPr>
          <w:rFonts w:ascii="Arial" w:cs="Arial" w:eastAsia="Arial" w:hAnsi="Arial"/>
          <w:sz w:val="18"/>
          <w:szCs w:val="18"/>
          <w:color w:val="auto"/>
        </w:rPr>
        <w:t>If an Event of Default occurs and is continuing, this Lease shall continue in effect for so long as Landlord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this Lease and Landlord shall have the right to enforce all its rights and remedies under this Lease, including the right to recover all rent as it becomes due under this Lease and all other amounts necessary to compensate Landlord for all the detriment proximately caused by Tenant's failure to perform of Tenant's obligations under this Lease, including without limitation, consequential damages where Tenant’s act or omission giving</w:t>
      </w:r>
    </w:p>
    <w:p>
      <w:pPr>
        <w:sectPr>
          <w:pgSz w:w="11900" w:h="16838" w:orient="portrait"/>
          <w:cols w:equalWidth="0" w:num="1">
            <w:col w:w="10400"/>
          </w:cols>
          <w:pgMar w:left="700" w:top="348" w:right="799" w:bottom="1440" w:gutter="0" w:footer="0" w:header="0"/>
        </w:sectPr>
      </w:pPr>
    </w:p>
    <w:bookmarkStart w:id="92" w:name="page93"/>
    <w:bookmarkEnd w:id="92"/>
    <w:p>
      <w:pPr>
        <w:jc w:val="both"/>
        <w:spacing w:after="0" w:line="298" w:lineRule="auto"/>
        <w:rPr>
          <w:sz w:val="20"/>
          <w:szCs w:val="20"/>
          <w:color w:val="auto"/>
        </w:rPr>
      </w:pPr>
      <w:r>
        <w:rPr>
          <w:rFonts w:ascii="Arial" w:cs="Arial" w:eastAsia="Arial" w:hAnsi="Arial"/>
          <w:sz w:val="16"/>
          <w:szCs w:val="16"/>
          <w:color w:val="auto"/>
        </w:rPr>
        <w:t>rise to such claim for consequential damages was committed by Tenant in bad faith or through willful misconduct. Absent a finding of such bad faith or willful misconduct on Tenant’s part, Landlord waives any claim to consequential damages. Acts of maintenance or preservation or efforts to relet the Premises or the appointment of a receiver upon initiative of Landlord to protect Landlord's interest under this Lease shall not constitute a termination of Tenant's right to possession unless written notice of termination is given by Landlord to Tenant.</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7.04. Remedies Cumulative. </w:t>
      </w:r>
      <w:r>
        <w:rPr>
          <w:rFonts w:ascii="Arial" w:cs="Arial" w:eastAsia="Arial" w:hAnsi="Arial"/>
          <w:sz w:val="18"/>
          <w:szCs w:val="18"/>
          <w:color w:val="auto"/>
        </w:rPr>
        <w:t>The remedies of Landlord provided for in this Lease are cumulative and in addition to all other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at law or in equity by statute or otherwise. Exercise by Landlord of any remedy shall not be deemed to be an acceptance of surrender of the Premises by Tenant, either by agreement or by operation of law. Surrender of the Premises can be effectuated only by the written agreement of Landlord and Tenant.</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7.05. Tenant's Primary Duty. </w:t>
      </w:r>
      <w:r>
        <w:rPr>
          <w:rFonts w:ascii="Arial" w:cs="Arial" w:eastAsia="Arial" w:hAnsi="Arial"/>
          <w:sz w:val="17"/>
          <w:szCs w:val="17"/>
          <w:color w:val="auto"/>
        </w:rPr>
        <w:t>All agreements and covenants to be performed or observed by Tenant under this Lease shall,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otherwise specifically set forth herein, be at Tenant's sole cost and expense and without any abatement of rent. If Tenant fails to pay any sum of money to be paid by Tenant or to perform any other act to be performed by Tenant under this Lease and such failure results in an Event of Default, Landlord shall have the right, but shall not be obligated, and without waiving or releasing Tenant from any obligations of Tenant, to make any such payment or to perform any such other act on behalf of Tenant in accordance with this Lease. All sums so paid by Landlord and all costs incurred or paid by Landlord shall be deemed additional rent hereunder and Tenant shall pay the same to Landlord within 10 days following written demand, together with interest on all such sums and costs from the date of expenditure by Landlord to the date of repayment by Tenant at the prime rate, as published by the </w:t>
      </w:r>
      <w:r>
        <w:rPr>
          <w:rFonts w:ascii="Arial" w:cs="Arial" w:eastAsia="Arial" w:hAnsi="Arial"/>
          <w:sz w:val="17"/>
          <w:szCs w:val="17"/>
          <w:u w:val="single" w:color="auto"/>
          <w:color w:val="auto"/>
        </w:rPr>
        <w:t>The</w:t>
      </w:r>
    </w:p>
    <w:p>
      <w:pPr>
        <w:spacing w:after="0" w:line="22"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(or another reputable publication selected by Landlord if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ceases publishing the prime rate), plus 3% or the highest legal rate, if less.</w:t>
      </w:r>
    </w:p>
    <w:p>
      <w:pPr>
        <w:spacing w:after="0" w:line="18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 xml:space="preserve">7.06. Abandoned Property. </w:t>
      </w:r>
      <w:r>
        <w:rPr>
          <w:rFonts w:ascii="Arial" w:cs="Arial" w:eastAsia="Arial" w:hAnsi="Arial"/>
          <w:sz w:val="16"/>
          <w:szCs w:val="16"/>
          <w:color w:val="auto"/>
        </w:rPr>
        <w:t>If Tenant abandons the Premises, or is dispossessed by process of law or otherwise, any movable furniture,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trade fixtures or personal property belonging to Tenant and left in the Premises shall be deemed to be abandoned, at the option of Landlord, and Landlord shall have the right to sell or otherwise dispose of such personal property in any commercially reasonable manner.</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7.07. Landlord Default. </w:t>
      </w:r>
      <w:r>
        <w:rPr>
          <w:rFonts w:ascii="Arial" w:cs="Arial" w:eastAsia="Arial" w:hAnsi="Arial"/>
          <w:sz w:val="17"/>
          <w:szCs w:val="17"/>
          <w:color w:val="auto"/>
        </w:rPr>
        <w:t>If Landlord defaults under this Lease, Tenant shall give written notice to Landlord specifying such default with</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particularity, and Landlord shall have 30 days after receipt of such notice within which to cure such default, or such longer period of time as is reasonably required to cure such default if Landlord is diligently prosecuting such cure after such default notice is delivered by Tenant to Landlord (any such default by Landlord that continues following the giving of the foregoing notice and expiration of the foregoing cure period shall be hereinafter referred to as a “Landlord Default”). In the event of any Landlord Default, Tenant's exclusive remedy shall be (i) the right to bring an action for actual damages; (ii) the right to bring an action for injunctive relief; and (iii) “Tenant’s Self Help Right” (as hereinafter defined); and Tenant shall not, and hereby waives any right to, terminate this Lease or abate or set off against rent (except as permitted by Tenant’s Self Help Right). Tenant waives any claim to consequential damages against Landlord.</w:t>
      </w:r>
    </w:p>
    <w:p>
      <w:pPr>
        <w:spacing w:after="0" w:line="185"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18"/>
          <w:szCs w:val="18"/>
          <w:color w:val="auto"/>
        </w:rPr>
        <w:t>In the event that Landlord defaults in maintaining, repairing or replacing an area or item in the manner required under this Lease, and such default continues after the giving of the notice and expiration of the cure period stated above, Tenant shall have the right, upon at least five business days’ advance written notice to Landlord, to take such action as shall be necessary to correct the applicable default. If Tenant exercises its right hereunder to correct a Landlord default, Tenant shall notify Landlord in writing of the corrective action taken and the cost incurred by Tenant in taking such corrective action, which notice shall be accompanied by reasonably detailed documentation substantiating such corrective action and the cost incurred by Tenant in connection therewith, and Tenant shall thereafter have the right to deduct the reasonable cost incurred by Tenant in taking such action from the next installment(s) of Fixed Rent due hereunder. Tenant’s right under this paragraph shall be referred to as “Tenant’s Self Help Right”.</w:t>
      </w:r>
    </w:p>
    <w:p>
      <w:pPr>
        <w:sectPr>
          <w:pgSz w:w="11900" w:h="16838" w:orient="portrait"/>
          <w:cols w:equalWidth="0" w:num="1">
            <w:col w:w="10400"/>
          </w:cols>
          <w:pgMar w:left="700" w:top="348" w:right="799" w:bottom="1440" w:gutter="0" w:footer="0" w:header="0"/>
        </w:sectPr>
      </w:pPr>
    </w:p>
    <w:bookmarkStart w:id="93" w:name="page94"/>
    <w:bookmarkEnd w:id="93"/>
    <w:p>
      <w:pPr>
        <w:jc w:val="both"/>
        <w:ind w:firstLine="599"/>
        <w:spacing w:after="0" w:line="276" w:lineRule="auto"/>
        <w:rPr>
          <w:sz w:val="20"/>
          <w:szCs w:val="20"/>
          <w:color w:val="auto"/>
        </w:rPr>
      </w:pPr>
      <w:r>
        <w:rPr>
          <w:rFonts w:ascii="Arial" w:cs="Arial" w:eastAsia="Arial" w:hAnsi="Arial"/>
          <w:sz w:val="17"/>
          <w:szCs w:val="17"/>
          <w:color w:val="auto"/>
        </w:rPr>
        <w:t>Landlord and Tenant agree that the provisions of this Section 7.07 above are intended to supersede and replace the provisions of California Civil Code Sections 1932(1), 1941 and 1942, and accordingly, Tenant hereby waives the provisions of California Civil Code Sections 1932(1), 1941 and 1942 and/or any similar or successor law regarding Tenant’s right to terminate this Lease or to make repairs and deduct the expenses of such repairs from the rent due under this Lease (except as permitted by Tenant’s Self Help Right).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8-NONDISTURBANCE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8.01. Subordination, Nondisturbance, and Attornment</w:t>
      </w:r>
      <w:r>
        <w:rPr>
          <w:rFonts w:ascii="Arial" w:cs="Arial" w:eastAsia="Arial" w:hAnsi="Arial"/>
          <w:sz w:val="18"/>
          <w:szCs w:val="18"/>
          <w:color w:val="auto"/>
        </w:rPr>
        <w:t>.</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8.01. Mortgages</w:t>
      </w:r>
      <w:r>
        <w:rPr>
          <w:rFonts w:ascii="Arial" w:cs="Arial" w:eastAsia="Arial" w:hAnsi="Arial"/>
          <w:sz w:val="16"/>
          <w:szCs w:val="16"/>
          <w:color w:val="auto"/>
        </w:rPr>
        <w:t>. If Landlord grants a mortgage or ground lease covering Landlord’s Campus or any portion thereof after the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Lease, Tenant agrees, execute a subordination, non-disturbance and attornment agreement (“SNDA”) in favor of the mortgagee or ground lessor, as applicable, if such SNDA is requested by Landlord. The form of any SNDA shall be in a commercially reasonable form and shall, among other standard provisions, provide that the beneficiary, for itself and any successor in title to Landlord, shall not disturb Tenant in the event of a foreclosure of the lien of such deed of trust or other instrument and shall recognize Tenant under the Lease between Tenant and the successor owner, subject to such carve-outs as might be typically found in an SNDA, provided Tenant is not in default beyond</w:t>
      </w:r>
    </w:p>
    <w:p>
      <w:pPr>
        <w:spacing w:after="0" w:line="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applicable notice and cure. In addition, the SNDA shall not modify the economic terms of this Lease or exempt the successor in title to Landlord from honoring on-going maintenance obligations even if the breach occurred prior to the successor landlord becoming the owner.</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8.02. Estoppel Certificate</w:t>
      </w:r>
      <w:r>
        <w:rPr>
          <w:rFonts w:ascii="Arial" w:cs="Arial" w:eastAsia="Arial" w:hAnsi="Arial"/>
          <w:sz w:val="18"/>
          <w:szCs w:val="18"/>
          <w:color w:val="auto"/>
        </w:rPr>
        <w:t>. The Tenant shall within 15 business days after receiving a written request from the Landlord, execute and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statement certifying: (i) the document comprising this Lease, and any amendments to this Lease; (ii) the Rent Commencement Date and Termination Date, (iii) that this Lease (as amended by any amendments in effect at the time in question) is unmodified and in full effect or in full effect as modified, stating the date and nature of the modification; (iv) whether the Landlord is in default or Tenant has any claims or demands against Landlord and, if so, specifying the Default, claim, or demand; (v) the dates through which Tenant has paid Fixed Rent and the amounts of such payments; and (vi) such other factual information related to this Lease or the Premises as may reasonably be requested. Landlord may furnish the Estoppel Certificate to lenders, purchasers, prospective lenders, and prospective purchasers, who may rely on the information in said Certificate.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8.03. Quiet Possession</w:t>
      </w:r>
      <w:r>
        <w:rPr>
          <w:rFonts w:ascii="Arial" w:cs="Arial" w:eastAsia="Arial" w:hAnsi="Arial"/>
          <w:sz w:val="18"/>
          <w:szCs w:val="18"/>
          <w:color w:val="auto"/>
        </w:rPr>
        <w:t>. During the Lease Term and any renewal or extension thereof, so long as Tenant observes and performs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this Lease to be observed and performed by Tenant, Landlord covenants that the peaceful and quiet enjoyment by Tenant of the Premises will not be disturbed by Landlord or anyone claiming by and through Landlord.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9-LANDLORD'S RIGHTS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9.01. Rules</w:t>
      </w:r>
      <w:r>
        <w:rPr>
          <w:rFonts w:ascii="Arial" w:cs="Arial" w:eastAsia="Arial" w:hAnsi="Arial"/>
          <w:sz w:val="18"/>
          <w:szCs w:val="18"/>
          <w:color w:val="auto"/>
        </w:rPr>
        <w:t>. Tenant and Tenant’s employees, contractors and invitees shall comply with the Rules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modifications and additions thereto. Landlord shall endeavor to enforce the Rules in a reasonable and non-discriminatory fashion, but shall not be responsible for another tenant's failure to observe the Rules. Tenant shall also comply with any health, safety and environmental policies that Landlord establishes for Landlord’s Campus from time to time and reasonably applies to the Premises. Landlord represents that the only such health, safety and environmental policy currently in effect is that Tenant should promptly notify Landlord’s HSE Site Manager (Claudia Ivett Lopez; (805) 228-2512; claudia.lopez4@bayer.com) if any person working in the Premises has tested positive for COVID-19.</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9.02. Mechanic's Liens</w:t>
      </w:r>
      <w:r>
        <w:rPr>
          <w:rFonts w:ascii="Arial" w:cs="Arial" w:eastAsia="Arial" w:hAnsi="Arial"/>
          <w:sz w:val="18"/>
          <w:szCs w:val="18"/>
          <w:color w:val="auto"/>
        </w:rPr>
        <w:t>. Tenant shall, within 30 days after receiving notice of any mechanic's lien for material or work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on Tenant's behalf and at Tenant's request, except for work contracted by Landlord including the Demising Wall, discharge the lien or post a bond equal to the amount of the disputed claim with companies reasonably satisfactory to Landlord. If Tenant posts a bond, it shall diligently and in good faith contest the validity of the lien, and shall cause the</w:t>
      </w:r>
    </w:p>
    <w:p>
      <w:pPr>
        <w:sectPr>
          <w:pgSz w:w="11900" w:h="16838" w:orient="portrait"/>
          <w:cols w:equalWidth="0" w:num="1">
            <w:col w:w="10400"/>
          </w:cols>
          <w:pgMar w:left="700" w:top="348" w:right="799" w:bottom="1440" w:gutter="0" w:footer="0" w:header="0"/>
        </w:sectPr>
      </w:pPr>
    </w:p>
    <w:bookmarkStart w:id="94" w:name="page95"/>
    <w:bookmarkEnd w:id="94"/>
    <w:p>
      <w:pPr>
        <w:jc w:val="both"/>
        <w:spacing w:after="0" w:line="272" w:lineRule="auto"/>
        <w:rPr>
          <w:sz w:val="20"/>
          <w:szCs w:val="20"/>
          <w:color w:val="auto"/>
        </w:rPr>
      </w:pPr>
      <w:r>
        <w:rPr>
          <w:rFonts w:ascii="Arial" w:cs="Arial" w:eastAsia="Arial" w:hAnsi="Arial"/>
          <w:sz w:val="17"/>
          <w:szCs w:val="17"/>
          <w:color w:val="auto"/>
        </w:rPr>
        <w:t>lien to be paid and released no later than 30 days after there is a final judgment or a settlement resolving such lien contest, or, if earlier, 30 days prior to the expiration of the Term. Tenant shall indemnify, defend, and hold Landlord harmless from all losses and expense, including reasonable attorney's fees, incurred arising in connection with these liens. If Tenant does not discharge the lien or post the bond within the thirty 30 day period or defaults on any of its other obligations under this Section, Landlord may pay any amounts, including interest and reasonable legal fees, to discharge the lien. Tenant shall then be liable to Landlord for the amounts paid by Landlord.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9.03. Right to Enter</w:t>
      </w:r>
      <w:r>
        <w:rPr>
          <w:rFonts w:ascii="Arial" w:cs="Arial" w:eastAsia="Arial" w:hAnsi="Arial"/>
          <w:sz w:val="18"/>
          <w:szCs w:val="18"/>
          <w:color w:val="auto"/>
        </w:rPr>
        <w:t>. Landlord and its agents, servants, and employees may enter the Premises at reasonable times with prior written notice</w:t>
      </w:r>
      <w:r>
        <w:rPr>
          <w:rFonts w:ascii="Arial" w:cs="Arial" w:eastAsia="Arial" w:hAnsi="Arial"/>
          <w:sz w:val="18"/>
          <w:szCs w:val="18"/>
          <w:i w:val="1"/>
          <w:iCs w:val="1"/>
          <w:color w:val="auto"/>
        </w:rPr>
        <w:t xml:space="preserve"> </w:t>
      </w:r>
      <w:r>
        <w:rPr>
          <w:rFonts w:ascii="Arial" w:cs="Arial" w:eastAsia="Arial" w:hAnsi="Arial"/>
          <w:sz w:val="18"/>
          <w:szCs w:val="18"/>
          <w:color w:val="auto"/>
        </w:rPr>
        <w:t>given to Tenant, and at any time if an emergency, without charge, liability, or abatement of Fixed Rent or other charges payable hereunder by Tenant, to examine the Premises, to provide the services under Section 3.03 hereof, to make repairs, alterations, improvements, and additions either required by this Lease or advisable to preserve the integrity, safety, and good order of part or all of the Premises or Building ; or to show the Premises to prospective lenders</w:t>
      </w:r>
    </w:p>
    <w:p>
      <w:pPr>
        <w:spacing w:after="0" w:line="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 purchasers and during the 180 days immediately before this Lease ends to prospective tenants, accompanied, if requested by Tenant, by a Tenant representative, provided that in all instances Landlord shall minimize interference with Tenant's business operations to the extent reasonably practicable.</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9.04. Holdover</w:t>
      </w:r>
      <w:r>
        <w:rPr>
          <w:rFonts w:ascii="Arial" w:cs="Arial" w:eastAsia="Arial" w:hAnsi="Arial"/>
          <w:sz w:val="17"/>
          <w:szCs w:val="17"/>
          <w:color w:val="auto"/>
        </w:rPr>
        <w:t>. If Tenant continues occupying the Premises after the Term ends ("Holdover") then (i) if the Holdover is with Landlord's</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it shall be a month-to-month tenancy, terminable on thirty (30) days advance notice by either party. Tenant shall pay at the beginning of each month Fixed Rent and all other charges payable by Tenant as was then due and owing under this Lease during the last month of the Term; or (ii) if the Holdover is without Landlord's written consent, then Tenant shall be a tenant-at-sufferance. Tenant shall pay by the first day of each month during the Holdover an amount equal to 150% the amount of Fixed Rent, plus all other charges payable hereunder, due during the last full month immediately preceding the Holdover period. Landlord shall retain its remedies against Tenant who holds over without written consent, including the right to recover damages in addition to the Holdover Rent.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9.05. Signs</w:t>
      </w:r>
      <w:r>
        <w:rPr>
          <w:rFonts w:ascii="Arial" w:cs="Arial" w:eastAsia="Arial" w:hAnsi="Arial"/>
          <w:sz w:val="18"/>
          <w:szCs w:val="18"/>
          <w:color w:val="auto"/>
        </w:rPr>
        <w:t>. Landlord shall provide Tenant, at Tenant's expense, (i) shared signage on the monument sign for Landlord’s Campus located on</w:t>
      </w:r>
      <w:r>
        <w:rPr>
          <w:rFonts w:ascii="Arial" w:cs="Arial" w:eastAsia="Arial" w:hAnsi="Arial"/>
          <w:sz w:val="18"/>
          <w:szCs w:val="18"/>
          <w:i w:val="1"/>
          <w:iCs w:val="1"/>
          <w:color w:val="auto"/>
        </w:rPr>
        <w:t xml:space="preserve"> </w:t>
      </w:r>
      <w:r>
        <w:rPr>
          <w:rFonts w:ascii="Arial" w:cs="Arial" w:eastAsia="Arial" w:hAnsi="Arial"/>
          <w:sz w:val="18"/>
          <w:szCs w:val="18"/>
          <w:color w:val="auto"/>
        </w:rPr>
        <w:t>Camino Del Sol; (ii) listing on the Building directory and appropriate floor directories; and (iii) a sign on the exterior wall or door of the Premises inside the Building, with the design of all of the foregoing subject to the approval of Landlord, which approval shall not be unreasonably withheld. No other signage shall be installed without the prior written consent of Landlord. All of Tenant’s signage shall be subject to applicable municipal codes and the applicable restrictions of McInnes Ranch Association.</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9.06. Close Property</w:t>
      </w:r>
      <w:r>
        <w:rPr>
          <w:rFonts w:ascii="Arial" w:cs="Arial" w:eastAsia="Arial" w:hAnsi="Arial"/>
          <w:sz w:val="18"/>
          <w:szCs w:val="18"/>
          <w:color w:val="auto"/>
        </w:rPr>
        <w:t>. Landlord may close the Building or other parts of Landlord’s, in emergency situations as exclusively and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Landlord. Without limiting the foregoing, Landlord shall have the right to close the Building, limit access to the Building, or to impose restrictions related to the use of the Building or other parts of Landlord’s Campus, in Landlord’s sole discretion, to deal with any public health emergencies, including, without limitation, the public health emergency related to the COVID-19 coronavirus. Landlord shall also have the right to close Landlord’s Campus or portions thereof during periods of general construction, during which times admittance may be gained only under such regulations as may be prescribed by Landlord. During periods of construction Landlord agrees to use its reasonable efforts to avoid unreasonable interference with Tenant's business operations and access to Tenant's Premises and Landlord agrees to provide reasonable notice to Tenant in nonemergency situations if such closure shall affect Tenant's access to its Premises or business operations.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9.07. Sources &amp; Grades of Materials</w:t>
      </w:r>
      <w:r>
        <w:rPr>
          <w:rFonts w:ascii="Arial" w:cs="Arial" w:eastAsia="Arial" w:hAnsi="Arial"/>
          <w:sz w:val="18"/>
          <w:szCs w:val="18"/>
          <w:color w:val="auto"/>
        </w:rPr>
        <w:t>. Subject to terms and conditions of this Lease, Landlord may designate all sources of all services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Common Areas and Landlord may designate the source and grade of all materials and all personnel for all construction, repairs and maintenance which Landlord is obligated to perform under this Lease, whether the same is within the Premises or about other portions of Landlord’s Campus.</w:t>
      </w:r>
    </w:p>
    <w:p>
      <w:pPr>
        <w:sectPr>
          <w:pgSz w:w="11900" w:h="16838" w:orient="portrait"/>
          <w:cols w:equalWidth="0" w:num="1">
            <w:col w:w="10400"/>
          </w:cols>
          <w:pgMar w:left="700" w:top="348" w:right="799" w:bottom="1440" w:gutter="0" w:footer="0" w:header="0"/>
        </w:sectPr>
      </w:pPr>
    </w:p>
    <w:bookmarkStart w:id="95" w:name="page96"/>
    <w:bookmarkEnd w:id="95"/>
    <w:p>
      <w:pPr>
        <w:jc w:val="both"/>
        <w:spacing w:after="0" w:line="252" w:lineRule="auto"/>
        <w:rPr>
          <w:sz w:val="20"/>
          <w:szCs w:val="20"/>
          <w:color w:val="auto"/>
        </w:rPr>
      </w:pPr>
      <w:r>
        <w:rPr>
          <w:rFonts w:ascii="Arial" w:cs="Arial" w:eastAsia="Arial" w:hAnsi="Arial"/>
          <w:sz w:val="18"/>
          <w:szCs w:val="18"/>
          <w:i w:val="1"/>
          <w:iCs w:val="1"/>
          <w:color w:val="auto"/>
        </w:rPr>
        <w:t>9.08. Reserved Easements</w:t>
      </w:r>
      <w:r>
        <w:rPr>
          <w:rFonts w:ascii="Arial" w:cs="Arial" w:eastAsia="Arial" w:hAnsi="Arial"/>
          <w:sz w:val="18"/>
          <w:szCs w:val="18"/>
          <w:color w:val="auto"/>
        </w:rPr>
        <w:t>. Subject to the terms and conditions of Section 9.03 and any obligations to provide Tenant notice, Landlord may</w:t>
      </w:r>
      <w:r>
        <w:rPr>
          <w:rFonts w:ascii="Arial" w:cs="Arial" w:eastAsia="Arial" w:hAnsi="Arial"/>
          <w:sz w:val="18"/>
          <w:szCs w:val="18"/>
          <w:i w:val="1"/>
          <w:iCs w:val="1"/>
          <w:color w:val="auto"/>
        </w:rPr>
        <w:t xml:space="preserve"> </w:t>
      </w:r>
      <w:r>
        <w:rPr>
          <w:rFonts w:ascii="Arial" w:cs="Arial" w:eastAsia="Arial" w:hAnsi="Arial"/>
          <w:sz w:val="18"/>
          <w:szCs w:val="18"/>
          <w:color w:val="auto"/>
        </w:rPr>
        <w:t>enter the Premises for inspection purposes, or perform any maintenance, repairs, replacements or alterations for the benefit of the Property or any other tenant. Landlord retains an easement above the drop ceiling, below the floor and inside the walls of the Premises to install, repair, operate and replace such pipes, duct work, conduits, utility lines, wires and other items as Landlord may install from time to time to serve the Building and other tenants in the Building. To this end, Landlord retains such license or easement in and through the Premises as shall be reasonably required by Landlord.</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9.09. Temporary Suspension</w:t>
      </w:r>
      <w:r>
        <w:rPr>
          <w:rFonts w:ascii="Arial" w:cs="Arial" w:eastAsia="Arial" w:hAnsi="Arial"/>
          <w:sz w:val="18"/>
          <w:szCs w:val="18"/>
          <w:color w:val="auto"/>
        </w:rPr>
        <w:t>. Subject to the terms and conditions of the Lease, including any abatement provisions, Landlord may</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temporarily close portions of the Building, or the Common Areas, or other portions of Landlord’s Campus, or may temporarily suspend certain building services to facilitate the proper maintenance and repair of the Building or other parts of Landlord’s Campus. During periods of temporary closure, Landlord agrees to use its reasonable efforts to avoid unreasonable interference with Tenant's business operations and access to the Premises and Landlord agrees to provide reasonable notice to Tenant in nonemergency situations if such closure shall affect Tenant's access to its Premises or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RENEWAL OPTIONS.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10.01 Renewal Periods; Conditions. </w:t>
      </w:r>
      <w:r>
        <w:rPr>
          <w:rFonts w:ascii="Arial" w:cs="Arial" w:eastAsia="Arial" w:hAnsi="Arial"/>
          <w:sz w:val="18"/>
          <w:szCs w:val="18"/>
          <w:color w:val="auto"/>
        </w:rPr>
        <w:t>Tenant shall have the right and option to extend the term of this Lease for two, five-year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(each, a “Renewal Period”), upon the following additional terms and conditions:</w:t>
      </w:r>
    </w:p>
    <w:p>
      <w:pPr>
        <w:spacing w:after="0" w:line="186" w:lineRule="exact"/>
        <w:rPr>
          <w:sz w:val="20"/>
          <w:szCs w:val="20"/>
          <w:color w:val="auto"/>
        </w:rPr>
      </w:pPr>
    </w:p>
    <w:p>
      <w:pPr>
        <w:ind w:firstLine="602"/>
        <w:spacing w:after="0" w:line="250" w:lineRule="auto"/>
        <w:tabs>
          <w:tab w:leader="none" w:pos="987" w:val="left"/>
        </w:tabs>
        <w:numPr>
          <w:ilvl w:val="0"/>
          <w:numId w:val="68"/>
        </w:numPr>
        <w:rPr>
          <w:rFonts w:ascii="Arial" w:cs="Arial" w:eastAsia="Arial" w:hAnsi="Arial"/>
          <w:sz w:val="20"/>
          <w:szCs w:val="20"/>
          <w:color w:val="auto"/>
        </w:rPr>
      </w:pPr>
      <w:r>
        <w:rPr>
          <w:rFonts w:ascii="Arial" w:cs="Arial" w:eastAsia="Arial" w:hAnsi="Arial"/>
          <w:sz w:val="18"/>
          <w:szCs w:val="18"/>
          <w:color w:val="auto"/>
        </w:rPr>
        <w:t>No Event of Default has occurred under this Lease and is continuing at the time the applicable renewal option is exercised, or is continuing at the time of the commencement of the applicable renewal period.</w:t>
      </w:r>
    </w:p>
    <w:p>
      <w:pPr>
        <w:spacing w:after="0" w:line="207" w:lineRule="exact"/>
        <w:rPr>
          <w:rFonts w:ascii="Arial" w:cs="Arial" w:eastAsia="Arial" w:hAnsi="Arial"/>
          <w:sz w:val="20"/>
          <w:szCs w:val="20"/>
          <w:color w:val="auto"/>
        </w:rPr>
      </w:pPr>
    </w:p>
    <w:p>
      <w:pPr>
        <w:jc w:val="both"/>
        <w:ind w:firstLine="602"/>
        <w:spacing w:after="0" w:line="263" w:lineRule="auto"/>
        <w:tabs>
          <w:tab w:leader="none" w:pos="1056" w:val="left"/>
        </w:tabs>
        <w:numPr>
          <w:ilvl w:val="0"/>
          <w:numId w:val="68"/>
        </w:numPr>
        <w:rPr>
          <w:rFonts w:ascii="Arial" w:cs="Arial" w:eastAsia="Arial" w:hAnsi="Arial"/>
          <w:sz w:val="19"/>
          <w:szCs w:val="19"/>
          <w:color w:val="auto"/>
        </w:rPr>
      </w:pPr>
      <w:r>
        <w:rPr>
          <w:rFonts w:ascii="Arial" w:cs="Arial" w:eastAsia="Arial" w:hAnsi="Arial"/>
          <w:sz w:val="17"/>
          <w:szCs w:val="17"/>
          <w:color w:val="auto"/>
        </w:rPr>
        <w:t>Tenant shall give to Landlord written notice of the exercise of the applicable renewal option not less than one year prior to the expiration of the term that immediately precedes the Renewal Period. If Landlord does not receive Tenant's written notice at least one year prior to the commencement of the applicable Renewal Period, Tenant shall be deemed to have waived all remaining renewal options under this Lease. Time is of the essence with respect to exercise of each renewal option, and Landlord may treat the renewal option as lapsed and let all or any part of the Premises to other persons for all or any part of the remaining Renewal Periods if the Landlord has not received Tenant's written renewal notice at least one year prior to commencement of the applicable Renewal Period.</w:t>
      </w:r>
    </w:p>
    <w:p>
      <w:pPr>
        <w:spacing w:after="0" w:line="226" w:lineRule="exact"/>
        <w:rPr>
          <w:rFonts w:ascii="Arial" w:cs="Arial" w:eastAsia="Arial" w:hAnsi="Arial"/>
          <w:sz w:val="19"/>
          <w:szCs w:val="19"/>
          <w:color w:val="auto"/>
        </w:rPr>
      </w:pPr>
    </w:p>
    <w:p>
      <w:pPr>
        <w:ind w:left="1100" w:hanging="498"/>
        <w:spacing w:after="0"/>
        <w:tabs>
          <w:tab w:leader="none" w:pos="1100" w:val="left"/>
        </w:tabs>
        <w:numPr>
          <w:ilvl w:val="0"/>
          <w:numId w:val="68"/>
        </w:numPr>
        <w:rPr>
          <w:rFonts w:ascii="Arial" w:cs="Arial" w:eastAsia="Arial" w:hAnsi="Arial"/>
          <w:sz w:val="20"/>
          <w:szCs w:val="20"/>
          <w:color w:val="auto"/>
        </w:rPr>
      </w:pPr>
      <w:r>
        <w:rPr>
          <w:rFonts w:ascii="Arial" w:cs="Arial" w:eastAsia="Arial" w:hAnsi="Arial"/>
          <w:sz w:val="18"/>
          <w:szCs w:val="18"/>
          <w:color w:val="auto"/>
        </w:rPr>
        <w:t>This Lease is in full force and effect.</w:t>
      </w:r>
    </w:p>
    <w:p>
      <w:pPr>
        <w:spacing w:after="0" w:line="219" w:lineRule="exact"/>
        <w:rPr>
          <w:rFonts w:ascii="Arial" w:cs="Arial" w:eastAsia="Arial" w:hAnsi="Arial"/>
          <w:sz w:val="20"/>
          <w:szCs w:val="20"/>
          <w:color w:val="auto"/>
        </w:rPr>
      </w:pPr>
    </w:p>
    <w:p>
      <w:pPr>
        <w:ind w:firstLine="602"/>
        <w:spacing w:after="0" w:line="250" w:lineRule="auto"/>
        <w:tabs>
          <w:tab w:leader="none" w:pos="1212" w:val="left"/>
        </w:tabs>
        <w:numPr>
          <w:ilvl w:val="0"/>
          <w:numId w:val="68"/>
        </w:numPr>
        <w:rPr>
          <w:rFonts w:ascii="Arial" w:cs="Arial" w:eastAsia="Arial" w:hAnsi="Arial"/>
          <w:sz w:val="20"/>
          <w:szCs w:val="20"/>
          <w:color w:val="auto"/>
        </w:rPr>
      </w:pPr>
      <w:r>
        <w:rPr>
          <w:rFonts w:ascii="Arial" w:cs="Arial" w:eastAsia="Arial" w:hAnsi="Arial"/>
          <w:sz w:val="18"/>
          <w:szCs w:val="18"/>
          <w:color w:val="auto"/>
        </w:rPr>
        <w:t>The Tenant named herein has not assigned its interest under this Lease, and the Tenant named herein is then in actual occupancy of the entire Premises demised.</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10.02 Lease Terms During Renewal Periods. </w:t>
      </w:r>
      <w:r>
        <w:rPr>
          <w:rFonts w:ascii="Arial" w:cs="Arial" w:eastAsia="Arial" w:hAnsi="Arial"/>
          <w:sz w:val="17"/>
          <w:szCs w:val="17"/>
          <w:color w:val="auto"/>
        </w:rPr>
        <w:t>All provisions of this Lease shall apply to Tenant's leasing of the Premises during each</w:t>
      </w:r>
      <w:r>
        <w:rPr>
          <w:rFonts w:ascii="Arial" w:cs="Arial" w:eastAsia="Arial" w:hAnsi="Arial"/>
          <w:sz w:val="17"/>
          <w:szCs w:val="17"/>
          <w:i w:val="1"/>
          <w:iCs w:val="1"/>
          <w:color w:val="auto"/>
        </w:rPr>
        <w:t xml:space="preserve"> </w:t>
      </w:r>
      <w:r>
        <w:rPr>
          <w:rFonts w:ascii="Arial" w:cs="Arial" w:eastAsia="Arial" w:hAnsi="Arial"/>
          <w:sz w:val="17"/>
          <w:szCs w:val="17"/>
          <w:color w:val="auto"/>
        </w:rPr>
        <w:t>Renewal Period. As provided in the Key Lease Terms and on the Fixed Rent Schedule, during each Lease Year of a Renewal Period the annual Fixed Rent during each Lease Year of a Renewal Period, and the corresponding monthly installments thereof, shall be 103% of the annual Fixed Rent (and the corresponding monthly installment thereof) for the immediately preceding Lease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11-RIGHT OF FIRST OPPORTUNITY REGARDING ADJACENT SPACE</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i w:val="1"/>
          <w:iCs w:val="1"/>
          <w:color w:val="auto"/>
        </w:rPr>
        <w:t>11.01</w:t>
      </w:r>
      <w:r>
        <w:rPr>
          <w:sz w:val="20"/>
          <w:szCs w:val="20"/>
          <w:color w:val="auto"/>
        </w:rPr>
        <w:tab/>
      </w:r>
      <w:r>
        <w:rPr>
          <w:rFonts w:ascii="Arial" w:cs="Arial" w:eastAsia="Arial" w:hAnsi="Arial"/>
          <w:sz w:val="16"/>
          <w:szCs w:val="16"/>
          <w:i w:val="1"/>
          <w:iCs w:val="1"/>
          <w:color w:val="auto"/>
        </w:rPr>
        <w:t xml:space="preserve">Section 11 Conditions. </w:t>
      </w:r>
      <w:r>
        <w:rPr>
          <w:rFonts w:ascii="Arial" w:cs="Arial" w:eastAsia="Arial" w:hAnsi="Arial"/>
          <w:sz w:val="16"/>
          <w:szCs w:val="16"/>
          <w:color w:val="auto"/>
        </w:rPr>
        <w:t>For purposes of this Lease, the following conditions shall be referred to as the “Section 11 Conditions”:</w:t>
      </w:r>
    </w:p>
    <w:p>
      <w:pPr>
        <w:spacing w:after="0" w:line="255" w:lineRule="exact"/>
        <w:rPr>
          <w:sz w:val="20"/>
          <w:szCs w:val="20"/>
          <w:color w:val="auto"/>
        </w:rPr>
      </w:pPr>
    </w:p>
    <w:p>
      <w:pPr>
        <w:ind w:left="1000" w:hanging="398"/>
        <w:spacing w:after="0"/>
        <w:tabs>
          <w:tab w:leader="none" w:pos="1000" w:val="left"/>
        </w:tabs>
        <w:numPr>
          <w:ilvl w:val="0"/>
          <w:numId w:val="69"/>
        </w:numPr>
        <w:rPr>
          <w:rFonts w:ascii="Arial" w:cs="Arial" w:eastAsia="Arial" w:hAnsi="Arial"/>
          <w:sz w:val="20"/>
          <w:szCs w:val="20"/>
          <w:color w:val="auto"/>
        </w:rPr>
      </w:pPr>
      <w:r>
        <w:rPr>
          <w:rFonts w:ascii="Arial" w:cs="Arial" w:eastAsia="Arial" w:hAnsi="Arial"/>
          <w:sz w:val="18"/>
          <w:szCs w:val="18"/>
          <w:color w:val="auto"/>
        </w:rPr>
        <w:t>No Event of Default has occurred under this Lease and is continuing.</w:t>
      </w:r>
    </w:p>
    <w:p>
      <w:pPr>
        <w:spacing w:after="0" w:line="244" w:lineRule="exact"/>
        <w:rPr>
          <w:rFonts w:ascii="Arial" w:cs="Arial" w:eastAsia="Arial" w:hAnsi="Arial"/>
          <w:sz w:val="20"/>
          <w:szCs w:val="20"/>
          <w:color w:val="auto"/>
        </w:rPr>
      </w:pPr>
    </w:p>
    <w:p>
      <w:pPr>
        <w:ind w:left="1040" w:hanging="438"/>
        <w:spacing w:after="0"/>
        <w:tabs>
          <w:tab w:leader="none" w:pos="1040" w:val="left"/>
        </w:tabs>
        <w:numPr>
          <w:ilvl w:val="0"/>
          <w:numId w:val="69"/>
        </w:numPr>
        <w:rPr>
          <w:rFonts w:ascii="Arial" w:cs="Arial" w:eastAsia="Arial" w:hAnsi="Arial"/>
          <w:sz w:val="20"/>
          <w:szCs w:val="20"/>
          <w:color w:val="auto"/>
        </w:rPr>
      </w:pPr>
      <w:r>
        <w:rPr>
          <w:rFonts w:ascii="Arial" w:cs="Arial" w:eastAsia="Arial" w:hAnsi="Arial"/>
          <w:sz w:val="18"/>
          <w:szCs w:val="18"/>
          <w:color w:val="auto"/>
        </w:rPr>
        <w:t>This Lease must be in full force and effect.</w:t>
      </w:r>
    </w:p>
    <w:p>
      <w:pPr>
        <w:sectPr>
          <w:pgSz w:w="11900" w:h="16838" w:orient="portrait"/>
          <w:cols w:equalWidth="0" w:num="1">
            <w:col w:w="10400"/>
          </w:cols>
          <w:pgMar w:left="700" w:top="348" w:right="799" w:bottom="1440" w:gutter="0" w:footer="0" w:header="0"/>
        </w:sectPr>
      </w:pPr>
    </w:p>
    <w:bookmarkStart w:id="96" w:name="page97"/>
    <w:bookmarkEnd w:id="96"/>
    <w:p>
      <w:pPr>
        <w:ind w:left="1100" w:hanging="498"/>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18"/>
          <w:szCs w:val="18"/>
          <w:color w:val="auto"/>
        </w:rPr>
        <w:t>The Tenant named herein shall not have assigned its interest under this Lease or sublet any portion of the Premises.</w:t>
      </w:r>
    </w:p>
    <w:p>
      <w:pPr>
        <w:spacing w:after="0" w:line="57" w:lineRule="exact"/>
        <w:rPr>
          <w:rFonts w:ascii="Arial" w:cs="Arial" w:eastAsia="Arial" w:hAnsi="Arial"/>
          <w:sz w:val="20"/>
          <w:szCs w:val="20"/>
          <w:color w:val="auto"/>
        </w:rPr>
      </w:pPr>
    </w:p>
    <w:p>
      <w:pPr>
        <w:ind w:left="1100" w:hanging="498"/>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18"/>
          <w:szCs w:val="18"/>
          <w:color w:val="auto"/>
        </w:rPr>
        <w:t>The Tenant named herein is then in actual occupancy of the entire Premises demised hereunder.</w:t>
      </w:r>
    </w:p>
    <w:p>
      <w:pPr>
        <w:spacing w:after="0" w:line="232" w:lineRule="exact"/>
        <w:rPr>
          <w:rFonts w:ascii="Arial" w:cs="Arial" w:eastAsia="Arial" w:hAnsi="Arial"/>
          <w:sz w:val="20"/>
          <w:szCs w:val="20"/>
          <w:color w:val="auto"/>
        </w:rPr>
      </w:pPr>
    </w:p>
    <w:p>
      <w:pPr>
        <w:ind w:left="1040" w:hanging="438"/>
        <w:spacing w:after="0"/>
        <w:tabs>
          <w:tab w:leader="none" w:pos="1040" w:val="left"/>
        </w:tabs>
        <w:numPr>
          <w:ilvl w:val="0"/>
          <w:numId w:val="70"/>
        </w:numPr>
        <w:rPr>
          <w:rFonts w:ascii="Arial" w:cs="Arial" w:eastAsia="Arial" w:hAnsi="Arial"/>
          <w:sz w:val="20"/>
          <w:szCs w:val="20"/>
          <w:color w:val="auto"/>
        </w:rPr>
      </w:pPr>
      <w:r>
        <w:rPr>
          <w:rFonts w:ascii="Arial" w:cs="Arial" w:eastAsia="Arial" w:hAnsi="Arial"/>
          <w:sz w:val="18"/>
          <w:szCs w:val="18"/>
          <w:color w:val="auto"/>
        </w:rPr>
        <w:t>There is at least five Lease Years remaining during the Term.</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11.02. Section 11 Terms. </w:t>
      </w:r>
      <w:r>
        <w:rPr>
          <w:rFonts w:ascii="Arial" w:cs="Arial" w:eastAsia="Arial" w:hAnsi="Arial"/>
          <w:sz w:val="17"/>
          <w:szCs w:val="17"/>
          <w:color w:val="auto"/>
        </w:rPr>
        <w:t>If during the Term (except as provided in part (v) of the Section 11 Conditions), Landlord desires to lease to a</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(as hereinafter defined) any space in the Building that is adjacent to the Premises (any such adjacent space, the “Subject Adjacent Space”), then provided the Section 11 Conditions are satisfied at such time, Landlord shall give Tenant written notice (a “ROFO Notice”) that identifies the Subject Adjacent Space and states that (i) Landlord desires to lease the Subject Adjacent Space to a Third Party, and (ii) Tenant has the first opportunity to lease the Subject Adjacent Space on the following terms (the “Section 11 Terms”):</w:t>
      </w:r>
    </w:p>
    <w:p>
      <w:pPr>
        <w:spacing w:after="0" w:line="180" w:lineRule="exact"/>
        <w:rPr>
          <w:sz w:val="20"/>
          <w:szCs w:val="20"/>
          <w:color w:val="auto"/>
        </w:rPr>
      </w:pPr>
    </w:p>
    <w:p>
      <w:pPr>
        <w:jc w:val="both"/>
        <w:ind w:firstLine="429"/>
        <w:spacing w:after="0" w:line="264" w:lineRule="auto"/>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Subject Adjacent Space shall be added to, and considered part of, the Premises under this Lease and Tenant’s leasing of the Subject Adjacent Space shall therefore be subject to the then remaining terms and conditions of this Lease, provided that the fixed rent for the Subject Adjacent Space shall be the same per square foot fixed rent that Tenant is then required to pay for the current Premises under this Lease, and such fixed rent for the Subject Adjacent Space shall be subject to the same increases (with respect to the percentage of the increase and the time the increase becomes effective) that are applicable to the Fixed Rent under this Lease.</w:t>
      </w:r>
    </w:p>
    <w:p>
      <w:pPr>
        <w:spacing w:after="0" w:line="3" w:lineRule="exact"/>
        <w:rPr>
          <w:rFonts w:ascii="Arial" w:cs="Arial" w:eastAsia="Arial" w:hAnsi="Arial"/>
          <w:sz w:val="17"/>
          <w:szCs w:val="17"/>
          <w:color w:val="auto"/>
        </w:rPr>
      </w:pPr>
    </w:p>
    <w:p>
      <w:pPr>
        <w:ind w:firstLine="379"/>
        <w:spacing w:after="0" w:line="246" w:lineRule="auto"/>
        <w:tabs>
          <w:tab w:leader="none" w:pos="8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Tenant’s obligations under Section 2.03 hereof shall be adjusted to take into account that Tenant the Premises has been expanded to include the Subject Adjacent Space.</w:t>
      </w:r>
    </w:p>
    <w:p>
      <w:pPr>
        <w:ind w:firstLine="329"/>
        <w:spacing w:after="0" w:line="258" w:lineRule="auto"/>
        <w:tabs>
          <w:tab w:leader="none" w:pos="8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Tenant shall accept the Subject Adjacent Space in its then “as-is” condition and Landlord shall have no obligations to make any improvements to the Subject Adjacent Space.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Landlord shall have no obligation to lease any Subject Adjacent Space to Tenant if at the time Landlord desires to lease such Subject Adjacent Space to a Third Party, all of the Section 11 Conditions have not been satisfied.</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11.03. Exercise and Non-exercise of Right of First Opportunity. </w:t>
      </w:r>
      <w:r>
        <w:rPr>
          <w:rFonts w:ascii="Arial" w:cs="Arial" w:eastAsia="Arial" w:hAnsi="Arial"/>
          <w:sz w:val="18"/>
          <w:szCs w:val="18"/>
          <w:color w:val="auto"/>
        </w:rPr>
        <w:t>Upon the delivery of a ROFO Notice to Tenant, Tenant shall have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option, to lease the Subject Adjacent Space described in the ROFO Notice on the Section 11 Terms by delivering notice of the exercise of such right to Landlord within 10 business days after receipt of Landlord’s, time being of the essence. If Tenant timely elects to lease the Subject Adjacent Space, it shall, within 15 days after such election, enter into an amendment to this Lease on a form prepared by Landlord and reasonably acceptable to Tenant, incorporating the Subject Adjacent Space as part of the Premises under this Lease, subject to the Section 11 Terms. If Tenant shall not elect to lease the Subject Adjacent Space within such 10-business day period, then Tenant shall have no further rights under this Lease with respect to the Subject Adjacent Space or any portion thereof, and Landlord shall be free to lease any or all of the Subject Adjacent Space or any portion thereof to any person or entity from time to time on such terms and conditions as Landlord may deem appropriate.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11.04. Third Party; Exempt Party</w:t>
      </w:r>
      <w:r>
        <w:rPr>
          <w:rFonts w:ascii="Arial" w:cs="Arial" w:eastAsia="Arial" w:hAnsi="Arial"/>
          <w:sz w:val="18"/>
          <w:szCs w:val="18"/>
          <w:color w:val="auto"/>
        </w:rPr>
        <w:t>. For purposes of this Section 11, a “Third Party” shall mean any person or entity other than an “Exempt</w:t>
      </w:r>
      <w:r>
        <w:rPr>
          <w:rFonts w:ascii="Arial" w:cs="Arial" w:eastAsia="Arial" w:hAnsi="Arial"/>
          <w:sz w:val="18"/>
          <w:szCs w:val="18"/>
          <w:i w:val="1"/>
          <w:iCs w:val="1"/>
          <w:color w:val="auto"/>
        </w:rPr>
        <w:t xml:space="preserve"> </w:t>
      </w:r>
      <w:r>
        <w:rPr>
          <w:rFonts w:ascii="Arial" w:cs="Arial" w:eastAsia="Arial" w:hAnsi="Arial"/>
          <w:sz w:val="18"/>
          <w:szCs w:val="18"/>
          <w:color w:val="auto"/>
        </w:rPr>
        <w:t>Party”. For purposes of this Section 11, an “Exempt Party” shall mean (i) any entity that merges with or merges into the then current Landlord; (ii) any entity that the then current Landlord is merged into; or (iii) any entity that controls, or is controlled by, or under common control with, the then current Landlord; and (iv) any then current tenant of the Subject Adjacent Space. Tenant shall have no right to lease any space adjacent to the Premises if Landlord desires to lease such space to an Exempt Party.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12-ASSIGNMENT AND SUBLEASE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12.01. Consent of Landlord Required</w:t>
      </w:r>
      <w:r>
        <w:rPr>
          <w:rFonts w:ascii="Arial" w:cs="Arial" w:eastAsia="Arial" w:hAnsi="Arial"/>
          <w:sz w:val="18"/>
          <w:szCs w:val="18"/>
          <w:color w:val="auto"/>
        </w:rPr>
        <w:t>. Subject to Section 12.04 below, Tenant shall not, directly or indirectly, without the prior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Landlord, assign this Lease or any interest herein, or sublease or license the Premises or any part thereof or permit the use or occupancy of the Premises by any person, organization or entity other than Tenant. Tenant shall not, directly or indirectly, without the prior written consent of Landlord, pledge, mortgage or hypothecate this Lease or any</w:t>
      </w:r>
    </w:p>
    <w:p>
      <w:pPr>
        <w:sectPr>
          <w:pgSz w:w="11900" w:h="16838" w:orient="portrait"/>
          <w:cols w:equalWidth="0" w:num="1">
            <w:col w:w="10400"/>
          </w:cols>
          <w:pgMar w:left="700" w:top="360" w:right="799" w:bottom="1440" w:gutter="0" w:footer="0" w:header="0"/>
        </w:sectPr>
      </w:pPr>
    </w:p>
    <w:bookmarkStart w:id="97" w:name="page98"/>
    <w:bookmarkEnd w:id="97"/>
    <w:p>
      <w:pPr>
        <w:jc w:val="both"/>
        <w:spacing w:after="0" w:line="261" w:lineRule="auto"/>
        <w:rPr>
          <w:sz w:val="20"/>
          <w:szCs w:val="20"/>
          <w:color w:val="auto"/>
        </w:rPr>
      </w:pPr>
      <w:r>
        <w:rPr>
          <w:rFonts w:ascii="Arial" w:cs="Arial" w:eastAsia="Arial" w:hAnsi="Arial"/>
          <w:sz w:val="18"/>
          <w:szCs w:val="18"/>
          <w:color w:val="auto"/>
        </w:rPr>
        <w:t>interest herein. Landlord may grant or withhold its consent to any proposed transaction described above in this Section 12.01 in Landlord’s sole, but reasonable discretion. Any of the foregoing acts, without such prior written consent of Landlord, shall be void and shall, at the option of Landlord, constitute a default that entitles Landlord to terminate this Lease.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12.02. Assignee or Subtenant Information. </w:t>
      </w:r>
      <w:r>
        <w:rPr>
          <w:rFonts w:ascii="Arial" w:cs="Arial" w:eastAsia="Arial" w:hAnsi="Arial"/>
          <w:sz w:val="17"/>
          <w:szCs w:val="17"/>
          <w:color w:val="auto"/>
        </w:rPr>
        <w:t>If Tenant wishes to assign this Lease or sublease (or license) all or any part of the Premises</w:t>
      </w:r>
      <w:r>
        <w:rPr>
          <w:rFonts w:ascii="Arial" w:cs="Arial" w:eastAsia="Arial" w:hAnsi="Arial"/>
          <w:sz w:val="17"/>
          <w:szCs w:val="17"/>
          <w:i w:val="1"/>
          <w:iCs w:val="1"/>
          <w:color w:val="auto"/>
        </w:rPr>
        <w:t xml:space="preserve"> </w:t>
      </w:r>
      <w:r>
        <w:rPr>
          <w:rFonts w:ascii="Arial" w:cs="Arial" w:eastAsia="Arial" w:hAnsi="Arial"/>
          <w:sz w:val="17"/>
          <w:szCs w:val="17"/>
          <w:color w:val="auto"/>
        </w:rPr>
        <w:t>Tenant shall give written notice to Landlord identifying the intended assignee or subtenant (licensee) by name and address and specifying all of the terms of the intended assignment or sublease (license). Tenant shall give Landlord such additional information concerning the intended assignee or subtenant (licensee) (including complete financial statements and a business history) and the intended assignment or sublease (license) (including true copies thereof) as Landlord reasonably requests.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12.03. Assignment or Sublease Instrument. </w:t>
      </w:r>
      <w:r>
        <w:rPr>
          <w:rFonts w:ascii="Arial" w:cs="Arial" w:eastAsia="Arial" w:hAnsi="Arial"/>
          <w:sz w:val="17"/>
          <w:szCs w:val="17"/>
          <w:color w:val="auto"/>
        </w:rPr>
        <w:t>Tenant agrees that the instrument by which any assignment, sublease or license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Landlord consents is accomplished shall expressly provide that the assignee, subtenant or licensee will perform all of the covenants to be performed by Tenant under this Lease (in the case of a sublease or license, only insofar as such covenants relate to the portion of the Premises subject to such sublease or license) as and when performance is due after the effective date of the assignment, sublease or license and that Landlord will have the right to enforce such covenants directly against such assignee, subtenant or licensee. Any purported assignment, sublease or license without an instrument containing the foregoing provisions shall be void. Tenant shall in all cases remain liable for the performance by any assignee, subtenant or licensee of all such covenants.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12.04. Completion. </w:t>
      </w:r>
      <w:r>
        <w:rPr>
          <w:rFonts w:ascii="Arial" w:cs="Arial" w:eastAsia="Arial" w:hAnsi="Arial"/>
          <w:sz w:val="16"/>
          <w:szCs w:val="16"/>
          <w:color w:val="auto"/>
        </w:rPr>
        <w:t>If Landlord consents in writing, Tenant may complete the intended assignment or sublease (license)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covenants: (a) the assignment or sublease (license) shall be on the same terms, in all material respects, as set forth in the written notice given by Tenant to Landlord, (b) no assignment or sublease (license) shall be valid and no assignee or subtenant shall take possession of the Premises or any part thereof until an executed duplicate original of such assignment or sublease (license), in compliance with Section 12.01 hereof, has been delivered to Landlord, and (c) all "excess rent" (as hereinafter defined) derived from such assignment or sublease (license) shall be paid to Landlord. Such excess rent shall be deemed to be, and shall be paid by Tenant to Landlord as additional rent. Tenant shall pay such excess rent to Landlord immediately as and when such excess rent is paid to Tenant. As used in this Section 12.04, "excess rent" shall mean the amount by which the total money and other economic consideration to be paid by the assignee or subtenant (licensee) as a result of an approved assignment or sublease (license), whether denominated rent or otherwise, exceeds, in the aggregate, the total amount of rent and other charges hereunder which Tenant is obligated to pay to Landlord under this Lease (prorated to reflect the rent allocable to the portion of the Premises subject to an approved sublease or license), less only the reasonable costs paid by Tenant for additional improvements installed in the portion of the Premises subject to the approved assignment, sublease or license by Tenant at Tenant's sole cost and expense for the specific assignee or subtenant (licensee) in question and reasonable leasing commissions and other reasonable third party expenses paid by Tenant in connection with the approved assignment, sublease or license, without deduction for carrying costs due to vacancy or otherwise.</w:t>
      </w:r>
    </w:p>
    <w:p>
      <w:pPr>
        <w:spacing w:after="0" w:line="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12.05. Tenant Not Released. </w:t>
      </w:r>
      <w:r>
        <w:rPr>
          <w:rFonts w:ascii="Arial" w:cs="Arial" w:eastAsia="Arial" w:hAnsi="Arial"/>
          <w:sz w:val="18"/>
          <w:szCs w:val="18"/>
          <w:color w:val="auto"/>
        </w:rPr>
        <w:t>No assignment or sublease or license whatsoever shall (a) release Tenant from Tenant's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under this Lease; (b) alter the primary liability of Tenant to pay all Fixed Rent and to perform all obligations to be paid and performed by Tenant; or (c) amend or modify this Lease in any respect, and every assignment, sublease and license shall be subject and subordinate to this Lease. The acceptance of rent by Landlord from any other person, organization or entity shall not be deemed to be a waiver by Landlord of any provision of this Lease. Consent to one assignment or sublease shall not be deemed consent to any subsequent assignment, sublease, or license. Tenant shall pay to Landlord all reasonable, third party costs and shall reimburse Landlord for all reasonable third party expenses incurred by Landlord in connection with any assignment, sublease or license requested by Tenant. If any assignee, subtenant, licensee or successor of Tenant defaults in the performance of any obligation to be performed by Tenant under this Lease, Landlord may proceed directly against Tenant without the necessity of exhausting remedies against such assignee, subtenant, licensee or successor. Landlord may consent to</w:t>
      </w:r>
    </w:p>
    <w:p>
      <w:pPr>
        <w:sectPr>
          <w:pgSz w:w="11900" w:h="16838" w:orient="portrait"/>
          <w:cols w:equalWidth="0" w:num="1">
            <w:col w:w="10400"/>
          </w:cols>
          <w:pgMar w:left="700" w:top="348" w:right="799" w:bottom="1440" w:gutter="0" w:footer="0" w:header="0"/>
        </w:sectPr>
      </w:pPr>
    </w:p>
    <w:bookmarkStart w:id="98" w:name="page99"/>
    <w:bookmarkEnd w:id="98"/>
    <w:p>
      <w:pPr>
        <w:jc w:val="both"/>
        <w:spacing w:after="0" w:line="256" w:lineRule="auto"/>
        <w:rPr>
          <w:sz w:val="20"/>
          <w:szCs w:val="20"/>
          <w:color w:val="auto"/>
        </w:rPr>
      </w:pPr>
      <w:r>
        <w:rPr>
          <w:rFonts w:ascii="Arial" w:cs="Arial" w:eastAsia="Arial" w:hAnsi="Arial"/>
          <w:sz w:val="18"/>
          <w:szCs w:val="18"/>
          <w:color w:val="auto"/>
        </w:rPr>
        <w:t>subsequent assignments, subleases or licenses or amendments or modifications to this Lease with assignees, subtenants, licensees or successors of Tenant, without notifying Tenant or any successor of Tenant and without obtaining any consent thereto from Tenant or any successor of Tenant, and such action shall not release Tenant from liability under this Lease as and to the extent such liability exists hereunder, but any such lease amendment shall not cause the scope of Tenant's liability to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13-MISCELLANEOUS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13.01. Broker's Warranty</w:t>
      </w:r>
      <w:r>
        <w:rPr>
          <w:rFonts w:ascii="Arial" w:cs="Arial" w:eastAsia="Arial" w:hAnsi="Arial"/>
          <w:sz w:val="18"/>
          <w:szCs w:val="18"/>
          <w:color w:val="auto"/>
        </w:rPr>
        <w:t>. Landlord is represented by CB Richard Ellis, Inc. ("CBRE"), and Tenant is represented by The Becker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("Becker”) in connection with this Lease. Landlord shall pay CBRE a brokerage commission associated with the consummation of this Lease pursuant to a separate agreement between Landlord and CBRE, and CBRE will in turn compensate Becker pursuant to a separate agreement between CBRE and Becker. The parties warrant that CBRE and Becker are the only broker(s) ("Brokers") they dealt with on this Lease. The party who breaches this warranty shall defend, hold harmless, and indemnify the non-breaching party from any claims or liability arising from the breach.</w:t>
      </w:r>
    </w:p>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13.02. Notices</w:t>
      </w:r>
      <w:r>
        <w:rPr>
          <w:rFonts w:ascii="Arial" w:cs="Arial" w:eastAsia="Arial" w:hAnsi="Arial"/>
          <w:sz w:val="16"/>
          <w:szCs w:val="16"/>
          <w:color w:val="auto"/>
        </w:rPr>
        <w:t>. Any notice or election required or permitted to be given or served by any party hereto shall be in writing, and shall be (i)</w:t>
      </w:r>
      <w:r>
        <w:rPr>
          <w:rFonts w:ascii="Arial" w:cs="Arial" w:eastAsia="Arial" w:hAnsi="Arial"/>
          <w:sz w:val="16"/>
          <w:szCs w:val="16"/>
          <w:i w:val="1"/>
          <w:iCs w:val="1"/>
          <w:color w:val="auto"/>
        </w:rPr>
        <w:t xml:space="preserve"> </w:t>
      </w:r>
      <w:r>
        <w:rPr>
          <w:rFonts w:ascii="Arial" w:cs="Arial" w:eastAsia="Arial" w:hAnsi="Arial"/>
          <w:sz w:val="16"/>
          <w:szCs w:val="16"/>
          <w:color w:val="auto"/>
        </w:rPr>
        <w:t>sent by United States certified or registered mail, postage prepaid, return receipt requested, (ii) sent by recognized overnight delivery service (such as, but not limited to, Federal Express, DHL or UPS) with tracking capability, (iii) delivered personally, or (iv) sent by email with a confirmation copy then sent by first class mail or by a nationally recognized overnight courier, in each case addressed as follows: (a) to Landlord at the address for notices set forth in the Key Lease Terms, or to such other place as Landlord may from time to time designate in a notice to Tenant; or (b) to Tenant at the address for notices set forth in the Key Lease Terms, or to such other firm or to such other place as Tenant may from time to time designate in a notice to Landlord. Any notice will be deemed given (i) on the day that is three (3) business days following the date it was deposited in the United States Mail, (ii) on the business day following deposit with a recognized overnight delivery service (delivery charges prepaid or billed to sender) for next business day delivery, (iii) on the date personal delivery is made, if given by personal delivery, or (iv) on the date of delivery in the case of email, provided that (aa) such delivery is reasonably confirmed as received by the recipient (i.e., no error report is received by the sender); (bb) if delivery occurs after 5:00 p.m. in the time zone of the recipient or on a non-business day, then such notice shall be deemed received on the first business day after the day of delivery; and (cc) a confirmation copy of the e-mailed notice is then sent by first class mail or by a nationally recognized overnight courier, as provided above.</w:t>
      </w:r>
    </w:p>
    <w:p>
      <w:pPr>
        <w:spacing w:after="0" w:line="1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13.03 Partial </w:t>
      </w:r>
      <w:r>
        <w:rPr>
          <w:rFonts w:ascii="Arial" w:cs="Arial" w:eastAsia="Arial" w:hAnsi="Arial"/>
          <w:sz w:val="18"/>
          <w:szCs w:val="18"/>
          <w:color w:val="auto"/>
        </w:rPr>
        <w:t>Invalidity. If any Lease provision is invalid or unenforceable to any extent, then that provision and the remainder of this Lease</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continue in effect and be enforceable to the fullest extent permitted by law.</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13.04. Waiver</w:t>
      </w:r>
      <w:r>
        <w:rPr>
          <w:rFonts w:ascii="Arial" w:cs="Arial" w:eastAsia="Arial" w:hAnsi="Arial"/>
          <w:sz w:val="18"/>
          <w:szCs w:val="18"/>
          <w:color w:val="auto"/>
        </w:rPr>
        <w:t>. The failure of either party to exercise any of its rights is not a waiver of those rights. A party waives only those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writing and signed by the party waiving its rights.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i w:val="1"/>
          <w:iCs w:val="1"/>
          <w:color w:val="auto"/>
        </w:rPr>
        <w:t>13.05.</w:t>
      </w:r>
      <w:r>
        <w:rPr>
          <w:sz w:val="20"/>
          <w:szCs w:val="20"/>
          <w:color w:val="auto"/>
        </w:rPr>
        <w:tab/>
      </w:r>
      <w:r>
        <w:rPr>
          <w:rFonts w:ascii="Arial" w:cs="Arial" w:eastAsia="Arial" w:hAnsi="Arial"/>
          <w:sz w:val="16"/>
          <w:szCs w:val="16"/>
          <w:i w:val="1"/>
          <w:iCs w:val="1"/>
          <w:color w:val="auto"/>
        </w:rPr>
        <w:t>Binding on Successors</w:t>
      </w:r>
      <w:r>
        <w:rPr>
          <w:rFonts w:ascii="Arial" w:cs="Arial" w:eastAsia="Arial" w:hAnsi="Arial"/>
          <w:sz w:val="16"/>
          <w:szCs w:val="16"/>
          <w:color w:val="auto"/>
        </w:rPr>
        <w:t>. This Lease shall bind the parties' heirs, successors, representatives, and permitted assigns.</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i w:val="1"/>
          <w:iCs w:val="1"/>
          <w:color w:val="auto"/>
        </w:rPr>
        <w:t>13.06.</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 This Lease shall be governed by the laws of the State of California.</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13.07. Recording</w:t>
      </w:r>
      <w:r>
        <w:rPr>
          <w:rFonts w:ascii="Arial" w:cs="Arial" w:eastAsia="Arial" w:hAnsi="Arial"/>
          <w:sz w:val="18"/>
          <w:szCs w:val="18"/>
          <w:color w:val="auto"/>
        </w:rPr>
        <w:t>. Recording of this Lease is prohibited except as allowed in this Section. At the request of either party, the parties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execute and record, at the cost of the requesting party, a short form memorandum describing the Premises and stating the Term, its commencement and expiration dates and any other information the parties agree to include.</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13.08. Survival</w:t>
      </w:r>
      <w:r>
        <w:rPr>
          <w:rFonts w:ascii="Arial" w:cs="Arial" w:eastAsia="Arial" w:hAnsi="Arial"/>
          <w:sz w:val="18"/>
          <w:szCs w:val="18"/>
          <w:color w:val="auto"/>
        </w:rPr>
        <w:t>. Notwithstanding any termination or expiration of this Lease, the following obligations shall survive such termination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(i) all obligations which accrued hereunder prior to such termination or expiration, (ii) all indemnity obligations (as described in the Lease)</w:t>
      </w:r>
    </w:p>
    <w:p>
      <w:pPr>
        <w:sectPr>
          <w:pgSz w:w="11900" w:h="16838" w:orient="portrait"/>
          <w:cols w:equalWidth="0" w:num="1">
            <w:col w:w="10400"/>
          </w:cols>
          <w:pgMar w:left="700" w:top="410" w:right="799" w:bottom="1440" w:gutter="0" w:footer="0" w:header="0"/>
        </w:sectPr>
      </w:pPr>
    </w:p>
    <w:bookmarkStart w:id="99" w:name="page100"/>
    <w:bookmarkEnd w:id="99"/>
    <w:p>
      <w:pPr>
        <w:jc w:val="both"/>
        <w:spacing w:after="0" w:line="276" w:lineRule="auto"/>
        <w:rPr>
          <w:sz w:val="20"/>
          <w:szCs w:val="20"/>
          <w:color w:val="auto"/>
        </w:rPr>
      </w:pPr>
      <w:r>
        <w:rPr>
          <w:rFonts w:ascii="Arial" w:cs="Arial" w:eastAsia="Arial" w:hAnsi="Arial"/>
          <w:sz w:val="18"/>
          <w:szCs w:val="18"/>
          <w:color w:val="auto"/>
        </w:rPr>
        <w:t>which relate to events that occurred prior to such termination or expiration, (iii) all damage claims that have accrued prior to such termination or expiration, (iv) all obligations of Tenant with respect to the condition the Premises are to be in when the Premises are surrendered to Landlord, and (v) rights to receive interest and attorney's fees pursuant to the terms of this Lease.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13.09. Authority of Parties</w:t>
      </w:r>
      <w:r>
        <w:rPr>
          <w:rFonts w:ascii="Arial" w:cs="Arial" w:eastAsia="Arial" w:hAnsi="Arial"/>
          <w:sz w:val="18"/>
          <w:szCs w:val="18"/>
          <w:color w:val="auto"/>
        </w:rPr>
        <w:t>. Each party warrants that it is authorized to enter into the Lease, that the person signing on its behalf is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execute the Lease, and that no other signatures are necessary.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13.10. Business Days</w:t>
      </w:r>
      <w:r>
        <w:rPr>
          <w:rFonts w:ascii="Arial" w:cs="Arial" w:eastAsia="Arial" w:hAnsi="Arial"/>
          <w:sz w:val="18"/>
          <w:szCs w:val="18"/>
          <w:color w:val="auto"/>
        </w:rPr>
        <w:t>. Business days means Monday through Friday, both inclusive, excluding New Year's Day, Memorial Day,</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Day, Labor Day, Thanksgiving Day and Christmas Day. Throughout this Lease, wherever "days" are used the term shall refer to calendar days. Wherever the term "business days" is used the term shall refer to business days.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13.11. Parking</w:t>
      </w:r>
      <w:r>
        <w:rPr>
          <w:rFonts w:ascii="Arial" w:cs="Arial" w:eastAsia="Arial" w:hAnsi="Arial"/>
          <w:sz w:val="17"/>
          <w:szCs w:val="17"/>
          <w:color w:val="auto"/>
        </w:rPr>
        <w:t>. Throughout the Term, Tenant shall have the use of no less than two hundred fifty (250) within the two areas designated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“Tenant Parking Areas” on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Tenant’s parking rights hereunder shall be without charge, except Landlord's costs associated with maintaining and operating the parking facilities will be treated as Operating Expenses pursuant to Section 2.03. The parking space designated for Tenant’s use under this Section 12.1.2 shall be marked to identify it as parking for Tenant’s employees and visitors. Tenant shall comply with Landlord’s security requirements related to Tenant’s Parking Areas. As provided in Section 1.03 hereof, Tenant shall also have the right to use, in common with Landlord and any other occupants of Landlord’s Campus, the visitors parking spaces within the area identified as “Shared Visitor Parking” on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solely for purposes of parking for Tenant’s visitors.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13.12. Entire Agreement</w:t>
      </w:r>
      <w:r>
        <w:rPr>
          <w:rFonts w:ascii="Arial" w:cs="Arial" w:eastAsia="Arial" w:hAnsi="Arial"/>
          <w:sz w:val="18"/>
          <w:szCs w:val="18"/>
          <w:color w:val="auto"/>
        </w:rPr>
        <w:t>. This Lease contains the entire agreement between the parties about the Premises and Building and supersedes 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prior and contemporaneous, oral or written representations, communications, understandings, and agreements between the parties with respect to its subject matter,</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including but not limited to that certain Confidentiality Agreement between Landlord and Tenant, dated February 24, 2020, (the “Confidentiality Agreement”); provided that, with respect to confidential information disclosed by the parties prior to execution of this Lease pursuant to the Confidentiality Agreement, any rights or obligations of the parties, including a party’s rights with respect to a breach of the Confidentiality Agreement, shall be deemed to survive.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13.13. Attorneys' Fees</w:t>
      </w:r>
      <w:r>
        <w:rPr>
          <w:rFonts w:ascii="Arial" w:cs="Arial" w:eastAsia="Arial" w:hAnsi="Arial"/>
          <w:sz w:val="18"/>
          <w:szCs w:val="18"/>
          <w:color w:val="auto"/>
        </w:rPr>
        <w:t>. In the event of any suit under this Lease, reasonable attorneys' fees and costs shall be awarded by a court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prevailing party and are to be included in any judgment or award.</w:t>
      </w:r>
    </w:p>
    <w:p>
      <w:pPr>
        <w:spacing w:after="0" w:line="18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13.14. Not Liable for Acts of Third Parties</w:t>
      </w:r>
      <w:r>
        <w:rPr>
          <w:rFonts w:ascii="Arial" w:cs="Arial" w:eastAsia="Arial" w:hAnsi="Arial"/>
          <w:sz w:val="17"/>
          <w:szCs w:val="17"/>
          <w:color w:val="auto"/>
        </w:rPr>
        <w:t>. Except as otherwise expressly provided in this Lease, Landlord and its property manager, if any,</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liable or responsible for the act of any third party (Landlord's employees, agents and contractors shall not be considered third parties for purposes of this exclusion) (including, but not limited to, tortious and criminal acts), including other tenants of the Building, or the employees, agents, servants, invitees or contractors of such tenants, or other third parties. Except as otherwise expressly provided in this Lease, Tenant shall not be liable or responsible for the act of any third party (Tenant's employees, agents and contractors shall not be considered third parties for purposes of this exclusion) (including, but not limited to, tortious and criminal acts), including other tenants of the Building, or the employees, agents, servants, invitees or contractors of such tenants, or other third parties.</w:t>
      </w:r>
    </w:p>
    <w:p>
      <w:pPr>
        <w:spacing w:after="0" w:line="18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13.15. Force Majeure</w:t>
      </w:r>
      <w:r>
        <w:rPr>
          <w:rFonts w:ascii="Arial" w:cs="Arial" w:eastAsia="Arial" w:hAnsi="Arial"/>
          <w:sz w:val="16"/>
          <w:szCs w:val="16"/>
          <w:color w:val="auto"/>
        </w:rPr>
        <w:t>. Landlord and Tenant each shall be excused from performing any obligation or undertaking in this Lease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excepting, however, Tenant's obligation to pay Fixed Rent and any other monetary obligation required under this Lease) in the event and/or so long as the performance of any such obligation is prevented, delayed, retarded or hindered by act of God, fire, earthquake, flood, explosion, actions of the elements, war, invasion, insurrection, riot, mob violence, sabotage, inability to procure equipment, facilities , materials, or supplies in open market, failure of power, failure of transportation, strikes, lockouts, action of labor unions, condemnation,</w:t>
      </w:r>
    </w:p>
    <w:p>
      <w:pPr>
        <w:sectPr>
          <w:pgSz w:w="11900" w:h="16838" w:orient="portrait"/>
          <w:cols w:equalWidth="0" w:num="1">
            <w:col w:w="10400"/>
          </w:cols>
          <w:pgMar w:left="700" w:top="360" w:right="799" w:bottom="1440" w:gutter="0" w:footer="0" w:header="0"/>
        </w:sectPr>
      </w:pPr>
    </w:p>
    <w:bookmarkStart w:id="100" w:name="page101"/>
    <w:bookmarkEnd w:id="100"/>
    <w:p>
      <w:pPr>
        <w:jc w:val="both"/>
        <w:spacing w:after="0" w:line="283" w:lineRule="auto"/>
        <w:rPr>
          <w:sz w:val="20"/>
          <w:szCs w:val="20"/>
          <w:color w:val="auto"/>
        </w:rPr>
      </w:pPr>
      <w:r>
        <w:rPr>
          <w:rFonts w:ascii="Arial" w:cs="Arial" w:eastAsia="Arial" w:hAnsi="Arial"/>
          <w:sz w:val="17"/>
          <w:szCs w:val="17"/>
          <w:color w:val="auto"/>
        </w:rPr>
        <w:t>requisitions, laws, orders of government or civil or military authorities, or any other extraordinary cause, whether similar or dissimilar to the foregoing, which is beyond the reasonable control and without the fault or negligence of the party asserting such delay and by exercise or reasonable diligence the party asserting is unable to prevent or provide against (collectively, "Force Majeure Events"), and any deadlines for performance shall be extended by the number of days that performance has been delayed by Force Majeure Events. Any party asserting Force Majeure as an excuse for performance has the burden of proving proximate cause, that reasonable steps were taken to minimize the delay and damages caused by events when known, and that the other party was timely notified of the likelihood or actual occurrence which is claimed as grounds for a defense under this clause.</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13.16. Time of Essence</w:t>
      </w:r>
      <w:r>
        <w:rPr>
          <w:rFonts w:ascii="Arial" w:cs="Arial" w:eastAsia="Arial" w:hAnsi="Arial"/>
          <w:sz w:val="18"/>
          <w:szCs w:val="18"/>
          <w:color w:val="auto"/>
        </w:rPr>
        <w:t>. Time is of the essence in this Lease and all of its provisions. If the date provided for the performance of any act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Lease occurs on a Saturday, Sunday or a holiday observed by national banks in the State of Missouri, then the time for the performance of such act shall be deemed extended to the next following business day.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13.17. Confidentiality. </w:t>
      </w:r>
      <w:r>
        <w:rPr>
          <w:rFonts w:ascii="Arial" w:cs="Arial" w:eastAsia="Arial" w:hAnsi="Arial"/>
          <w:sz w:val="18"/>
          <w:szCs w:val="18"/>
          <w:color w:val="auto"/>
        </w:rPr>
        <w:t>Tenant acknowledges and understands that the Premises are located within Landlord’s Campus, which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vegetable seed plant facility, and that Tenant may observe or obtain, whether intentionally or inadvertently, confidential information or proprietary materials of Landlord (collectively, “Landlord’s Confidential Information”). Tenant shall take reasonable steps to prevent access, viewing, removal, reading, and/or recording of Landlord’s Confidential Information.</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Tenant shall not use the Landlord’s Confidential Information for any purpose. To the extent Landlord’s Confidential Information comes into the possession of Tenant, Tenant agrees to (i) immediately notify Landlord of any known or suspected access, viewing, removal, reading and/or recording of Landlord’s Confidential Information; (ii) immediately take steps to limit access to, prevent further disclosure of or access to, and to maintain the confidential and proprietary nature of, Landlord’s Confidential Information, and to hold Landlord’s Confidential Information in trust for Landlord; (iii) promptly return to Landlord any documents or materials comprising Landlord’s Confidential Information; (iv) promptly comply with Landlord’s reasonable instructions with respect to Landlord’s Confidential Information; (v) not disclose or provide Landlord’s Confidential Information to anyone; and/or (v) not use Landlord’s Confidential Information for any purpose. Landlord may implement additional information security mechanisms and controls to protect against the unauthorized disclosure of Landlord’s Confidential Information. Tenant may not take any images, including, but not limited to, photographs and/or video of materials, facilities, property or fields including the Premises without the express written permission of Landlord, such permission with respect to the interior portions of the Premises only shall not to be unreasonably withheld. Tenant shall provide written guidance to all employees with respect to the obligations of Tenant under this Section. Landlord may require Tenant’s employees to sign an agreement with confidentiality provisions consistent with those set forth herein.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13.18. Security. </w:t>
      </w:r>
      <w:r>
        <w:rPr>
          <w:rFonts w:ascii="Arial" w:cs="Arial" w:eastAsia="Arial" w:hAnsi="Arial"/>
          <w:sz w:val="18"/>
          <w:szCs w:val="18"/>
          <w:color w:val="auto"/>
        </w:rPr>
        <w:t>The level of security performed by Landlord pursuant to paragraph 3.03(vii) shall be within Landlord’s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Tenant hereby waives all claims against Landlord that relates to security of the Common Areas or any other portions of Landlord’s Campus. Tenant acknowledges that Landlord has no obligation to secure the interior of the Premises. Tenant shall indemnify Landlord and hold Landlord harmless from any loss, cost, damage, or expenses arising from claims asserted by any employee, contractor, or invitee of Tenant alleging a breach of any legal duty on the part of Landlord to provide security to the Common Areas or any other portions of Landlord’s Campus.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i w:val="1"/>
          <w:iCs w:val="1"/>
          <w:color w:val="auto"/>
        </w:rPr>
        <w:t xml:space="preserve">13.19. Counterparts; Signatures. </w:t>
      </w:r>
      <w:r>
        <w:rPr>
          <w:rFonts w:ascii="Arial" w:cs="Arial" w:eastAsia="Arial" w:hAnsi="Arial"/>
          <w:sz w:val="18"/>
          <w:szCs w:val="18"/>
          <w:color w:val="auto"/>
        </w:rPr>
        <w:t>This Lease may be executed in any number of counterparts, each of which shall be an original, but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together shall constitute one and the same instrument. Executed copies hereof may be delivered by facsimile or electronically (e.g. by PDF/email or Docusign®) and upon receipt will be deemed originals and binding upon the parties hereof.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400"/>
          </w:cols>
          <w:pgMar w:left="700" w:top="360" w:right="799" w:bottom="1440" w:gutter="0" w:footer="0" w:header="0"/>
        </w:sectPr>
      </w:pPr>
    </w:p>
    <w:bookmarkStart w:id="101" w:name="page102"/>
    <w:bookmarkEnd w:id="101"/>
    <w:p>
      <w:pPr>
        <w:ind w:left="480"/>
        <w:spacing w:after="0"/>
        <w:rPr>
          <w:sz w:val="20"/>
          <w:szCs w:val="20"/>
          <w:color w:val="auto"/>
        </w:rPr>
      </w:pPr>
      <w:r>
        <w:rPr>
          <w:rFonts w:ascii="Arial" w:cs="Arial" w:eastAsia="Arial" w:hAnsi="Arial"/>
          <w:sz w:val="16"/>
          <w:szCs w:val="16"/>
          <w:color w:val="auto"/>
        </w:rPr>
        <w:t>WHEREFORE, Landlord and Tenant have respectively executed this Lease as of the day and year first above written.</w:t>
      </w:r>
    </w:p>
    <w:p>
      <w:pPr>
        <w:spacing w:after="0" w:line="200" w:lineRule="exact"/>
        <w:rPr>
          <w:sz w:val="20"/>
          <w:szCs w:val="20"/>
          <w:color w:val="auto"/>
        </w:rPr>
      </w:pPr>
    </w:p>
    <w:p>
      <w:pPr>
        <w:spacing w:after="0" w:line="27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LANDLORD</w:t>
      </w:r>
    </w:p>
    <w:p>
      <w:pPr>
        <w:spacing w:after="0" w:line="12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SEMINIS VEGETABLE SEEDS, INC.</w:t>
      </w:r>
    </w:p>
    <w:p>
      <w:pPr>
        <w:spacing w:after="0" w:line="200" w:lineRule="exact"/>
        <w:rPr>
          <w:sz w:val="20"/>
          <w:szCs w:val="20"/>
          <w:color w:val="auto"/>
        </w:rPr>
      </w:pPr>
    </w:p>
    <w:p>
      <w:pPr>
        <w:spacing w:after="0" w:line="27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Jacqueline M. Applegate</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Jacqueline M. Applegate</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TENANT:</w:t>
      </w:r>
    </w:p>
    <w:p>
      <w:pPr>
        <w:spacing w:after="0" w:line="126"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MISSION PRODUCE, INC.</w:t>
      </w:r>
    </w:p>
    <w:p>
      <w:pPr>
        <w:spacing w:after="0" w:line="200" w:lineRule="exact"/>
        <w:rPr>
          <w:sz w:val="20"/>
          <w:szCs w:val="20"/>
          <w:color w:val="auto"/>
        </w:rPr>
      </w:pPr>
    </w:p>
    <w:p>
      <w:pPr>
        <w:spacing w:after="0" w:line="27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Stephen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-8890</wp:posOffset>
            </wp:positionV>
            <wp:extent cx="946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946150" cy="7620"/>
                    </a:xfrm>
                    <a:prstGeom prst="rect">
                      <a:avLst/>
                    </a:prstGeom>
                    <a:noFill/>
                  </pic:spPr>
                </pic:pic>
              </a:graphicData>
            </a:graphic>
          </wp:anchor>
        </w:drawing>
      </w:r>
    </w:p>
    <w:p>
      <w:pPr>
        <w:spacing w:after="0" w:line="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Stephen Barnard</w:t>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President/CEO</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Demising Wall</w:t>
      </w:r>
    </w:p>
    <w:p>
      <w:pPr>
        <w:spacing w:after="0" w:line="19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1st Floor Premises</w:t>
      </w:r>
    </w:p>
    <w:p>
      <w:pPr>
        <w:spacing w:after="0" w:line="88"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EXHIBIT A</w:t>
      </w:r>
    </w:p>
    <w:p>
      <w:pPr>
        <w:sectPr>
          <w:pgSz w:w="11900" w:h="16838" w:orient="portrait"/>
          <w:cols w:equalWidth="0" w:num="1">
            <w:col w:w="9639"/>
          </w:cols>
          <w:pgMar w:left="820" w:top="423" w:right="1440" w:bottom="1440" w:gutter="0" w:footer="0" w:header="0"/>
        </w:sectPr>
      </w:pPr>
    </w:p>
    <w:bookmarkStart w:id="102" w:name="page103"/>
    <w:bookmarkEnd w:id="102"/>
    <w:p>
      <w:pPr>
        <w:jc w:val="center"/>
        <w:ind w:right="-639"/>
        <w:spacing w:after="0"/>
        <w:rPr>
          <w:sz w:val="20"/>
          <w:szCs w:val="20"/>
          <w:color w:val="auto"/>
        </w:rPr>
      </w:pPr>
      <w:r>
        <w:rPr>
          <w:rFonts w:ascii="Arial" w:cs="Arial" w:eastAsia="Arial" w:hAnsi="Arial"/>
          <w:sz w:val="40"/>
          <w:szCs w:val="40"/>
          <w:b w:val="1"/>
          <w:bCs w:val="1"/>
          <w:color w:val="auto"/>
        </w:rPr>
        <w:t>2nd Floor Premises</w:t>
      </w:r>
    </w:p>
    <w:p>
      <w:pPr>
        <w:spacing w:after="0" w:line="7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EXHIBIT B</w:t>
      </w:r>
    </w:p>
    <w:p>
      <w:pPr>
        <w:spacing w:after="0" w:line="232"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Office Lease between Seminis Vegetable Seeds, Inc. (as Landlord) and Mission Produces, Inc. (as Tenant), covering a</w:t>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Premises containing 51,590 square feet (+/-) in th</w:t>
      </w:r>
      <w:r>
        <w:rPr>
          <w:rFonts w:ascii="Arial" w:cs="Arial" w:eastAsia="Arial" w:hAnsi="Arial"/>
          <w:sz w:val="19"/>
          <w:szCs w:val="19"/>
          <w:color w:val="auto"/>
        </w:rPr>
        <w:t>e building located at 2700 Camino Del Sol, Oxnard, CA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540" w:type="dxa"/>
            <w:vAlign w:val="bottom"/>
            <w:gridSpan w:val="9"/>
          </w:tcPr>
          <w:p>
            <w:pPr>
              <w:jc w:val="right"/>
              <w:ind w:right="1100"/>
              <w:spacing w:after="0"/>
              <w:rPr>
                <w:sz w:val="20"/>
                <w:szCs w:val="20"/>
                <w:color w:val="auto"/>
              </w:rPr>
            </w:pPr>
            <w:r>
              <w:rPr>
                <w:rFonts w:ascii="Arial" w:cs="Arial" w:eastAsia="Arial" w:hAnsi="Arial"/>
                <w:sz w:val="20"/>
                <w:szCs w:val="20"/>
                <w:b w:val="1"/>
                <w:bCs w:val="1"/>
                <w:color w:val="auto"/>
              </w:rPr>
              <w:t>FIXED RENT SCHEDULE</w:t>
            </w: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40"/>
              <w:spacing w:after="0"/>
              <w:rPr>
                <w:sz w:val="20"/>
                <w:szCs w:val="20"/>
                <w:color w:val="auto"/>
              </w:rPr>
            </w:pPr>
            <w:r>
              <w:rPr>
                <w:rFonts w:ascii="Arial" w:cs="Arial" w:eastAsia="Arial" w:hAnsi="Arial"/>
                <w:sz w:val="18"/>
                <w:szCs w:val="18"/>
                <w:color w:val="auto"/>
              </w:rPr>
              <w:t>Monthly Fixed Rent</w:t>
            </w:r>
          </w:p>
        </w:tc>
        <w:tc>
          <w:tcPr>
            <w:tcW w:w="0" w:type="dxa"/>
            <w:vAlign w:val="bottom"/>
          </w:tcPr>
          <w:p>
            <w:pPr>
              <w:spacing w:after="0"/>
              <w:rPr>
                <w:sz w:val="1"/>
                <w:szCs w:val="1"/>
                <w:color w:val="auto"/>
              </w:rPr>
            </w:pPr>
          </w:p>
        </w:tc>
      </w:tr>
      <w:tr>
        <w:trPr>
          <w:trHeight w:val="178"/>
        </w:trPr>
        <w:tc>
          <w:tcPr>
            <w:tcW w:w="720" w:type="dxa"/>
            <w:vAlign w:val="bottom"/>
            <w:gridSpan w:val="3"/>
            <w:vMerge w:val="restart"/>
          </w:tcPr>
          <w:p>
            <w:pPr>
              <w:jc w:val="center"/>
              <w:ind w:right="220"/>
              <w:spacing w:after="0" w:line="203" w:lineRule="exact"/>
              <w:rPr>
                <w:sz w:val="20"/>
                <w:szCs w:val="20"/>
                <w:color w:val="auto"/>
              </w:rPr>
            </w:pPr>
            <w:r>
              <w:rPr>
                <w:rFonts w:ascii="Arial" w:cs="Arial" w:eastAsia="Arial" w:hAnsi="Arial"/>
                <w:sz w:val="18"/>
                <w:szCs w:val="18"/>
                <w:color w:val="auto"/>
              </w:rPr>
              <w:t>Lease</w:t>
            </w:r>
          </w:p>
        </w:tc>
        <w:tc>
          <w:tcPr>
            <w:tcW w:w="200" w:type="dxa"/>
            <w:vAlign w:val="bottom"/>
          </w:tcPr>
          <w:p>
            <w:pPr>
              <w:spacing w:after="0"/>
              <w:rPr>
                <w:sz w:val="15"/>
                <w:szCs w:val="15"/>
                <w:color w:val="auto"/>
              </w:rPr>
            </w:pPr>
          </w:p>
        </w:tc>
        <w:tc>
          <w:tcPr>
            <w:tcW w:w="2020" w:type="dxa"/>
            <w:vAlign w:val="bottom"/>
            <w:gridSpan w:val="4"/>
            <w:vMerge w:val="restart"/>
          </w:tcPr>
          <w:p>
            <w:pPr>
              <w:ind w:left="20"/>
              <w:spacing w:after="0" w:line="203" w:lineRule="exact"/>
              <w:rPr>
                <w:sz w:val="20"/>
                <w:szCs w:val="20"/>
                <w:color w:val="auto"/>
              </w:rPr>
            </w:pPr>
            <w:r>
              <w:rPr>
                <w:rFonts w:ascii="Arial" w:cs="Arial" w:eastAsia="Arial" w:hAnsi="Arial"/>
                <w:sz w:val="18"/>
                <w:szCs w:val="18"/>
                <w:color w:val="auto"/>
              </w:rPr>
              <w:t>Annual Fixed Rent</w:t>
            </w:r>
          </w:p>
        </w:tc>
        <w:tc>
          <w:tcPr>
            <w:tcW w:w="2440" w:type="dxa"/>
            <w:vAlign w:val="bottom"/>
            <w:gridSpan w:val="7"/>
            <w:vMerge w:val="restart"/>
          </w:tcPr>
          <w:p>
            <w:pPr>
              <w:ind w:left="300"/>
              <w:spacing w:after="0" w:line="203" w:lineRule="exact"/>
              <w:rPr>
                <w:sz w:val="20"/>
                <w:szCs w:val="20"/>
                <w:color w:val="auto"/>
              </w:rPr>
            </w:pPr>
            <w:r>
              <w:rPr>
                <w:rFonts w:ascii="Arial" w:cs="Arial" w:eastAsia="Arial" w:hAnsi="Arial"/>
                <w:sz w:val="18"/>
                <w:szCs w:val="18"/>
                <w:color w:val="auto"/>
              </w:rPr>
              <w:t>Annual Fixed Rent with</w:t>
            </w:r>
          </w:p>
        </w:tc>
        <w:tc>
          <w:tcPr>
            <w:tcW w:w="152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auto"/>
              </w:rPr>
              <w:t>Subject to One</w:t>
            </w:r>
          </w:p>
        </w:tc>
        <w:tc>
          <w:tcPr>
            <w:tcW w:w="500" w:type="dxa"/>
            <w:vAlign w:val="bottom"/>
            <w:tcBorders>
              <w:bottom w:val="single" w:sz="8" w:color="auto"/>
            </w:tcBorders>
            <w:gridSpan w:val="2"/>
          </w:tcPr>
          <w:p>
            <w:pPr>
              <w:spacing w:after="0" w:line="158" w:lineRule="exact"/>
              <w:rPr>
                <w:sz w:val="20"/>
                <w:szCs w:val="20"/>
                <w:color w:val="auto"/>
              </w:rPr>
            </w:pPr>
            <w:r>
              <w:rPr>
                <w:rFonts w:ascii="Arial" w:cs="Arial" w:eastAsia="Arial" w:hAnsi="Arial"/>
                <w:sz w:val="18"/>
                <w:szCs w:val="18"/>
                <w:color w:val="auto"/>
                <w:w w:val="95"/>
              </w:rPr>
              <w:t>Month</w:t>
            </w:r>
          </w:p>
        </w:tc>
        <w:tc>
          <w:tcPr>
            <w:tcW w:w="3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4"/>
            <w:vMerge w:val="continue"/>
          </w:tcPr>
          <w:p>
            <w:pPr>
              <w:spacing w:after="0" w:line="20" w:lineRule="exact"/>
              <w:rPr>
                <w:sz w:val="1"/>
                <w:szCs w:val="1"/>
                <w:color w:val="auto"/>
              </w:rPr>
            </w:pPr>
          </w:p>
        </w:tc>
        <w:tc>
          <w:tcPr>
            <w:tcW w:w="2440" w:type="dxa"/>
            <w:vAlign w:val="bottom"/>
            <w:gridSpan w:val="7"/>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0" w:type="dxa"/>
            <w:vAlign w:val="bottom"/>
          </w:tcPr>
          <w:p>
            <w:pPr>
              <w:spacing w:after="0"/>
              <w:rPr>
                <w:sz w:val="11"/>
                <w:szCs w:val="11"/>
                <w:color w:val="auto"/>
              </w:rPr>
            </w:pPr>
          </w:p>
        </w:tc>
        <w:tc>
          <w:tcPr>
            <w:tcW w:w="380" w:type="dxa"/>
            <w:vAlign w:val="bottom"/>
            <w:vMerge w:val="restart"/>
          </w:tcPr>
          <w:p>
            <w:pPr>
              <w:jc w:val="center"/>
              <w:spacing w:after="0" w:line="168" w:lineRule="exact"/>
              <w:rPr>
                <w:sz w:val="20"/>
                <w:szCs w:val="20"/>
                <w:color w:val="auto"/>
              </w:rPr>
            </w:pPr>
            <w:r>
              <w:rPr>
                <w:rFonts w:ascii="Arial" w:cs="Arial" w:eastAsia="Arial" w:hAnsi="Arial"/>
                <w:sz w:val="18"/>
                <w:szCs w:val="18"/>
                <w:color w:val="auto"/>
                <w:w w:val="99"/>
              </w:rPr>
              <w:t>Year</w:t>
            </w:r>
          </w:p>
        </w:tc>
        <w:tc>
          <w:tcPr>
            <w:tcW w:w="300" w:type="dxa"/>
            <w:vAlign w:val="bottom"/>
            <w:vMerge w:val="restart"/>
          </w:tcPr>
          <w:p>
            <w:pPr>
              <w:spacing w:after="0"/>
              <w:rPr>
                <w:sz w:val="11"/>
                <w:szCs w:val="11"/>
                <w:color w:val="auto"/>
              </w:rPr>
            </w:pPr>
          </w:p>
        </w:tc>
        <w:tc>
          <w:tcPr>
            <w:tcW w:w="2220" w:type="dxa"/>
            <w:vAlign w:val="bottom"/>
            <w:gridSpan w:val="5"/>
            <w:vMerge w:val="restart"/>
          </w:tcPr>
          <w:p>
            <w:pPr>
              <w:ind w:left="200"/>
              <w:spacing w:after="0" w:line="168" w:lineRule="exact"/>
              <w:rPr>
                <w:sz w:val="20"/>
                <w:szCs w:val="20"/>
                <w:color w:val="auto"/>
              </w:rPr>
            </w:pPr>
            <w:r>
              <w:rPr>
                <w:rFonts w:ascii="Arial" w:cs="Arial" w:eastAsia="Arial" w:hAnsi="Arial"/>
                <w:sz w:val="18"/>
                <w:szCs w:val="18"/>
                <w:color w:val="auto"/>
              </w:rPr>
              <w:t>Before Abatement</w:t>
            </w:r>
          </w:p>
        </w:tc>
        <w:tc>
          <w:tcPr>
            <w:tcW w:w="360" w:type="dxa"/>
            <w:vAlign w:val="bottom"/>
          </w:tcPr>
          <w:p>
            <w:pPr>
              <w:spacing w:after="0"/>
              <w:rPr>
                <w:sz w:val="11"/>
                <w:szCs w:val="11"/>
                <w:color w:val="auto"/>
              </w:rPr>
            </w:pPr>
          </w:p>
        </w:tc>
        <w:tc>
          <w:tcPr>
            <w:tcW w:w="1480" w:type="dxa"/>
            <w:vAlign w:val="bottom"/>
            <w:gridSpan w:val="3"/>
            <w:vMerge w:val="restart"/>
          </w:tcPr>
          <w:p>
            <w:pPr>
              <w:spacing w:after="0" w:line="168" w:lineRule="exact"/>
              <w:rPr>
                <w:sz w:val="20"/>
                <w:szCs w:val="20"/>
                <w:color w:val="auto"/>
              </w:rPr>
            </w:pPr>
            <w:r>
              <w:rPr>
                <w:rFonts w:ascii="Arial" w:cs="Arial" w:eastAsia="Arial" w:hAnsi="Arial"/>
                <w:sz w:val="18"/>
                <w:szCs w:val="18"/>
                <w:color w:val="auto"/>
              </w:rPr>
              <w:t>Abatement</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Borders>
              <w:bottom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rPr>
              <w:t>Abatement</w:t>
            </w:r>
          </w:p>
        </w:tc>
        <w:tc>
          <w:tcPr>
            <w:tcW w:w="7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220" w:type="dxa"/>
            <w:vAlign w:val="bottom"/>
            <w:gridSpan w:val="5"/>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0" w:type="dxa"/>
            <w:vAlign w:val="bottom"/>
          </w:tcPr>
          <w:p>
            <w:pPr>
              <w:spacing w:after="0"/>
              <w:rPr>
                <w:sz w:val="23"/>
                <w:szCs w:val="23"/>
                <w:color w:val="auto"/>
              </w:rPr>
            </w:pPr>
          </w:p>
        </w:tc>
        <w:tc>
          <w:tcPr>
            <w:tcW w:w="38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1,083,390.00</w:t>
            </w:r>
          </w:p>
        </w:tc>
        <w:tc>
          <w:tcPr>
            <w:tcW w:w="300" w:type="dxa"/>
            <w:vAlign w:val="bottom"/>
          </w:tcPr>
          <w:p>
            <w:pPr>
              <w:spacing w:after="0"/>
              <w:rPr>
                <w:sz w:val="23"/>
                <w:szCs w:val="23"/>
                <w:color w:val="auto"/>
              </w:rPr>
            </w:pPr>
          </w:p>
        </w:tc>
        <w:tc>
          <w:tcPr>
            <w:tcW w:w="1840" w:type="dxa"/>
            <w:vAlign w:val="bottom"/>
            <w:gridSpan w:val="4"/>
          </w:tcPr>
          <w:p>
            <w:pPr>
              <w:jc w:val="center"/>
              <w:ind w:left="548"/>
              <w:spacing w:after="0"/>
              <w:rPr>
                <w:sz w:val="20"/>
                <w:szCs w:val="20"/>
                <w:color w:val="auto"/>
              </w:rPr>
            </w:pPr>
            <w:r>
              <w:rPr>
                <w:rFonts w:ascii="Arial" w:cs="Arial" w:eastAsia="Arial" w:hAnsi="Arial"/>
                <w:sz w:val="18"/>
                <w:szCs w:val="18"/>
                <w:color w:val="auto"/>
              </w:rPr>
              <w:t>993,107.50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90,282.50</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1,115,891.70</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1,022,900.73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92,990.98</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1,149,368.45</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1,053,587.75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95,780.70</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1,183,849.51</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1,085,195.38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98,654.13</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1,219,364.99</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1,117,751.24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101,613.75</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1,255,945.94</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1,151,283.78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104,662.16</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1,293,624.32</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1,185,822.29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107,802.03</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1,332,433.05</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1,221,396.96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111,036.09</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108"/>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1,372,406.04</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1,258,038.87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114,367.17</w:t>
            </w: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22"/>
                <w:szCs w:val="22"/>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color w:val="auto"/>
              </w:rPr>
              <w:t>1,413,578.22</w:t>
            </w:r>
          </w:p>
        </w:tc>
        <w:tc>
          <w:tcPr>
            <w:tcW w:w="300" w:type="dxa"/>
            <w:vAlign w:val="bottom"/>
          </w:tcPr>
          <w:p>
            <w:pPr>
              <w:spacing w:after="0"/>
              <w:rPr>
                <w:sz w:val="22"/>
                <w:szCs w:val="22"/>
                <w:color w:val="auto"/>
              </w:rPr>
            </w:pPr>
          </w:p>
        </w:tc>
        <w:tc>
          <w:tcPr>
            <w:tcW w:w="1840" w:type="dxa"/>
            <w:vAlign w:val="bottom"/>
            <w:gridSpan w:val="4"/>
          </w:tcPr>
          <w:p>
            <w:pPr>
              <w:jc w:val="center"/>
              <w:ind w:left="568"/>
              <w:spacing w:after="0"/>
              <w:rPr>
                <w:sz w:val="20"/>
                <w:szCs w:val="20"/>
                <w:color w:val="auto"/>
              </w:rPr>
            </w:pPr>
            <w:r>
              <w:rPr>
                <w:rFonts w:ascii="Arial" w:cs="Arial" w:eastAsia="Arial" w:hAnsi="Arial"/>
                <w:sz w:val="18"/>
                <w:szCs w:val="18"/>
                <w:color w:val="auto"/>
              </w:rPr>
              <w:t>1,295,780.04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color w:val="auto"/>
              </w:rPr>
              <w:t>117,798.19</w:t>
            </w:r>
          </w:p>
        </w:tc>
        <w:tc>
          <w:tcPr>
            <w:tcW w:w="0" w:type="dxa"/>
            <w:vAlign w:val="bottom"/>
          </w:tcPr>
          <w:p>
            <w:pPr>
              <w:spacing w:after="0"/>
              <w:rPr>
                <w:sz w:val="1"/>
                <w:szCs w:val="1"/>
                <w:color w:val="auto"/>
              </w:rPr>
            </w:pPr>
          </w:p>
        </w:tc>
      </w:tr>
      <w:tr>
        <w:trPr>
          <w:trHeight w:val="563"/>
        </w:trPr>
        <w:tc>
          <w:tcPr>
            <w:tcW w:w="720" w:type="dxa"/>
            <w:vAlign w:val="bottom"/>
            <w:gridSpan w:val="3"/>
          </w:tcPr>
          <w:p>
            <w:pPr>
              <w:jc w:val="center"/>
              <w:ind w:right="220"/>
              <w:spacing w:after="0"/>
              <w:rPr>
                <w:sz w:val="20"/>
                <w:szCs w:val="20"/>
                <w:color w:val="auto"/>
              </w:rPr>
            </w:pPr>
            <w:r>
              <w:rPr>
                <w:rFonts w:ascii="Arial" w:cs="Arial" w:eastAsia="Arial" w:hAnsi="Arial"/>
                <w:sz w:val="18"/>
                <w:szCs w:val="18"/>
                <w:color w:val="auto"/>
              </w:rPr>
              <w:t>Lease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Annual Fixed Rent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color w:val="auto"/>
              </w:rPr>
              <w:t>Monthly Fixed Rent</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38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7"/>
                <w:szCs w:val="17"/>
                <w:color w:val="auto"/>
              </w:rPr>
              <w:t>Year</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11</w:t>
            </w:r>
          </w:p>
        </w:tc>
        <w:tc>
          <w:tcPr>
            <w:tcW w:w="300" w:type="dxa"/>
            <w:vAlign w:val="bottom"/>
          </w:tcPr>
          <w:p>
            <w:pPr>
              <w:spacing w:after="0"/>
              <w:rPr>
                <w:sz w:val="23"/>
                <w:szCs w:val="23"/>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1,455,985.57</w:t>
            </w:r>
          </w:p>
        </w:tc>
        <w:tc>
          <w:tcPr>
            <w:tcW w:w="300" w:type="dxa"/>
            <w:vAlign w:val="bottom"/>
          </w:tcPr>
          <w:p>
            <w:pPr>
              <w:spacing w:after="0"/>
              <w:rPr>
                <w:sz w:val="23"/>
                <w:szCs w:val="23"/>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121,332.13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12</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1,499,665.13</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124,972.09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13</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1,544,655.09</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128,721.26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14</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1,590,994.74</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132,582.90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15</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1,638,724.58</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136,560.38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16</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1,687,886.32</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140,657.19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17</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1,738,522.91</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144,876.91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18</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1,790,678.60</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149,223.22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19</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1,844,398.95</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153,699.91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20</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1,899,730.92</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158,310.91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8"/>
        </w:trPr>
        <w:tc>
          <w:tcPr>
            <w:tcW w:w="720" w:type="dxa"/>
            <w:vAlign w:val="bottom"/>
            <w:gridSpan w:val="3"/>
          </w:tcPr>
          <w:p>
            <w:pPr>
              <w:jc w:val="center"/>
              <w:ind w:right="220"/>
              <w:spacing w:after="0"/>
              <w:rPr>
                <w:sz w:val="20"/>
                <w:szCs w:val="20"/>
                <w:color w:val="auto"/>
              </w:rPr>
            </w:pPr>
            <w:r>
              <w:rPr>
                <w:rFonts w:ascii="Arial" w:cs="Arial" w:eastAsia="Arial" w:hAnsi="Arial"/>
                <w:sz w:val="18"/>
                <w:szCs w:val="18"/>
                <w:color w:val="auto"/>
              </w:rPr>
              <w:t>Lease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8"/>
                <w:szCs w:val="18"/>
                <w:color w:val="auto"/>
                <w:w w:val="99"/>
              </w:rPr>
              <w:t>Year</w:t>
            </w:r>
          </w:p>
        </w:tc>
        <w:tc>
          <w:tcPr>
            <w:tcW w:w="3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vMerge w:val="restart"/>
          </w:tcPr>
          <w:p>
            <w:pPr>
              <w:spacing w:after="0"/>
              <w:rPr>
                <w:sz w:val="20"/>
                <w:szCs w:val="20"/>
                <w:color w:val="auto"/>
              </w:rPr>
            </w:pPr>
            <w:r>
              <w:rPr>
                <w:rFonts w:ascii="Arial" w:cs="Arial" w:eastAsia="Arial" w:hAnsi="Arial"/>
                <w:sz w:val="18"/>
                <w:szCs w:val="18"/>
                <w:color w:val="auto"/>
              </w:rPr>
              <w:t>Annual Fixed Rent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vMerge w:val="restart"/>
          </w:tcPr>
          <w:p>
            <w:pPr>
              <w:jc w:val="center"/>
              <w:ind w:right="400"/>
              <w:spacing w:after="0"/>
              <w:rPr>
                <w:sz w:val="20"/>
                <w:szCs w:val="20"/>
                <w:color w:val="auto"/>
              </w:rPr>
            </w:pPr>
            <w:r>
              <w:rPr>
                <w:rFonts w:ascii="Arial" w:cs="Arial" w:eastAsia="Arial" w:hAnsi="Arial"/>
                <w:sz w:val="18"/>
                <w:szCs w:val="18"/>
                <w:color w:val="auto"/>
              </w:rPr>
              <w:t>Monthly Fixed Rent</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5"/>
            <w:vMerge w:val="continue"/>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21</w:t>
            </w:r>
          </w:p>
        </w:tc>
        <w:tc>
          <w:tcPr>
            <w:tcW w:w="3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rPr>
              <w:t>1,956,722.85</w:t>
            </w:r>
          </w:p>
        </w:tc>
        <w:tc>
          <w:tcPr>
            <w:tcW w:w="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360" w:type="dxa"/>
            <w:vAlign w:val="bottom"/>
            <w:tcBorders>
              <w:top w:val="single" w:sz="8" w:color="auto"/>
            </w:tcBorders>
            <w:gridSpan w:val="2"/>
          </w:tcPr>
          <w:p>
            <w:pPr>
              <w:jc w:val="center"/>
              <w:ind w:left="108"/>
              <w:spacing w:after="0"/>
              <w:rPr>
                <w:sz w:val="20"/>
                <w:szCs w:val="20"/>
                <w:color w:val="auto"/>
              </w:rPr>
            </w:pPr>
            <w:r>
              <w:rPr>
                <w:rFonts w:ascii="Arial" w:cs="Arial" w:eastAsia="Arial" w:hAnsi="Arial"/>
                <w:sz w:val="18"/>
                <w:szCs w:val="18"/>
                <w:color w:val="auto"/>
              </w:rPr>
              <w:t>163,060.24</w:t>
            </w: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22</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2,015,424.54</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167,952.04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23</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2,075,887.27</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172,990.61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2"/>
                <w:szCs w:val="22"/>
                <w:color w:val="auto"/>
              </w:rPr>
            </w:pPr>
          </w:p>
        </w:tc>
        <w:tc>
          <w:tcPr>
            <w:tcW w:w="1920" w:type="dxa"/>
            <w:vAlign w:val="bottom"/>
            <w:gridSpan w:val="4"/>
          </w:tcPr>
          <w:p>
            <w:pPr>
              <w:jc w:val="center"/>
              <w:ind w:left="328"/>
              <w:spacing w:after="0"/>
              <w:rPr>
                <w:sz w:val="20"/>
                <w:szCs w:val="20"/>
                <w:color w:val="auto"/>
              </w:rPr>
            </w:pPr>
            <w:r>
              <w:rPr>
                <w:rFonts w:ascii="Arial" w:cs="Arial" w:eastAsia="Arial" w:hAnsi="Arial"/>
                <w:sz w:val="18"/>
                <w:szCs w:val="18"/>
                <w:color w:val="auto"/>
              </w:rPr>
              <w:t>2,138,163.89</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178,180.32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20" w:type="dxa"/>
            <w:vAlign w:val="bottom"/>
            <w:gridSpan w:val="2"/>
          </w:tcPr>
          <w:p>
            <w:pPr>
              <w:jc w:val="center"/>
              <w:ind w:left="88"/>
              <w:spacing w:after="0"/>
              <w:rPr>
                <w:sz w:val="20"/>
                <w:szCs w:val="20"/>
                <w:color w:val="auto"/>
              </w:rPr>
            </w:pPr>
            <w:r>
              <w:rPr>
                <w:rFonts w:ascii="Arial" w:cs="Arial" w:eastAsia="Arial" w:hAnsi="Arial"/>
                <w:sz w:val="18"/>
                <w:szCs w:val="18"/>
                <w:color w:val="auto"/>
                <w:w w:val="99"/>
              </w:rPr>
              <w:t>25</w:t>
            </w:r>
          </w:p>
        </w:tc>
        <w:tc>
          <w:tcPr>
            <w:tcW w:w="300" w:type="dxa"/>
            <w:vAlign w:val="bottom"/>
          </w:tcPr>
          <w:p>
            <w:pPr>
              <w:spacing w:after="0"/>
              <w:rPr>
                <w:sz w:val="22"/>
                <w:szCs w:val="22"/>
                <w:color w:val="auto"/>
              </w:rPr>
            </w:pPr>
          </w:p>
        </w:tc>
        <w:tc>
          <w:tcPr>
            <w:tcW w:w="1920" w:type="dxa"/>
            <w:vAlign w:val="bottom"/>
            <w:gridSpan w:val="4"/>
          </w:tcPr>
          <w:p>
            <w:pPr>
              <w:jc w:val="center"/>
              <w:ind w:left="308"/>
              <w:spacing w:after="0"/>
              <w:rPr>
                <w:sz w:val="20"/>
                <w:szCs w:val="20"/>
                <w:color w:val="auto"/>
              </w:rPr>
            </w:pPr>
            <w:r>
              <w:rPr>
                <w:rFonts w:ascii="Arial" w:cs="Arial" w:eastAsia="Arial" w:hAnsi="Arial"/>
                <w:sz w:val="18"/>
                <w:szCs w:val="18"/>
                <w:color w:val="auto"/>
              </w:rPr>
              <w:t>2,202, 308.81</w:t>
            </w:r>
          </w:p>
        </w:tc>
        <w:tc>
          <w:tcPr>
            <w:tcW w:w="300" w:type="dxa"/>
            <w:vAlign w:val="bottom"/>
          </w:tcPr>
          <w:p>
            <w:pPr>
              <w:spacing w:after="0"/>
              <w:rPr>
                <w:sz w:val="22"/>
                <w:szCs w:val="22"/>
                <w:color w:val="auto"/>
              </w:rPr>
            </w:pPr>
          </w:p>
        </w:tc>
        <w:tc>
          <w:tcPr>
            <w:tcW w:w="1840" w:type="dxa"/>
            <w:vAlign w:val="bottom"/>
            <w:gridSpan w:val="4"/>
          </w:tcPr>
          <w:p>
            <w:pPr>
              <w:jc w:val="center"/>
              <w:ind w:left="588"/>
              <w:spacing w:after="0"/>
              <w:rPr>
                <w:sz w:val="20"/>
                <w:szCs w:val="20"/>
                <w:color w:val="auto"/>
              </w:rPr>
            </w:pPr>
            <w:r>
              <w:rPr>
                <w:rFonts w:ascii="Arial" w:cs="Arial" w:eastAsia="Arial" w:hAnsi="Arial"/>
                <w:sz w:val="18"/>
                <w:szCs w:val="18"/>
                <w:color w:val="auto"/>
              </w:rPr>
              <w:t>183,525.73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500" w:top="1415" w:right="115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Arial" w:cs="Arial" w:eastAsia="Arial" w:hAnsi="Arial"/>
                <w:sz w:val="18"/>
                <w:szCs w:val="18"/>
                <w:color w:val="auto"/>
              </w:rPr>
              <w:t>Lease</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8"/>
                <w:szCs w:val="18"/>
                <w:color w:val="auto"/>
                <w:w w:val="94"/>
              </w:rPr>
              <w:t>Year</w:t>
            </w:r>
          </w:p>
        </w:tc>
        <w:tc>
          <w:tcPr>
            <w:tcW w:w="720" w:type="dxa"/>
            <w:vAlign w:val="bottom"/>
            <w:vMerge w:val="restart"/>
          </w:tcPr>
          <w:p>
            <w:pPr>
              <w:spacing w:after="0"/>
              <w:rPr>
                <w:sz w:val="15"/>
                <w:szCs w:val="15"/>
                <w:color w:val="auto"/>
              </w:rPr>
            </w:pPr>
          </w:p>
        </w:tc>
        <w:tc>
          <w:tcPr>
            <w:tcW w:w="228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rPr>
              <w:t>Annual Fixed Rent</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Monthly Fixed Rent</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28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4"/>
                <w:szCs w:val="24"/>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2,268,378.07</w:t>
            </w:r>
          </w:p>
        </w:tc>
        <w:tc>
          <w:tcPr>
            <w:tcW w:w="78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189,031.51</w:t>
            </w:r>
          </w:p>
        </w:tc>
        <w:tc>
          <w:tcPr>
            <w:tcW w:w="0" w:type="dxa"/>
            <w:vAlign w:val="bottom"/>
          </w:tcPr>
          <w:p>
            <w:pPr>
              <w:spacing w:after="0"/>
              <w:rPr>
                <w:sz w:val="1"/>
                <w:szCs w:val="1"/>
                <w:color w:val="auto"/>
              </w:rPr>
            </w:pPr>
          </w:p>
        </w:tc>
      </w:tr>
      <w:tr>
        <w:trPr>
          <w:trHeight w:val="262"/>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2,336,429.41</w:t>
            </w:r>
          </w:p>
        </w:tc>
        <w:tc>
          <w:tcPr>
            <w:tcW w:w="7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194,702.45</w:t>
            </w:r>
          </w:p>
        </w:tc>
        <w:tc>
          <w:tcPr>
            <w:tcW w:w="0" w:type="dxa"/>
            <w:vAlign w:val="bottom"/>
          </w:tcPr>
          <w:p>
            <w:pPr>
              <w:spacing w:after="0"/>
              <w:rPr>
                <w:sz w:val="1"/>
                <w:szCs w:val="1"/>
                <w:color w:val="auto"/>
              </w:rPr>
            </w:pPr>
          </w:p>
        </w:tc>
      </w:tr>
      <w:tr>
        <w:trPr>
          <w:trHeight w:val="262"/>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2,406,522.30</w:t>
            </w:r>
          </w:p>
        </w:tc>
        <w:tc>
          <w:tcPr>
            <w:tcW w:w="7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200,543.52</w:t>
            </w:r>
          </w:p>
        </w:tc>
        <w:tc>
          <w:tcPr>
            <w:tcW w:w="0" w:type="dxa"/>
            <w:vAlign w:val="bottom"/>
          </w:tcPr>
          <w:p>
            <w:pPr>
              <w:spacing w:after="0"/>
              <w:rPr>
                <w:sz w:val="1"/>
                <w:szCs w:val="1"/>
                <w:color w:val="auto"/>
              </w:rPr>
            </w:pPr>
          </w:p>
        </w:tc>
      </w:tr>
      <w:tr>
        <w:trPr>
          <w:trHeight w:val="262"/>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2,478,717.96</w:t>
            </w:r>
          </w:p>
        </w:tc>
        <w:tc>
          <w:tcPr>
            <w:tcW w:w="7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206,559.83</w:t>
            </w:r>
          </w:p>
        </w:tc>
        <w:tc>
          <w:tcPr>
            <w:tcW w:w="0" w:type="dxa"/>
            <w:vAlign w:val="bottom"/>
          </w:tcPr>
          <w:p>
            <w:pPr>
              <w:spacing w:after="0"/>
              <w:rPr>
                <w:sz w:val="1"/>
                <w:szCs w:val="1"/>
                <w:color w:val="auto"/>
              </w:rPr>
            </w:pPr>
          </w:p>
        </w:tc>
      </w:tr>
      <w:tr>
        <w:trPr>
          <w:trHeight w:val="262"/>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2,553,079.50</w:t>
            </w:r>
          </w:p>
        </w:tc>
        <w:tc>
          <w:tcPr>
            <w:tcW w:w="7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212,756.63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Seminis-Mission Lease-Oxnard CA-Fixed Rent Schedule -Exhibit B FINAL.docx</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30" w:lineRule="exact"/>
        <w:rPr>
          <w:sz w:val="20"/>
          <w:szCs w:val="20"/>
          <w:color w:val="auto"/>
        </w:rPr>
      </w:pPr>
    </w:p>
    <w:p>
      <w:pPr>
        <w:ind w:left="200" w:firstLine="3"/>
        <w:spacing w:after="0" w:line="250" w:lineRule="auto"/>
        <w:tabs>
          <w:tab w:leader="none" w:pos="5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first Lease Year begins on the Rent Commencement Date, which is the earlier of (i) November 1, 2020, or (ii) date on which the installation of the Initial Tenant Improvements are complete. If the first Lease Year begins on a date other than the first day of a calendar month, it will include the partial calendar month during which the Rent Commencement Date occurs, plus the 12 consecutive calendar months thereafter. If the first Lease Year includes a partial month, a prorated fixed rent for the partial month will also be payable (see Key Lease Terms and Section 2.01).</w:t>
      </w:r>
    </w:p>
    <w:p>
      <w:pPr>
        <w:spacing w:after="0" w:line="209" w:lineRule="exact"/>
        <w:rPr>
          <w:rFonts w:ascii="Arial" w:cs="Arial" w:eastAsia="Arial" w:hAnsi="Arial"/>
          <w:sz w:val="18"/>
          <w:szCs w:val="18"/>
          <w:color w:val="auto"/>
        </w:rPr>
      </w:pPr>
    </w:p>
    <w:p>
      <w:pPr>
        <w:ind w:left="560" w:hanging="357"/>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Fixed Rent is abated for the first full month following the Rent Commencement and for the same month for the</w:t>
      </w:r>
    </w:p>
    <w:p>
      <w:pPr>
        <w:spacing w:after="0" w:line="5" w:lineRule="exact"/>
        <w:rPr>
          <w:sz w:val="20"/>
          <w:szCs w:val="20"/>
          <w:color w:val="auto"/>
        </w:rPr>
      </w:pPr>
    </w:p>
    <w:p>
      <w:pPr>
        <w:ind w:left="200" w:right="640"/>
        <w:spacing w:after="0" w:line="261" w:lineRule="auto"/>
        <w:rPr>
          <w:sz w:val="20"/>
          <w:szCs w:val="20"/>
          <w:color w:val="auto"/>
        </w:rPr>
      </w:pPr>
      <w:r>
        <w:rPr>
          <w:rFonts w:ascii="Arial" w:cs="Arial" w:eastAsia="Arial" w:hAnsi="Arial"/>
          <w:sz w:val="18"/>
          <w:szCs w:val="18"/>
          <w:color w:val="auto"/>
        </w:rPr>
        <w:t>following 9 consecutive years, such that Tenant will receive a 10-month Fixed Rent abatement spread over the first 10 Lease Years.</w:t>
      </w:r>
    </w:p>
    <w:p>
      <w:pPr>
        <w:spacing w:after="0" w:line="200" w:lineRule="exact"/>
        <w:rPr>
          <w:sz w:val="20"/>
          <w:szCs w:val="20"/>
          <w:color w:val="auto"/>
        </w:rPr>
      </w:pPr>
    </w:p>
    <w:p>
      <w:pPr>
        <w:ind w:left="200" w:right="440" w:firstLine="3"/>
        <w:spacing w:after="0" w:line="261" w:lineRule="auto"/>
        <w:tabs>
          <w:tab w:leader="none" w:pos="5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and monthly Fixed Rent Amounts for Lease Years 21 through 25 apply if Tenant exercises its first 5-year Renewal Option.</w:t>
      </w:r>
    </w:p>
    <w:p>
      <w:pPr>
        <w:spacing w:after="0" w:line="199" w:lineRule="exact"/>
        <w:rPr>
          <w:rFonts w:ascii="Arial" w:cs="Arial" w:eastAsia="Arial" w:hAnsi="Arial"/>
          <w:sz w:val="18"/>
          <w:szCs w:val="18"/>
          <w:color w:val="auto"/>
        </w:rPr>
      </w:pPr>
    </w:p>
    <w:p>
      <w:pPr>
        <w:ind w:left="200" w:right="140" w:firstLine="3"/>
        <w:spacing w:after="0" w:line="261" w:lineRule="auto"/>
        <w:tabs>
          <w:tab w:leader="none" w:pos="5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and monthly Fixed Rent Amounts for Lease Years 26 through 30 apply if Tenant exercises its second 5-year Renewal Option.</w:t>
      </w:r>
    </w:p>
    <w:p>
      <w:pPr>
        <w:spacing w:after="0" w:line="212" w:lineRule="exact"/>
        <w:rPr>
          <w:rFonts w:ascii="Arial" w:cs="Arial" w:eastAsia="Arial" w:hAnsi="Arial"/>
          <w:sz w:val="18"/>
          <w:szCs w:val="18"/>
          <w:color w:val="auto"/>
        </w:rPr>
      </w:pPr>
    </w:p>
    <w:p>
      <w:pPr>
        <w:ind w:left="560" w:hanging="35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Landlord reserves the right to prepare an updated Rent Schedule once the specific Rent Commencement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is known.</w:t>
      </w:r>
    </w:p>
    <w:p>
      <w:pPr>
        <w:spacing w:after="0" w:line="53" w:lineRule="exact"/>
        <w:rPr>
          <w:sz w:val="20"/>
          <w:szCs w:val="20"/>
          <w:color w:val="auto"/>
        </w:rPr>
      </w:pPr>
    </w:p>
    <w:p>
      <w:pPr>
        <w:ind w:left="1360"/>
        <w:spacing w:after="0"/>
        <w:rPr>
          <w:sz w:val="20"/>
          <w:szCs w:val="20"/>
          <w:color w:val="auto"/>
        </w:rPr>
      </w:pPr>
      <w:r>
        <w:rPr>
          <w:rFonts w:ascii="Arial" w:cs="Arial" w:eastAsia="Arial" w:hAnsi="Arial"/>
          <w:sz w:val="33"/>
          <w:szCs w:val="33"/>
          <w:b w:val="1"/>
          <w:bCs w:val="1"/>
          <w:color w:val="0F0F0F"/>
        </w:rPr>
        <w:t>2700 Camino del Sol, Oxnard, CA Tenant/Landlord Site</w:t>
      </w:r>
    </w:p>
    <w:p>
      <w:pPr>
        <w:spacing w:after="0" w:line="70" w:lineRule="exact"/>
        <w:rPr>
          <w:sz w:val="20"/>
          <w:szCs w:val="20"/>
          <w:color w:val="auto"/>
        </w:rPr>
      </w:pPr>
    </w:p>
    <w:p>
      <w:pPr>
        <w:ind w:left="1880"/>
        <w:spacing w:after="0"/>
        <w:tabs>
          <w:tab w:leader="none" w:pos="2900" w:val="left"/>
        </w:tabs>
        <w:rPr>
          <w:sz w:val="20"/>
          <w:szCs w:val="20"/>
          <w:color w:val="auto"/>
        </w:rPr>
      </w:pPr>
      <w:r>
        <w:rPr>
          <w:rFonts w:ascii="Arial" w:cs="Arial" w:eastAsia="Arial" w:hAnsi="Arial"/>
          <w:sz w:val="33"/>
          <w:szCs w:val="33"/>
          <w:b w:val="1"/>
          <w:bCs w:val="1"/>
          <w:color w:val="0F0F0F"/>
        </w:rPr>
        <w:t>Map</w:t>
      </w:r>
      <w:r>
        <w:rPr>
          <w:sz w:val="20"/>
          <w:szCs w:val="20"/>
          <w:color w:val="auto"/>
        </w:rPr>
        <w:tab/>
      </w:r>
      <w:r>
        <w:rPr>
          <w:rFonts w:ascii="Arial" w:cs="Arial" w:eastAsia="Arial" w:hAnsi="Arial"/>
          <w:sz w:val="17"/>
          <w:szCs w:val="17"/>
          <w:b w:val="1"/>
          <w:bCs w:val="1"/>
          <w:u w:val="single" w:color="auto"/>
          <w:color w:val="0F0F0F"/>
        </w:rPr>
        <w:t>ExH1s1Tc</w:t>
      </w:r>
    </w:p>
    <w:p>
      <w:pPr>
        <w:sectPr>
          <w:pgSz w:w="11900" w:h="16838" w:orient="portrait"/>
          <w:cols w:equalWidth="0" w:num="1">
            <w:col w:w="10380"/>
          </w:cols>
          <w:pgMar w:left="500" w:top="379" w:right="101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2052320</wp:posOffset>
            </wp:positionH>
            <wp:positionV relativeFrom="page">
              <wp:posOffset>231775</wp:posOffset>
            </wp:positionV>
            <wp:extent cx="5351780" cy="671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351780" cy="671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520"/>
        <w:spacing w:after="0"/>
        <w:tabs>
          <w:tab w:leader="none" w:pos="3880" w:val="left"/>
        </w:tabs>
        <w:rPr>
          <w:sz w:val="20"/>
          <w:szCs w:val="20"/>
          <w:color w:val="auto"/>
        </w:rPr>
      </w:pPr>
      <w:r>
        <w:rPr>
          <w:rFonts w:ascii="Arial" w:cs="Arial" w:eastAsia="Arial" w:hAnsi="Arial"/>
          <w:sz w:val="12"/>
          <w:szCs w:val="12"/>
          <w:b w:val="1"/>
          <w:bCs w:val="1"/>
          <w:color w:val="0F0F0F"/>
        </w:rPr>
        <w:t>Shared Visitor Parking</w:t>
      </w:r>
      <w:r>
        <w:rPr>
          <w:sz w:val="20"/>
          <w:szCs w:val="20"/>
          <w:color w:val="auto"/>
        </w:rPr>
        <w:tab/>
      </w:r>
      <w:r>
        <w:rPr>
          <w:rFonts w:ascii="Arial" w:cs="Arial" w:eastAsia="Arial" w:hAnsi="Arial"/>
          <w:sz w:val="10"/>
          <w:szCs w:val="10"/>
          <w:b w:val="1"/>
          <w:bCs w:val="1"/>
          <w:color w:val="0F0F0F"/>
        </w:rPr>
        <w:t>Shared Spaces</w:t>
      </w:r>
    </w:p>
    <w:p>
      <w:pPr>
        <w:spacing w:after="0" w:line="6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D</w:t>
      </w: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Personal Property Leased to Tenant</w:t>
      </w:r>
    </w:p>
    <w:p>
      <w:pPr>
        <w:spacing w:after="0" w:line="200" w:lineRule="exact"/>
        <w:rPr>
          <w:sz w:val="20"/>
          <w:szCs w:val="20"/>
          <w:color w:val="auto"/>
        </w:rPr>
      </w:pPr>
    </w:p>
    <w:p>
      <w:pPr>
        <w:spacing w:after="0" w:line="3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exhibit will be completed after this Lease is executed and before the Rent Commencement Date. Following the execution of this Lease, Tenant will select which personal property of Landlord that is currently situated in the Premises that Tenant wants to use/lease, and Landlord shall remove the balance of such personal property that Tenant does not select.</w:t>
      </w:r>
    </w:p>
    <w:p>
      <w:pPr>
        <w:sectPr>
          <w:pgSz w:w="11900" w:h="16838" w:orient="portrait"/>
          <w:cols w:equalWidth="0" w:num="1">
            <w:col w:w="10120"/>
          </w:cols>
          <w:pgMar w:left="700" w:top="1440" w:right="107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Example: End of Sixth Lease Year</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EXHBIT E</w:t>
      </w:r>
    </w:p>
    <w:p>
      <w:pPr>
        <w:spacing w:after="0" w:line="314" w:lineRule="exact"/>
        <w:rPr>
          <w:sz w:val="20"/>
          <w:szCs w:val="20"/>
          <w:color w:val="auto"/>
        </w:rPr>
      </w:pPr>
    </w:p>
    <w:p>
      <w:pPr>
        <w:ind w:left="1080" w:right="1240" w:firstLine="695"/>
        <w:spacing w:after="0" w:line="281" w:lineRule="auto"/>
        <w:rPr>
          <w:sz w:val="20"/>
          <w:szCs w:val="20"/>
          <w:color w:val="auto"/>
        </w:rPr>
      </w:pPr>
      <w:r>
        <w:rPr>
          <w:rFonts w:ascii="Arial" w:cs="Arial" w:eastAsia="Arial" w:hAnsi="Arial"/>
          <w:sz w:val="18"/>
          <w:szCs w:val="18"/>
          <w:b w:val="1"/>
          <w:bCs w:val="1"/>
          <w:color w:val="auto"/>
        </w:rPr>
        <w:t>Examples of Application of Section 1.10 in Computing Landlord’s Early Termination Fee and Tenant’s Early Termination Fee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of Landlord’s Early Termination Fee</w:t>
      </w:r>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Per Section 1.10(a) of the Lease, if Landlord exercises its early termination right, Landlord shall pay Tenant a termination fee in the amount of: (1) the unamortized portion of the amount paid by Tenant in constructing and installing the Initial Tenant Improvements (provided that the maximum amount of such amount to be amortized for purposes of computing Landlord’s early termination fee is $1,250,000); plus</w:t>
      </w:r>
    </w:p>
    <w:p>
      <w:pPr>
        <w:jc w:val="both"/>
        <w:ind w:right="80" w:firstLine="3"/>
        <w:spacing w:after="0" w:line="291" w:lineRule="auto"/>
        <w:tabs>
          <w:tab w:leader="none" w:pos="39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unamortized portion of the total amount paid by Tenant for the Tenant Title 24 Work, if any, minus (3) the total amount of the Rent Abatement that Tenant received prior to the effective date of the early termination. For purposes of determining Landlord’s termination fee, the amount paid by Tenant in constructing and installing the Initial Tenant Improvements (up to a maximum of $1,250,000), and the total amount paid by Tenant for the Tenant Title 24 Work, if any, are to be amortized on a straight-line basis over the 20-Lease Year Term.</w:t>
      </w:r>
    </w:p>
    <w:p>
      <w:pPr>
        <w:spacing w:after="0" w:line="17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Assume that Landlord exercises its early termination right effective at the expiration of the sixth Lease Year. In such event Tenant would have received Fixed Rent abatement for the first month of each of the first six Lease Years totaling $583,984.23 (see Fixed Rent Schedule attached as Exhibit B to Lease).</w:t>
      </w:r>
    </w:p>
    <w:p>
      <w:pPr>
        <w:spacing w:after="0" w:line="1"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Assume further that Tenant paid at least $1,250,000 in constructing and installing the Initial Tenant Improvements, and that Tenant paid $200,000 for the Tenant Title 24 Work. Therefore, (i) such</w:t>
      </w:r>
    </w:p>
    <w:p>
      <w:pPr>
        <w:spacing w:after="0" w:line="232" w:lineRule="auto"/>
        <w:rPr>
          <w:sz w:val="20"/>
          <w:szCs w:val="20"/>
          <w:color w:val="auto"/>
        </w:rPr>
      </w:pPr>
      <w:r>
        <w:rPr>
          <w:rFonts w:ascii="Arial" w:cs="Arial" w:eastAsia="Arial" w:hAnsi="Arial"/>
          <w:sz w:val="18"/>
          <w:szCs w:val="18"/>
          <w:color w:val="auto"/>
        </w:rPr>
        <w:t>$1,250,000 amount would be amortized by $62,500 per Lease Year ($1,250,000 divided by 20), (ii) the</w:t>
      </w:r>
    </w:p>
    <w:p>
      <w:pPr>
        <w:spacing w:after="0" w:line="246" w:lineRule="auto"/>
        <w:rPr>
          <w:sz w:val="20"/>
          <w:szCs w:val="20"/>
          <w:color w:val="auto"/>
        </w:rPr>
      </w:pPr>
      <w:r>
        <w:rPr>
          <w:rFonts w:ascii="Arial" w:cs="Arial" w:eastAsia="Arial" w:hAnsi="Arial"/>
          <w:sz w:val="18"/>
          <w:szCs w:val="18"/>
          <w:color w:val="auto"/>
        </w:rPr>
        <w:t>$200,000 amount paid by Tenant for the Tenant Title 24 Work would be amortized by $10,000 per Lease Year ($200,000 divided by 20), (iii) after six Lease Years, the unamortized portion of the amount paid by Tenant in constructing and installing the Initial Tenant Improvements would equal $1,250,000 minus ($62,500 x 6), or $875,000, and (iv) after six Lease Years, the unamortized portion of the amount paid by Tenant for the Tenant Title 24 Work would equal $200,000 minus ($10,000 x 6) or $140,000.</w:t>
      </w:r>
    </w:p>
    <w:p>
      <w:pPr>
        <w:spacing w:after="0" w:line="1" w:lineRule="exact"/>
        <w:rPr>
          <w:sz w:val="20"/>
          <w:szCs w:val="20"/>
          <w:color w:val="auto"/>
        </w:rPr>
      </w:pPr>
    </w:p>
    <w:p>
      <w:pPr>
        <w:ind w:right="3300"/>
        <w:spacing w:after="0" w:line="243" w:lineRule="auto"/>
        <w:rPr>
          <w:sz w:val="20"/>
          <w:szCs w:val="20"/>
          <w:color w:val="auto"/>
        </w:rPr>
      </w:pPr>
      <w:r>
        <w:rPr>
          <w:rFonts w:ascii="Arial" w:cs="Arial" w:eastAsia="Arial" w:hAnsi="Arial"/>
          <w:sz w:val="18"/>
          <w:szCs w:val="18"/>
          <w:color w:val="auto"/>
        </w:rPr>
        <w:t xml:space="preserve">Accordingly, under this example, Landlord’s termination fee would equal (1) $875,000, (2) plus $140,000, minus (3) $583,984.23, or </w:t>
      </w:r>
      <w:r>
        <w:rPr>
          <w:rFonts w:ascii="Arial" w:cs="Arial" w:eastAsia="Arial" w:hAnsi="Arial"/>
          <w:sz w:val="18"/>
          <w:szCs w:val="18"/>
          <w:b w:val="1"/>
          <w:bCs w:val="1"/>
          <w:color w:val="auto"/>
        </w:rPr>
        <w:t>$431,015.77.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of Tenant Early Termination Fee</w:t>
      </w:r>
    </w:p>
    <w:p>
      <w:pPr>
        <w:spacing w:after="0" w:line="30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Per Section 1.10(b), if Tenant exercises its early termination right, Tenant shall pay Landlord a termination fee in the amount of (1) the unamortized portion of the amount paid by Landlord in constructing Landlord’s TI Work (which cost is estimated to be $600,000), plus (2) the total amount paid by Landlord for the Landlord Title 24 Work, if any, plus (3) the unamortized portion of the broker commissions paid by Landlord pursuant to Section 12.01 of the Lease. For purposes of determining</w:t>
      </w:r>
    </w:p>
    <w:p>
      <w:pPr>
        <w:spacing w:after="0" w:line="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Tenant’s termination fee, the cost paid by Landlord in constructing Landlord’s TI Work, the total cost paid by Landlord for the Landlord Title 24 Work, if any, and the amount of the brokers commission paid by Landlord, are all to be amortized on a straight-line basis over the 20-Lease Year Term.</w:t>
      </w:r>
    </w:p>
    <w:p>
      <w:pPr>
        <w:spacing w:after="0" w:line="207"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Assume Tenant exercises its early termination right effective at the expiration of the sixth Lease Year. Assume further that (1) the amount paid by Landlord in constructing Landlord’s TI Work totaled</w:t>
      </w:r>
    </w:p>
    <w:p>
      <w:pPr>
        <w:sectPr>
          <w:pgSz w:w="11900" w:h="16838" w:orient="portrait"/>
          <w:cols w:equalWidth="0" w:num="1">
            <w:col w:w="10340"/>
          </w:cols>
          <w:pgMar w:left="700" w:top="411" w:right="859" w:bottom="1440" w:gutter="0" w:footer="0" w:header="0"/>
        </w:sectPr>
      </w:pPr>
    </w:p>
    <w:bookmarkStart w:id="106" w:name="page107"/>
    <w:bookmarkEnd w:id="106"/>
    <w:p>
      <w:pPr>
        <w:ind w:left="380"/>
        <w:spacing w:after="0" w:line="255" w:lineRule="auto"/>
        <w:rPr>
          <w:sz w:val="20"/>
          <w:szCs w:val="20"/>
          <w:color w:val="auto"/>
        </w:rPr>
      </w:pPr>
      <w:r>
        <w:rPr>
          <w:rFonts w:ascii="Arial" w:cs="Arial" w:eastAsia="Arial" w:hAnsi="Arial"/>
          <w:sz w:val="18"/>
          <w:szCs w:val="18"/>
          <w:color w:val="auto"/>
        </w:rPr>
        <w:t>$600,000, (2) the amount paid by Landlord for the Landlord Title 24 Work totaled $150,000, and (3) the broker commissions paid by Landlord pursuant to Section 12.01 of the Lease totaled $667,925. Therefore</w:t>
      </w:r>
    </w:p>
    <w:p>
      <w:pPr>
        <w:ind w:left="380"/>
        <w:spacing w:after="0"/>
        <w:tabs>
          <w:tab w:leader="none" w:pos="7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$600,000 cost incurred by Landlord in constructing Landlord’s TI Work would be amortized by</w:t>
      </w:r>
    </w:p>
    <w:p>
      <w:pPr>
        <w:ind w:left="380" w:right="580"/>
        <w:spacing w:after="0" w:line="258" w:lineRule="auto"/>
        <w:rPr>
          <w:sz w:val="20"/>
          <w:szCs w:val="20"/>
          <w:color w:val="auto"/>
        </w:rPr>
      </w:pPr>
      <w:r>
        <w:rPr>
          <w:rFonts w:ascii="Arial" w:cs="Arial" w:eastAsia="Arial" w:hAnsi="Arial"/>
          <w:sz w:val="18"/>
          <w:szCs w:val="18"/>
          <w:color w:val="auto"/>
        </w:rPr>
        <w:t>$30,000 per Lease Year ($600,000 divided by 20); (ii) the $150,000 amount paid by Landlord for the Landlord Title 24 Work would be amortized by $7,500 per Lease Year ($150,000 divided by 20), (iii) the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Example: End of Sixth Lease Year</w:t>
      </w:r>
    </w:p>
    <w:p>
      <w:pPr>
        <w:spacing w:after="0" w:line="200" w:lineRule="exact"/>
        <w:rPr>
          <w:sz w:val="20"/>
          <w:szCs w:val="20"/>
          <w:color w:val="auto"/>
        </w:rPr>
      </w:pPr>
    </w:p>
    <w:p>
      <w:pPr>
        <w:spacing w:after="0" w:line="254" w:lineRule="exact"/>
        <w:rPr>
          <w:sz w:val="20"/>
          <w:szCs w:val="20"/>
          <w:color w:val="auto"/>
        </w:rPr>
      </w:pPr>
    </w:p>
    <w:p>
      <w:pPr>
        <w:ind w:left="380" w:right="360"/>
        <w:spacing w:after="0" w:line="252" w:lineRule="auto"/>
        <w:rPr>
          <w:sz w:val="20"/>
          <w:szCs w:val="20"/>
          <w:color w:val="auto"/>
        </w:rPr>
      </w:pPr>
      <w:r>
        <w:rPr>
          <w:rFonts w:ascii="Arial" w:cs="Arial" w:eastAsia="Arial" w:hAnsi="Arial"/>
          <w:sz w:val="18"/>
          <w:szCs w:val="18"/>
          <w:color w:val="auto"/>
        </w:rPr>
        <w:t>$667,925 broker commissions paid by Landlord would be amortized by $33,396.25 per Lease Year ($667,925 divided by 20); (iv) after six Lease Years the unamortized portion of the amount paid by Landlord in constructing Landlord’s TI work would equal $600,000 minus ($30,000 x 6), or $420,000;</w:t>
      </w:r>
    </w:p>
    <w:p>
      <w:pPr>
        <w:spacing w:after="0" w:line="1" w:lineRule="exact"/>
        <w:rPr>
          <w:sz w:val="20"/>
          <w:szCs w:val="20"/>
          <w:color w:val="auto"/>
        </w:rPr>
      </w:pPr>
    </w:p>
    <w:p>
      <w:pPr>
        <w:ind w:left="380" w:right="280" w:firstLine="3"/>
        <w:spacing w:after="0" w:line="250" w:lineRule="auto"/>
        <w:tabs>
          <w:tab w:leader="none" w:pos="7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after six Lease Years the unamortized portion of the amount paid by Landlord for the Landlord Title 24 Work would equal $150,000 minus ($7500 x 6) or $105,000, and (vi) the unamortized portion of the broker commissions paid by Landlord pursuant to Section 12.01 of the Lease would equal $667,925 minus ($33,396.25 x 6), or $467,547.50. Accordingly, under this example, Tenant’s termination fee would equal $420,000, plus 105,000, plus $467,547.50, or </w:t>
      </w:r>
      <w:r>
        <w:rPr>
          <w:rFonts w:ascii="Arial" w:cs="Arial" w:eastAsia="Arial" w:hAnsi="Arial"/>
          <w:sz w:val="18"/>
          <w:szCs w:val="18"/>
          <w:b w:val="1"/>
          <w:bCs w:val="1"/>
          <w:color w:val="auto"/>
        </w:rPr>
        <w:t>$992,547.50</w:t>
      </w:r>
      <w:r>
        <w:rPr>
          <w:rFonts w:ascii="Arial" w:cs="Arial" w:eastAsia="Arial" w:hAnsi="Arial"/>
          <w:sz w:val="18"/>
          <w:szCs w:val="18"/>
          <w:color w:val="auto"/>
        </w:rPr>
        <w: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Exhibit F - 2019 Operating Expenses for Landlord's Campus and Allocations to Building</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504"/>
        </w:trPr>
        <w:tc>
          <w:tcPr>
            <w:tcW w:w="4220" w:type="dxa"/>
            <w:vAlign w:val="bottom"/>
            <w:tcBorders>
              <w:top w:val="single" w:sz="8" w:color="auto"/>
              <w:left w:val="single" w:sz="8" w:color="auto"/>
              <w:right w:val="single" w:sz="8" w:color="auto"/>
            </w:tcBorders>
            <w:shd w:val="clear" w:color="auto" w:fill="F0F0F0"/>
          </w:tcPr>
          <w:p>
            <w:pPr>
              <w:spacing w:after="0"/>
              <w:rPr>
                <w:sz w:val="24"/>
                <w:szCs w:val="24"/>
                <w:color w:val="auto"/>
              </w:rPr>
            </w:pPr>
          </w:p>
        </w:tc>
        <w:tc>
          <w:tcPr>
            <w:tcW w:w="2020" w:type="dxa"/>
            <w:vAlign w:val="bottom"/>
            <w:tcBorders>
              <w:top w:val="single" w:sz="8" w:color="auto"/>
              <w:right w:val="single" w:sz="8" w:color="auto"/>
            </w:tcBorders>
            <w:gridSpan w:val="2"/>
            <w:shd w:val="clear" w:color="auto" w:fill="F0F0F0"/>
          </w:tcPr>
          <w:p>
            <w:pPr>
              <w:ind w:left="580"/>
              <w:spacing w:after="0"/>
              <w:rPr>
                <w:sz w:val="20"/>
                <w:szCs w:val="20"/>
                <w:color w:val="auto"/>
              </w:rPr>
            </w:pPr>
            <w:r>
              <w:rPr>
                <w:rFonts w:ascii="Arial" w:cs="Arial" w:eastAsia="Arial" w:hAnsi="Arial"/>
                <w:sz w:val="18"/>
                <w:szCs w:val="18"/>
                <w:color w:val="auto"/>
              </w:rPr>
              <w:t>2019 Total</w:t>
            </w:r>
          </w:p>
        </w:tc>
        <w:tc>
          <w:tcPr>
            <w:tcW w:w="1920" w:type="dxa"/>
            <w:vAlign w:val="bottom"/>
            <w:tcBorders>
              <w:top w:val="single" w:sz="8" w:color="auto"/>
              <w:right w:val="single" w:sz="8" w:color="auto"/>
            </w:tcBorders>
            <w:shd w:val="clear" w:color="auto" w:fill="F0F0F0"/>
          </w:tcPr>
          <w:p>
            <w:pPr>
              <w:jc w:val="center"/>
              <w:spacing w:after="0"/>
              <w:rPr>
                <w:sz w:val="20"/>
                <w:szCs w:val="20"/>
                <w:color w:val="auto"/>
              </w:rPr>
            </w:pPr>
            <w:r>
              <w:rPr>
                <w:rFonts w:ascii="Arial" w:cs="Arial" w:eastAsia="Arial" w:hAnsi="Arial"/>
                <w:sz w:val="18"/>
                <w:szCs w:val="18"/>
                <w:color w:val="auto"/>
              </w:rPr>
              <w:t>Allocated</w:t>
            </w:r>
          </w:p>
        </w:tc>
        <w:tc>
          <w:tcPr>
            <w:tcW w:w="2320" w:type="dxa"/>
            <w:vAlign w:val="bottom"/>
            <w:tcBorders>
              <w:top w:val="single" w:sz="8" w:color="auto"/>
              <w:right w:val="single" w:sz="8" w:color="auto"/>
            </w:tcBorders>
            <w:gridSpan w:val="2"/>
            <w:vMerge w:val="restart"/>
            <w:shd w:val="clear" w:color="auto" w:fill="F0F0F0"/>
          </w:tcPr>
          <w:p>
            <w:pPr>
              <w:jc w:val="center"/>
              <w:spacing w:after="0"/>
              <w:rPr>
                <w:sz w:val="20"/>
                <w:szCs w:val="20"/>
                <w:color w:val="auto"/>
              </w:rPr>
            </w:pPr>
            <w:r>
              <w:rPr>
                <w:rFonts w:ascii="Arial" w:cs="Arial" w:eastAsia="Arial" w:hAnsi="Arial"/>
                <w:sz w:val="18"/>
                <w:szCs w:val="18"/>
                <w:color w:val="auto"/>
              </w:rPr>
              <w:t>Allocated</w:t>
            </w:r>
          </w:p>
        </w:tc>
        <w:tc>
          <w:tcPr>
            <w:tcW w:w="0" w:type="dxa"/>
            <w:vAlign w:val="bottom"/>
          </w:tcPr>
          <w:p>
            <w:pPr>
              <w:spacing w:after="0"/>
              <w:rPr>
                <w:sz w:val="1"/>
                <w:szCs w:val="1"/>
                <w:color w:val="auto"/>
              </w:rPr>
            </w:pPr>
          </w:p>
        </w:tc>
      </w:tr>
      <w:tr>
        <w:trPr>
          <w:trHeight w:val="43"/>
        </w:trPr>
        <w:tc>
          <w:tcPr>
            <w:tcW w:w="4220" w:type="dxa"/>
            <w:vAlign w:val="bottom"/>
            <w:tcBorders>
              <w:left w:val="single" w:sz="8" w:color="auto"/>
              <w:right w:val="single" w:sz="8" w:color="auto"/>
            </w:tcBorders>
            <w:shd w:val="clear" w:color="auto" w:fill="F0F0F0"/>
          </w:tcPr>
          <w:p>
            <w:pPr>
              <w:spacing w:after="0"/>
              <w:rPr>
                <w:sz w:val="3"/>
                <w:szCs w:val="3"/>
                <w:color w:val="auto"/>
              </w:rPr>
            </w:pPr>
          </w:p>
        </w:tc>
        <w:tc>
          <w:tcPr>
            <w:tcW w:w="2020" w:type="dxa"/>
            <w:vAlign w:val="bottom"/>
            <w:tcBorders>
              <w:right w:val="single" w:sz="8" w:color="auto"/>
            </w:tcBorders>
            <w:gridSpan w:val="2"/>
            <w:vMerge w:val="restart"/>
            <w:shd w:val="clear" w:color="auto" w:fill="F0F0F0"/>
          </w:tcPr>
          <w:p>
            <w:pPr>
              <w:ind w:left="380"/>
              <w:spacing w:after="0"/>
              <w:rPr>
                <w:sz w:val="20"/>
                <w:szCs w:val="20"/>
                <w:color w:val="auto"/>
              </w:rPr>
            </w:pPr>
            <w:r>
              <w:rPr>
                <w:rFonts w:ascii="Arial" w:cs="Arial" w:eastAsia="Arial" w:hAnsi="Arial"/>
                <w:sz w:val="18"/>
                <w:szCs w:val="18"/>
                <w:color w:val="auto"/>
              </w:rPr>
              <w:t>Property Actual</w:t>
            </w:r>
          </w:p>
        </w:tc>
        <w:tc>
          <w:tcPr>
            <w:tcW w:w="1920" w:type="dxa"/>
            <w:vAlign w:val="bottom"/>
            <w:tcBorders>
              <w:right w:val="single" w:sz="8" w:color="auto"/>
            </w:tcBorders>
            <w:vMerge w:val="restart"/>
            <w:shd w:val="clear" w:color="auto" w:fill="F0F0F0"/>
          </w:tcPr>
          <w:p>
            <w:pPr>
              <w:jc w:val="center"/>
              <w:spacing w:after="0"/>
              <w:rPr>
                <w:sz w:val="20"/>
                <w:szCs w:val="20"/>
                <w:color w:val="auto"/>
              </w:rPr>
            </w:pPr>
            <w:r>
              <w:rPr>
                <w:rFonts w:ascii="Arial" w:cs="Arial" w:eastAsia="Arial" w:hAnsi="Arial"/>
                <w:sz w:val="18"/>
                <w:szCs w:val="18"/>
                <w:color w:val="auto"/>
              </w:rPr>
              <w:t>Building</w:t>
            </w:r>
          </w:p>
        </w:tc>
        <w:tc>
          <w:tcPr>
            <w:tcW w:w="2320" w:type="dxa"/>
            <w:vAlign w:val="bottom"/>
            <w:tcBorders>
              <w:right w:val="single" w:sz="8" w:color="auto"/>
            </w:tcBorders>
            <w:gridSpan w:val="2"/>
            <w:vMerge w:val="continue"/>
            <w:shd w:val="clear" w:color="auto" w:fill="F0F0F0"/>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220" w:type="dxa"/>
            <w:vAlign w:val="bottom"/>
            <w:tcBorders>
              <w:left w:val="single" w:sz="8" w:color="auto"/>
              <w:right w:val="single" w:sz="8" w:color="auto"/>
            </w:tcBorders>
            <w:shd w:val="clear" w:color="auto" w:fill="F0F0F0"/>
          </w:tcPr>
          <w:p>
            <w:pPr>
              <w:spacing w:after="0"/>
              <w:rPr>
                <w:sz w:val="15"/>
                <w:szCs w:val="15"/>
                <w:color w:val="auto"/>
              </w:rPr>
            </w:pPr>
          </w:p>
        </w:tc>
        <w:tc>
          <w:tcPr>
            <w:tcW w:w="2020" w:type="dxa"/>
            <w:vAlign w:val="bottom"/>
            <w:tcBorders>
              <w:right w:val="single" w:sz="8" w:color="auto"/>
            </w:tcBorders>
            <w:gridSpan w:val="2"/>
            <w:vMerge w:val="continue"/>
            <w:shd w:val="clear" w:color="auto" w:fill="F0F0F0"/>
          </w:tcPr>
          <w:p>
            <w:pPr>
              <w:spacing w:after="0"/>
              <w:rPr>
                <w:sz w:val="15"/>
                <w:szCs w:val="15"/>
                <w:color w:val="auto"/>
              </w:rPr>
            </w:pPr>
          </w:p>
        </w:tc>
        <w:tc>
          <w:tcPr>
            <w:tcW w:w="1920" w:type="dxa"/>
            <w:vAlign w:val="bottom"/>
            <w:tcBorders>
              <w:right w:val="single" w:sz="8" w:color="auto"/>
            </w:tcBorders>
            <w:vMerge w:val="continue"/>
            <w:shd w:val="clear" w:color="auto" w:fill="F0F0F0"/>
          </w:tcPr>
          <w:p>
            <w:pPr>
              <w:spacing w:after="0"/>
              <w:rPr>
                <w:sz w:val="15"/>
                <w:szCs w:val="15"/>
                <w:color w:val="auto"/>
              </w:rPr>
            </w:pPr>
          </w:p>
        </w:tc>
        <w:tc>
          <w:tcPr>
            <w:tcW w:w="2320" w:type="dxa"/>
            <w:vAlign w:val="bottom"/>
            <w:tcBorders>
              <w:right w:val="single" w:sz="8" w:color="auto"/>
            </w:tcBorders>
            <w:gridSpan w:val="2"/>
            <w:shd w:val="clear" w:color="auto" w:fill="F0F0F0"/>
          </w:tcPr>
          <w:p>
            <w:pPr>
              <w:jc w:val="center"/>
              <w:spacing w:after="0" w:line="175" w:lineRule="exact"/>
              <w:rPr>
                <w:sz w:val="20"/>
                <w:szCs w:val="20"/>
                <w:color w:val="auto"/>
              </w:rPr>
            </w:pPr>
            <w:r>
              <w:rPr>
                <w:rFonts w:ascii="Arial" w:cs="Arial" w:eastAsia="Arial" w:hAnsi="Arial"/>
                <w:sz w:val="18"/>
                <w:szCs w:val="18"/>
                <w:color w:val="auto"/>
              </w:rPr>
              <w:t>Building Annual</w:t>
            </w:r>
          </w:p>
        </w:tc>
        <w:tc>
          <w:tcPr>
            <w:tcW w:w="0" w:type="dxa"/>
            <w:vAlign w:val="bottom"/>
          </w:tcPr>
          <w:p>
            <w:pPr>
              <w:spacing w:after="0"/>
              <w:rPr>
                <w:sz w:val="1"/>
                <w:szCs w:val="1"/>
                <w:color w:val="auto"/>
              </w:rPr>
            </w:pPr>
          </w:p>
        </w:tc>
      </w:tr>
      <w:tr>
        <w:trPr>
          <w:trHeight w:val="178"/>
        </w:trPr>
        <w:tc>
          <w:tcPr>
            <w:tcW w:w="4220" w:type="dxa"/>
            <w:vAlign w:val="bottom"/>
            <w:tcBorders>
              <w:left w:val="single" w:sz="8" w:color="auto"/>
              <w:right w:val="single" w:sz="8" w:color="auto"/>
            </w:tcBorders>
            <w:shd w:val="clear" w:color="auto" w:fill="F0F0F0"/>
          </w:tcPr>
          <w:p>
            <w:pPr>
              <w:spacing w:after="0"/>
              <w:rPr>
                <w:sz w:val="15"/>
                <w:szCs w:val="15"/>
                <w:color w:val="auto"/>
              </w:rPr>
            </w:pPr>
          </w:p>
        </w:tc>
        <w:tc>
          <w:tcPr>
            <w:tcW w:w="2020" w:type="dxa"/>
            <w:vAlign w:val="bottom"/>
            <w:tcBorders>
              <w:right w:val="single" w:sz="8" w:color="auto"/>
            </w:tcBorders>
            <w:gridSpan w:val="2"/>
            <w:shd w:val="clear" w:color="auto" w:fill="F0F0F0"/>
          </w:tcPr>
          <w:p>
            <w:pPr>
              <w:ind w:left="600"/>
              <w:spacing w:after="0" w:line="178" w:lineRule="exact"/>
              <w:rPr>
                <w:sz w:val="20"/>
                <w:szCs w:val="20"/>
                <w:color w:val="auto"/>
              </w:rPr>
            </w:pPr>
            <w:r>
              <w:rPr>
                <w:rFonts w:ascii="Arial" w:cs="Arial" w:eastAsia="Arial" w:hAnsi="Arial"/>
                <w:sz w:val="18"/>
                <w:szCs w:val="18"/>
                <w:color w:val="auto"/>
              </w:rPr>
              <w:t>Operating</w:t>
            </w:r>
          </w:p>
        </w:tc>
        <w:tc>
          <w:tcPr>
            <w:tcW w:w="1920" w:type="dxa"/>
            <w:vAlign w:val="bottom"/>
            <w:tcBorders>
              <w:right w:val="single" w:sz="8" w:color="auto"/>
            </w:tcBorders>
            <w:shd w:val="clear" w:color="auto" w:fill="F0F0F0"/>
          </w:tcPr>
          <w:p>
            <w:pPr>
              <w:jc w:val="center"/>
              <w:spacing w:after="0" w:line="178" w:lineRule="exact"/>
              <w:rPr>
                <w:sz w:val="20"/>
                <w:szCs w:val="20"/>
                <w:color w:val="auto"/>
              </w:rPr>
            </w:pPr>
            <w:r>
              <w:rPr>
                <w:rFonts w:ascii="Arial" w:cs="Arial" w:eastAsia="Arial" w:hAnsi="Arial"/>
                <w:sz w:val="18"/>
                <w:szCs w:val="18"/>
                <w:color w:val="auto"/>
              </w:rPr>
              <w:t>(Office)</w:t>
            </w:r>
          </w:p>
        </w:tc>
        <w:tc>
          <w:tcPr>
            <w:tcW w:w="2320" w:type="dxa"/>
            <w:vAlign w:val="bottom"/>
            <w:tcBorders>
              <w:right w:val="single" w:sz="8" w:color="auto"/>
            </w:tcBorders>
            <w:gridSpan w:val="2"/>
            <w:shd w:val="clear" w:color="auto" w:fill="F0F0F0"/>
          </w:tcPr>
          <w:p>
            <w:pPr>
              <w:jc w:val="center"/>
              <w:spacing w:after="0" w:line="178" w:lineRule="exact"/>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220"/>
        </w:trPr>
        <w:tc>
          <w:tcPr>
            <w:tcW w:w="4220" w:type="dxa"/>
            <w:vAlign w:val="bottom"/>
            <w:tcBorders>
              <w:left w:val="single" w:sz="8" w:color="auto"/>
              <w:right w:val="single" w:sz="8" w:color="auto"/>
            </w:tcBorders>
            <w:shd w:val="clear" w:color="auto" w:fill="F0F0F0"/>
          </w:tcPr>
          <w:p>
            <w:pPr>
              <w:spacing w:after="0"/>
              <w:rPr>
                <w:sz w:val="19"/>
                <w:szCs w:val="19"/>
                <w:color w:val="auto"/>
              </w:rPr>
            </w:pPr>
          </w:p>
        </w:tc>
        <w:tc>
          <w:tcPr>
            <w:tcW w:w="2020" w:type="dxa"/>
            <w:vAlign w:val="bottom"/>
            <w:tcBorders>
              <w:right w:val="single" w:sz="8" w:color="auto"/>
            </w:tcBorders>
            <w:gridSpan w:val="2"/>
            <w:vMerge w:val="restart"/>
            <w:shd w:val="clear" w:color="auto" w:fill="F0F0F0"/>
          </w:tcPr>
          <w:p>
            <w:pPr>
              <w:ind w:left="600"/>
              <w:spacing w:after="0"/>
              <w:rPr>
                <w:sz w:val="20"/>
                <w:szCs w:val="20"/>
                <w:color w:val="auto"/>
              </w:rPr>
            </w:pPr>
            <w:r>
              <w:rPr>
                <w:rFonts w:ascii="Arial" w:cs="Arial" w:eastAsia="Arial" w:hAnsi="Arial"/>
                <w:sz w:val="18"/>
                <w:szCs w:val="18"/>
                <w:color w:val="auto"/>
              </w:rPr>
              <w:t>Expenses</w:t>
            </w:r>
          </w:p>
        </w:tc>
        <w:tc>
          <w:tcPr>
            <w:tcW w:w="1920" w:type="dxa"/>
            <w:vAlign w:val="bottom"/>
            <w:tcBorders>
              <w:right w:val="single" w:sz="8" w:color="auto"/>
            </w:tcBorders>
            <w:vMerge w:val="restart"/>
            <w:shd w:val="clear" w:color="auto" w:fill="F0F0F0"/>
          </w:tcPr>
          <w:p>
            <w:pPr>
              <w:jc w:val="center"/>
              <w:spacing w:after="0"/>
              <w:rPr>
                <w:sz w:val="20"/>
                <w:szCs w:val="20"/>
                <w:color w:val="auto"/>
              </w:rPr>
            </w:pPr>
            <w:r>
              <w:rPr>
                <w:rFonts w:ascii="Arial" w:cs="Arial" w:eastAsia="Arial" w:hAnsi="Arial"/>
                <w:sz w:val="18"/>
                <w:szCs w:val="18"/>
                <w:color w:val="auto"/>
              </w:rPr>
              <w:t>Usage</w:t>
            </w:r>
          </w:p>
        </w:tc>
        <w:tc>
          <w:tcPr>
            <w:tcW w:w="2320" w:type="dxa"/>
            <w:vAlign w:val="bottom"/>
            <w:tcBorders>
              <w:right w:val="single" w:sz="8" w:color="auto"/>
            </w:tcBorders>
            <w:gridSpan w:val="2"/>
            <w:shd w:val="clear" w:color="auto" w:fill="F0F0F0"/>
          </w:tcPr>
          <w:p>
            <w:pPr>
              <w:jc w:val="center"/>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85"/>
        </w:trPr>
        <w:tc>
          <w:tcPr>
            <w:tcW w:w="4220" w:type="dxa"/>
            <w:vAlign w:val="bottom"/>
            <w:tcBorders>
              <w:left w:val="single" w:sz="8" w:color="auto"/>
              <w:bottom w:val="single" w:sz="8" w:color="F0F0F0"/>
              <w:right w:val="single" w:sz="8" w:color="auto"/>
            </w:tcBorders>
            <w:shd w:val="clear" w:color="auto" w:fill="F0F0F0"/>
          </w:tcPr>
          <w:p>
            <w:pPr>
              <w:spacing w:after="0"/>
              <w:rPr>
                <w:sz w:val="7"/>
                <w:szCs w:val="7"/>
                <w:color w:val="auto"/>
              </w:rPr>
            </w:pPr>
          </w:p>
        </w:tc>
        <w:tc>
          <w:tcPr>
            <w:tcW w:w="2020" w:type="dxa"/>
            <w:vAlign w:val="bottom"/>
            <w:tcBorders>
              <w:bottom w:val="single" w:sz="8" w:color="F0F0F0"/>
              <w:right w:val="single" w:sz="8" w:color="auto"/>
            </w:tcBorders>
            <w:gridSpan w:val="2"/>
            <w:vMerge w:val="continue"/>
            <w:shd w:val="clear" w:color="auto" w:fill="F0F0F0"/>
          </w:tcPr>
          <w:p>
            <w:pPr>
              <w:spacing w:after="0"/>
              <w:rPr>
                <w:sz w:val="7"/>
                <w:szCs w:val="7"/>
                <w:color w:val="auto"/>
              </w:rPr>
            </w:pPr>
          </w:p>
        </w:tc>
        <w:tc>
          <w:tcPr>
            <w:tcW w:w="1920" w:type="dxa"/>
            <w:vAlign w:val="bottom"/>
            <w:tcBorders>
              <w:bottom w:val="single" w:sz="8" w:color="F0F0F0"/>
              <w:right w:val="single" w:sz="8" w:color="auto"/>
            </w:tcBorders>
            <w:vMerge w:val="continue"/>
            <w:shd w:val="clear" w:color="auto" w:fill="F0F0F0"/>
          </w:tcPr>
          <w:p>
            <w:pPr>
              <w:spacing w:after="0"/>
              <w:rPr>
                <w:sz w:val="7"/>
                <w:szCs w:val="7"/>
                <w:color w:val="auto"/>
              </w:rPr>
            </w:pPr>
          </w:p>
        </w:tc>
        <w:tc>
          <w:tcPr>
            <w:tcW w:w="1260" w:type="dxa"/>
            <w:vAlign w:val="bottom"/>
            <w:tcBorders>
              <w:bottom w:val="single" w:sz="8" w:color="F0F0F0"/>
            </w:tcBorders>
            <w:shd w:val="clear" w:color="auto" w:fill="F0F0F0"/>
          </w:tcPr>
          <w:p>
            <w:pPr>
              <w:spacing w:after="0"/>
              <w:rPr>
                <w:sz w:val="7"/>
                <w:szCs w:val="7"/>
                <w:color w:val="auto"/>
              </w:rPr>
            </w:pPr>
          </w:p>
        </w:tc>
        <w:tc>
          <w:tcPr>
            <w:tcW w:w="1060" w:type="dxa"/>
            <w:vAlign w:val="bottom"/>
            <w:tcBorders>
              <w:bottom w:val="single" w:sz="8" w:color="F0F0F0"/>
              <w:right w:val="single" w:sz="8" w:color="auto"/>
            </w:tcBorders>
            <w:shd w:val="clear" w:color="auto" w:fill="F0F0F0"/>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Landscaping</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right w:val="single" w:sz="8" w:color="auto"/>
            </w:tcBorders>
          </w:tcPr>
          <w:p>
            <w:pPr>
              <w:jc w:val="center"/>
              <w:ind w:right="368"/>
              <w:spacing w:after="0"/>
              <w:rPr>
                <w:sz w:val="20"/>
                <w:szCs w:val="20"/>
                <w:color w:val="auto"/>
              </w:rPr>
            </w:pPr>
            <w:r>
              <w:rPr>
                <w:rFonts w:ascii="Arial" w:cs="Arial" w:eastAsia="Arial" w:hAnsi="Arial"/>
                <w:sz w:val="18"/>
                <w:szCs w:val="18"/>
                <w:color w:val="auto"/>
              </w:rPr>
              <w:t>106,547</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80%</w:t>
            </w:r>
          </w:p>
        </w:tc>
        <w:tc>
          <w:tcPr>
            <w:tcW w:w="12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right w:val="single" w:sz="8" w:color="auto"/>
            </w:tcBorders>
            <w:vMerge w:val="restart"/>
          </w:tcPr>
          <w:p>
            <w:pPr>
              <w:jc w:val="right"/>
              <w:ind w:right="308"/>
              <w:spacing w:after="0"/>
              <w:rPr>
                <w:sz w:val="20"/>
                <w:szCs w:val="20"/>
                <w:color w:val="auto"/>
              </w:rPr>
            </w:pPr>
            <w:r>
              <w:rPr>
                <w:rFonts w:ascii="Arial" w:cs="Arial" w:eastAsia="Arial" w:hAnsi="Arial"/>
                <w:sz w:val="18"/>
                <w:szCs w:val="18"/>
                <w:color w:val="auto"/>
              </w:rPr>
              <w:t>85,238</w:t>
            </w:r>
          </w:p>
        </w:tc>
        <w:tc>
          <w:tcPr>
            <w:tcW w:w="0" w:type="dxa"/>
            <w:vAlign w:val="bottom"/>
          </w:tcPr>
          <w:p>
            <w:pPr>
              <w:spacing w:after="0"/>
              <w:rPr>
                <w:sz w:val="1"/>
                <w:szCs w:val="1"/>
                <w:color w:val="auto"/>
              </w:rPr>
            </w:pPr>
          </w:p>
        </w:tc>
      </w:tr>
      <w:tr>
        <w:trPr>
          <w:trHeight w:val="117"/>
        </w:trPr>
        <w:tc>
          <w:tcPr>
            <w:tcW w:w="422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4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Security</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center"/>
              <w:ind w:right="368"/>
              <w:spacing w:after="0"/>
              <w:rPr>
                <w:sz w:val="20"/>
                <w:szCs w:val="20"/>
                <w:color w:val="auto"/>
              </w:rPr>
            </w:pPr>
            <w:r>
              <w:rPr>
                <w:rFonts w:ascii="Arial" w:cs="Arial" w:eastAsia="Arial" w:hAnsi="Arial"/>
                <w:sz w:val="18"/>
                <w:szCs w:val="18"/>
                <w:color w:val="auto"/>
              </w:rPr>
              <w:t>313,486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8"/>
                <w:szCs w:val="18"/>
                <w:color w:val="auto"/>
                <w:w w:val="98"/>
              </w:rPr>
              <w:t>188,091</w:t>
            </w:r>
          </w:p>
        </w:tc>
        <w:tc>
          <w:tcPr>
            <w:tcW w:w="0" w:type="dxa"/>
            <w:vAlign w:val="bottom"/>
          </w:tcPr>
          <w:p>
            <w:pPr>
              <w:spacing w:after="0"/>
              <w:rPr>
                <w:sz w:val="1"/>
                <w:szCs w:val="1"/>
                <w:color w:val="auto"/>
              </w:rPr>
            </w:pPr>
          </w:p>
        </w:tc>
      </w:tr>
      <w:tr>
        <w:trPr>
          <w:trHeight w:val="267"/>
        </w:trPr>
        <w:tc>
          <w:tcPr>
            <w:tcW w:w="4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HVAC</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center"/>
              <w:ind w:right="368"/>
              <w:spacing w:after="0"/>
              <w:rPr>
                <w:sz w:val="20"/>
                <w:szCs w:val="20"/>
                <w:color w:val="auto"/>
              </w:rPr>
            </w:pPr>
            <w:r>
              <w:rPr>
                <w:rFonts w:ascii="Arial" w:cs="Arial" w:eastAsia="Arial" w:hAnsi="Arial"/>
                <w:sz w:val="18"/>
                <w:szCs w:val="18"/>
                <w:color w:val="auto"/>
              </w:rPr>
              <w:t>180,027</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8"/>
                <w:szCs w:val="18"/>
                <w:color w:val="auto"/>
              </w:rPr>
              <w:t>90,013</w:t>
            </w:r>
          </w:p>
        </w:tc>
        <w:tc>
          <w:tcPr>
            <w:tcW w:w="0" w:type="dxa"/>
            <w:vAlign w:val="bottom"/>
          </w:tcPr>
          <w:p>
            <w:pPr>
              <w:spacing w:after="0"/>
              <w:rPr>
                <w:sz w:val="1"/>
                <w:szCs w:val="1"/>
                <w:color w:val="auto"/>
              </w:rPr>
            </w:pPr>
          </w:p>
        </w:tc>
      </w:tr>
      <w:tr>
        <w:trPr>
          <w:trHeight w:val="267"/>
        </w:trPr>
        <w:tc>
          <w:tcPr>
            <w:tcW w:w="4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Electricity</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center"/>
              <w:ind w:right="368"/>
              <w:spacing w:after="0"/>
              <w:rPr>
                <w:sz w:val="20"/>
                <w:szCs w:val="20"/>
                <w:color w:val="auto"/>
              </w:rPr>
            </w:pPr>
            <w:r>
              <w:rPr>
                <w:rFonts w:ascii="Arial" w:cs="Arial" w:eastAsia="Arial" w:hAnsi="Arial"/>
                <w:sz w:val="18"/>
                <w:szCs w:val="18"/>
                <w:color w:val="auto"/>
              </w:rPr>
              <w:t>672,000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8"/>
                <w:szCs w:val="18"/>
                <w:color w:val="auto"/>
                <w:w w:val="98"/>
              </w:rPr>
              <w:t>201,600</w:t>
            </w:r>
          </w:p>
        </w:tc>
        <w:tc>
          <w:tcPr>
            <w:tcW w:w="0" w:type="dxa"/>
            <w:vAlign w:val="bottom"/>
          </w:tcPr>
          <w:p>
            <w:pPr>
              <w:spacing w:after="0"/>
              <w:rPr>
                <w:sz w:val="1"/>
                <w:szCs w:val="1"/>
                <w:color w:val="auto"/>
              </w:rPr>
            </w:pPr>
          </w:p>
        </w:tc>
      </w:tr>
      <w:tr>
        <w:trPr>
          <w:trHeight w:val="238"/>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Facilities Salaries Exp.</w:t>
            </w:r>
          </w:p>
        </w:tc>
        <w:tc>
          <w:tcPr>
            <w:tcW w:w="7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120,000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Bldg. Maintenance Expense</w:t>
            </w:r>
          </w:p>
        </w:tc>
        <w:tc>
          <w:tcPr>
            <w:tcW w:w="7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2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Insurance</w:t>
            </w:r>
          </w:p>
        </w:tc>
        <w:tc>
          <w:tcPr>
            <w:tcW w:w="7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120,000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Water</w:t>
            </w:r>
          </w:p>
        </w:tc>
        <w:tc>
          <w:tcPr>
            <w:tcW w:w="7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132,347</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26,469</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Natural Gas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auto"/>
              </w:rPr>
              <w:t>97,239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48,620</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MR Association Dues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auto"/>
              </w:rPr>
              <w:t>42,081</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21,041</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Property Tax</w:t>
            </w:r>
          </w:p>
        </w:tc>
        <w:tc>
          <w:tcPr>
            <w:tcW w:w="7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618,012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w w:val="98"/>
              </w:rPr>
              <w:t>309,006</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Trash Recycling</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auto"/>
              </w:rPr>
              <w:t>64,723</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Housekeeping</w:t>
            </w:r>
          </w:p>
        </w:tc>
        <w:tc>
          <w:tcPr>
            <w:tcW w:w="7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174,552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12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w w:val="98"/>
              </w:rPr>
              <w:t>104,731</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Fire Protection</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auto"/>
              </w:rPr>
              <w:t>24,333</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Pest Control</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center"/>
              <w:ind w:right="368"/>
              <w:spacing w:after="0"/>
              <w:rPr>
                <w:sz w:val="20"/>
                <w:szCs w:val="20"/>
                <w:color w:val="auto"/>
              </w:rPr>
            </w:pPr>
            <w:r>
              <w:rPr>
                <w:rFonts w:ascii="Arial" w:cs="Arial" w:eastAsia="Arial" w:hAnsi="Arial"/>
                <w:sz w:val="18"/>
                <w:szCs w:val="18"/>
                <w:color w:val="auto"/>
              </w:rPr>
              <w:t>8,790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220" w:type="dxa"/>
            <w:vAlign w:val="bottom"/>
            <w:tcBorders>
              <w:left w:val="single" w:sz="8" w:color="auto"/>
              <w:bottom w:val="single" w:sz="8" w:color="F0F0F0"/>
              <w:right w:val="single" w:sz="8" w:color="auto"/>
            </w:tcBorders>
            <w:shd w:val="clear" w:color="auto" w:fill="F0F0F0"/>
          </w:tcPr>
          <w:p>
            <w:pPr>
              <w:ind w:left="20"/>
              <w:spacing w:after="0"/>
              <w:rPr>
                <w:sz w:val="20"/>
                <w:szCs w:val="20"/>
                <w:color w:val="auto"/>
              </w:rPr>
            </w:pPr>
            <w:r>
              <w:rPr>
                <w:rFonts w:ascii="Arial" w:cs="Arial" w:eastAsia="Arial" w:hAnsi="Arial"/>
                <w:sz w:val="18"/>
                <w:szCs w:val="18"/>
                <w:b w:val="1"/>
                <w:bCs w:val="1"/>
                <w:color w:val="auto"/>
              </w:rPr>
              <w:t>Totals</w:t>
            </w:r>
          </w:p>
        </w:tc>
        <w:tc>
          <w:tcPr>
            <w:tcW w:w="740" w:type="dxa"/>
            <w:vAlign w:val="bottom"/>
            <w:tcBorders>
              <w:bottom w:val="single" w:sz="8" w:color="F0F0F0"/>
            </w:tcBorders>
            <w:shd w:val="clear" w:color="auto" w:fill="F0F0F0"/>
          </w:tcPr>
          <w:p>
            <w:pPr>
              <w:jc w:val="right"/>
              <w:ind w:right="108"/>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F0F0F0"/>
              <w:right w:val="single" w:sz="8" w:color="auto"/>
            </w:tcBorders>
            <w:shd w:val="clear" w:color="auto" w:fill="F0F0F0"/>
          </w:tcPr>
          <w:p>
            <w:pPr>
              <w:jc w:val="center"/>
              <w:ind w:right="368"/>
              <w:spacing w:after="0"/>
              <w:rPr>
                <w:sz w:val="20"/>
                <w:szCs w:val="20"/>
                <w:color w:val="auto"/>
              </w:rPr>
            </w:pPr>
            <w:r>
              <w:rPr>
                <w:rFonts w:ascii="Arial" w:cs="Arial" w:eastAsia="Arial" w:hAnsi="Arial"/>
                <w:sz w:val="18"/>
                <w:szCs w:val="18"/>
                <w:b w:val="1"/>
                <w:bCs w:val="1"/>
                <w:color w:val="auto"/>
              </w:rPr>
              <w:t>2,674,137</w:t>
            </w:r>
          </w:p>
        </w:tc>
        <w:tc>
          <w:tcPr>
            <w:tcW w:w="1920" w:type="dxa"/>
            <w:vAlign w:val="bottom"/>
            <w:tcBorders>
              <w:bottom w:val="single" w:sz="8" w:color="F0F0F0"/>
              <w:right w:val="single" w:sz="8" w:color="auto"/>
            </w:tcBorders>
            <w:shd w:val="clear" w:color="auto" w:fill="F0F0F0"/>
          </w:tcPr>
          <w:p>
            <w:pPr>
              <w:spacing w:after="0"/>
              <w:rPr>
                <w:sz w:val="21"/>
                <w:szCs w:val="21"/>
                <w:color w:val="auto"/>
              </w:rPr>
            </w:pPr>
          </w:p>
        </w:tc>
        <w:tc>
          <w:tcPr>
            <w:tcW w:w="1260" w:type="dxa"/>
            <w:vAlign w:val="bottom"/>
            <w:tcBorders>
              <w:bottom w:val="single" w:sz="8" w:color="F0F0F0"/>
            </w:tcBorders>
            <w:shd w:val="clear" w:color="auto" w:fill="F0F0F0"/>
          </w:tcPr>
          <w:p>
            <w:pPr>
              <w:spacing w:after="0"/>
              <w:rPr>
                <w:sz w:val="21"/>
                <w:szCs w:val="21"/>
                <w:color w:val="auto"/>
              </w:rPr>
            </w:pPr>
          </w:p>
        </w:tc>
        <w:tc>
          <w:tcPr>
            <w:tcW w:w="1060" w:type="dxa"/>
            <w:vAlign w:val="bottom"/>
            <w:tcBorders>
              <w:bottom w:val="single" w:sz="8" w:color="F0F0F0"/>
              <w:right w:val="single" w:sz="8" w:color="auto"/>
            </w:tcBorders>
            <w:shd w:val="clear" w:color="auto" w:fill="F0F0F0"/>
          </w:tcPr>
          <w:p>
            <w:pPr>
              <w:jc w:val="right"/>
              <w:spacing w:after="0"/>
              <w:rPr>
                <w:sz w:val="20"/>
                <w:szCs w:val="20"/>
                <w:color w:val="auto"/>
              </w:rPr>
            </w:pPr>
            <w:r>
              <w:rPr>
                <w:rFonts w:ascii="Arial" w:cs="Arial" w:eastAsia="Arial" w:hAnsi="Arial"/>
                <w:sz w:val="18"/>
                <w:szCs w:val="18"/>
                <w:b w:val="1"/>
                <w:bCs w:val="1"/>
                <w:color w:val="auto"/>
              </w:rPr>
              <w:t>$ 1,281,843</w:t>
            </w:r>
          </w:p>
        </w:tc>
        <w:tc>
          <w:tcPr>
            <w:tcW w:w="0" w:type="dxa"/>
            <w:vAlign w:val="bottom"/>
          </w:tcPr>
          <w:p>
            <w:pPr>
              <w:spacing w:after="0"/>
              <w:rPr>
                <w:sz w:val="1"/>
                <w:szCs w:val="1"/>
                <w:color w:val="auto"/>
              </w:rPr>
            </w:pPr>
          </w:p>
        </w:tc>
      </w:tr>
      <w:tr>
        <w:trPr>
          <w:trHeight w:val="20"/>
        </w:trPr>
        <w:tc>
          <w:tcPr>
            <w:tcW w:w="4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80" w:right="26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Office Building Maintenance category represents miscellaneous expenses related to the Building only,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inspections and permits and maintenance and repairs related only to the Building. This category does not involve an allocation of costs related to Landlord’s Campus.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Landlord is self-insuring its insurance obligations under the Lease. The $120,000 amount for</w:t>
      </w:r>
    </w:p>
    <w:p>
      <w:pPr>
        <w:spacing w:after="0" w:line="27" w:lineRule="exact"/>
        <w:rPr>
          <w:sz w:val="20"/>
          <w:szCs w:val="20"/>
          <w:color w:val="auto"/>
        </w:rPr>
      </w:pPr>
    </w:p>
    <w:p>
      <w:pPr>
        <w:ind w:left="380" w:right="500"/>
        <w:spacing w:after="0" w:line="261" w:lineRule="auto"/>
        <w:rPr>
          <w:sz w:val="20"/>
          <w:szCs w:val="20"/>
          <w:color w:val="auto"/>
        </w:rPr>
      </w:pPr>
      <w:r>
        <w:rPr>
          <w:rFonts w:ascii="Arial" w:cs="Arial" w:eastAsia="Arial" w:hAnsi="Arial"/>
          <w:sz w:val="18"/>
          <w:szCs w:val="18"/>
          <w:color w:val="auto"/>
        </w:rPr>
        <w:t>insurance represents Landlord’s good faith estimate of what the cost would be of insuring Landlord’s Campus, including the value of Landlord’s inventory on Landlord’s Campus, if</w:t>
      </w:r>
    </w:p>
    <w:p>
      <w:pPr>
        <w:sectPr>
          <w:pgSz w:w="11900" w:h="16838" w:orient="portrait"/>
          <w:cols w:equalWidth="0" w:num="1">
            <w:col w:w="10860"/>
          </w:cols>
          <w:pgMar w:left="320" w:top="348" w:right="719" w:bottom="1440" w:gutter="0" w:footer="0" w:header="0"/>
        </w:sectPr>
      </w:pPr>
    </w:p>
    <w:bookmarkStart w:id="107" w:name="page108"/>
    <w:bookmarkEnd w:id="107"/>
    <w:p>
      <w:pPr>
        <w:ind w:left="400"/>
        <w:spacing w:after="0"/>
        <w:rPr>
          <w:sz w:val="20"/>
          <w:szCs w:val="20"/>
          <w:color w:val="auto"/>
        </w:rPr>
      </w:pPr>
      <w:r>
        <w:rPr>
          <w:rFonts w:ascii="Arial" w:cs="Arial" w:eastAsia="Arial" w:hAnsi="Arial"/>
          <w:sz w:val="18"/>
          <w:szCs w:val="18"/>
          <w:color w:val="auto"/>
        </w:rPr>
        <w:t>Landlord was not self- insuring. The 20% allocation to the Building of such $120,000 cost also represents good faith estimate.</w:t>
      </w:r>
    </w:p>
    <w:p>
      <w:pPr>
        <w:spacing w:after="0" w:line="221" w:lineRule="exact"/>
        <w:rPr>
          <w:sz w:val="20"/>
          <w:szCs w:val="20"/>
          <w:color w:val="auto"/>
        </w:rPr>
      </w:pPr>
    </w:p>
    <w:p>
      <w:pPr>
        <w:ind w:left="400" w:right="500"/>
        <w:spacing w:after="0" w:line="281"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above amounts for Office Building Maintenance and insurance shall be subject to cumulative 3% annual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2.03(c) of the Lease.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0"/>
          <w:szCs w:val="10"/>
          <w:color w:val="F72631"/>
        </w:rPr>
        <w:t xml:space="preserve">Exhibi </w:t>
      </w:r>
      <w:r>
        <w:rPr>
          <w:rFonts w:ascii="Arial" w:cs="Arial" w:eastAsia="Arial" w:hAnsi="Arial"/>
          <w:sz w:val="10"/>
          <w:szCs w:val="10"/>
          <w:color w:val="F90C13"/>
        </w:rPr>
        <w:t>t</w:t>
      </w:r>
      <w:r>
        <w:rPr>
          <w:rFonts w:ascii="Arial" w:cs="Arial" w:eastAsia="Arial" w:hAnsi="Arial"/>
          <w:sz w:val="10"/>
          <w:szCs w:val="10"/>
          <w:color w:val="F72631"/>
        </w:rPr>
        <w:t xml:space="preserve"> F(l) </w:t>
      </w:r>
      <w:r>
        <w:rPr>
          <w:rFonts w:ascii="Arial" w:cs="Arial" w:eastAsia="Arial" w:hAnsi="Arial"/>
          <w:sz w:val="10"/>
          <w:szCs w:val="10"/>
          <w:color w:val="F90C13"/>
        </w:rPr>
        <w:t>-</w:t>
      </w:r>
      <w:r>
        <w:rPr>
          <w:rFonts w:ascii="Arial" w:cs="Arial" w:eastAsia="Arial" w:hAnsi="Arial"/>
          <w:sz w:val="10"/>
          <w:szCs w:val="10"/>
          <w:color w:val="F72631"/>
        </w:rPr>
        <w:t xml:space="preserve"> 2019 Opera</w:t>
      </w:r>
      <w:r>
        <w:rPr>
          <w:rFonts w:ascii="Arial" w:cs="Arial" w:eastAsia="Arial" w:hAnsi="Arial"/>
          <w:sz w:val="10"/>
          <w:szCs w:val="10"/>
          <w:color w:val="F90C13"/>
        </w:rPr>
        <w:t>t</w:t>
      </w:r>
      <w:r>
        <w:rPr>
          <w:rFonts w:ascii="Arial" w:cs="Arial" w:eastAsia="Arial" w:hAnsi="Arial"/>
          <w:sz w:val="10"/>
          <w:szCs w:val="10"/>
          <w:color w:val="F72631"/>
        </w:rPr>
        <w:t xml:space="preserve">ln_11 Expenses fo </w:t>
      </w:r>
      <w:r>
        <w:rPr>
          <w:rFonts w:ascii="Arial" w:cs="Arial" w:eastAsia="Arial" w:hAnsi="Arial"/>
          <w:sz w:val="10"/>
          <w:szCs w:val="10"/>
          <w:color w:val="F73D4F"/>
        </w:rPr>
        <w:t>r</w:t>
      </w:r>
      <w:r>
        <w:rPr>
          <w:rFonts w:ascii="Arial" w:cs="Arial" w:eastAsia="Arial" w:hAnsi="Arial"/>
          <w:sz w:val="10"/>
          <w:szCs w:val="10"/>
          <w:color w:val="F72631"/>
        </w:rPr>
        <w:t xml:space="preserve"> Landlord </w:t>
      </w:r>
      <w:r>
        <w:rPr>
          <w:rFonts w:ascii="Arial" w:cs="Arial" w:eastAsia="Arial" w:hAnsi="Arial"/>
          <w:sz w:val="10"/>
          <w:szCs w:val="10"/>
          <w:color w:val="F73D4F"/>
        </w:rPr>
        <w:t>'s</w:t>
      </w:r>
      <w:r>
        <w:rPr>
          <w:rFonts w:ascii="Arial" w:cs="Arial" w:eastAsia="Arial" w:hAnsi="Arial"/>
          <w:sz w:val="10"/>
          <w:szCs w:val="10"/>
          <w:color w:val="F72631"/>
        </w:rPr>
        <w:t xml:space="preserve"> campus and Allocations to </w:t>
      </w:r>
      <w:r>
        <w:rPr>
          <w:rFonts w:ascii="Arial" w:cs="Arial" w:eastAsia="Arial" w:hAnsi="Arial"/>
          <w:sz w:val="10"/>
          <w:szCs w:val="10"/>
          <w:b w:val="1"/>
          <w:bCs w:val="1"/>
          <w:color w:val="F72631"/>
        </w:rPr>
        <w:t>Build</w:t>
      </w:r>
      <w:r>
        <w:rPr>
          <w:rFonts w:ascii="Arial" w:cs="Arial" w:eastAsia="Arial" w:hAnsi="Arial"/>
          <w:sz w:val="10"/>
          <w:szCs w:val="10"/>
          <w:b w:val="1"/>
          <w:bCs w:val="1"/>
          <w:color w:val="F73D4F"/>
        </w:rPr>
        <w:t>i</w:t>
      </w:r>
      <w:r>
        <w:rPr>
          <w:rFonts w:ascii="Arial" w:cs="Arial" w:eastAsia="Arial" w:hAnsi="Arial"/>
          <w:sz w:val="10"/>
          <w:szCs w:val="10"/>
          <w:b w:val="1"/>
          <w:bCs w:val="1"/>
          <w:color w:val="F72631"/>
        </w:rPr>
        <w:t>ng</w:t>
      </w:r>
    </w:p>
    <w:p>
      <w:pPr>
        <w:spacing w:after="0" w:line="30" w:lineRule="exact"/>
        <w:rPr>
          <w:sz w:val="20"/>
          <w:szCs w:val="20"/>
          <w:color w:val="auto"/>
        </w:rPr>
      </w:pPr>
    </w:p>
    <w:tbl>
      <w:tblPr>
        <w:tblLayout w:type="fixed"/>
        <w:tblInd w:w="30" w:type="dxa"/>
        <w:tblCellMar>
          <w:top w:w="0" w:type="dxa"/>
          <w:left w:w="0" w:type="dxa"/>
          <w:bottom w:w="0" w:type="dxa"/>
          <w:right w:w="0" w:type="dxa"/>
        </w:tblCellMar>
      </w:tblPr>
      <w:tr>
        <w:trPr>
          <w:trHeight w:val="205"/>
        </w:trPr>
        <w:tc>
          <w:tcPr>
            <w:tcW w:w="1400" w:type="dxa"/>
            <w:vAlign w:val="bottom"/>
            <w:tcBorders>
              <w:top w:val="single" w:sz="8" w:color="auto"/>
              <w:left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0"/>
                <w:szCs w:val="10"/>
                <w:b w:val="1"/>
                <w:bCs w:val="1"/>
                <w:color w:val="1F1F23"/>
                <w:w w:val="98"/>
              </w:rPr>
              <w:t>2020</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0"/>
                <w:szCs w:val="10"/>
                <w:b w:val="1"/>
                <w:bCs w:val="1"/>
                <w:color w:val="1F1F23"/>
                <w:w w:val="97"/>
              </w:rPr>
              <w:t>Tenant</w:t>
            </w:r>
          </w:p>
        </w:tc>
        <w:tc>
          <w:tcPr>
            <w:tcW w:w="660" w:type="dxa"/>
            <w:vAlign w:val="bottom"/>
            <w:tcBorders>
              <w:top w:val="single" w:sz="8" w:color="auto"/>
              <w:right w:val="single" w:sz="8" w:color="auto"/>
            </w:tcBorders>
          </w:tcPr>
          <w:p>
            <w:pPr>
              <w:spacing w:after="0"/>
              <w:rPr>
                <w:sz w:val="17"/>
                <w:szCs w:val="17"/>
                <w:color w:val="auto"/>
              </w:rPr>
            </w:pPr>
          </w:p>
        </w:tc>
        <w:tc>
          <w:tcPr>
            <w:tcW w:w="41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w w:val="98"/>
              </w:rPr>
              <w:t>2019 Total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rPr>
              <w:t>Allocated</w:t>
            </w:r>
          </w:p>
        </w:tc>
        <w:tc>
          <w:tcPr>
            <w:tcW w:w="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0"/>
                <w:szCs w:val="10"/>
                <w:b w:val="1"/>
                <w:bCs w:val="1"/>
                <w:color w:val="1F1F23"/>
              </w:rPr>
              <w:t>Allocated</w:t>
            </w:r>
          </w:p>
        </w:tc>
        <w:tc>
          <w:tcPr>
            <w:tcW w:w="68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1F1F23"/>
              </w:rPr>
              <w:t>A</w:t>
            </w:r>
            <w:r>
              <w:rPr>
                <w:rFonts w:ascii="Arial" w:cs="Arial" w:eastAsia="Arial" w:hAnsi="Arial"/>
                <w:sz w:val="10"/>
                <w:szCs w:val="10"/>
                <w:b w:val="1"/>
                <w:bCs w:val="1"/>
                <w:color w:val="464446"/>
              </w:rPr>
              <w:t>ssu</w:t>
            </w:r>
            <w:r>
              <w:rPr>
                <w:rFonts w:ascii="Arial" w:cs="Arial" w:eastAsia="Arial" w:hAnsi="Arial"/>
                <w:sz w:val="10"/>
                <w:szCs w:val="10"/>
                <w:b w:val="1"/>
                <w:bCs w:val="1"/>
                <w:color w:val="1F1F23"/>
              </w:rPr>
              <w:t>med</w:t>
            </w: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Landlord</w:t>
            </w:r>
          </w:p>
        </w:tc>
        <w:tc>
          <w:tcPr>
            <w:tcW w:w="140" w:type="dxa"/>
            <w:vAlign w:val="bottom"/>
          </w:tcPr>
          <w:p>
            <w:pPr>
              <w:spacing w:after="0"/>
              <w:rPr>
                <w:sz w:val="11"/>
                <w:szCs w:val="11"/>
                <w:color w:val="auto"/>
              </w:rPr>
            </w:pPr>
          </w:p>
        </w:tc>
        <w:tc>
          <w:tcPr>
            <w:tcW w:w="620" w:type="dxa"/>
            <w:vAlign w:val="bottom"/>
            <w:tcBorders>
              <w:right w:val="single" w:sz="8" w:color="auto"/>
            </w:tcBorders>
          </w:tcPr>
          <w:p>
            <w:pPr>
              <w:jc w:val="center"/>
              <w:ind w:right="130"/>
              <w:spacing w:after="0"/>
              <w:rPr>
                <w:sz w:val="20"/>
                <w:szCs w:val="20"/>
                <w:color w:val="auto"/>
              </w:rPr>
            </w:pPr>
            <w:r>
              <w:rPr>
                <w:rFonts w:ascii="Arial" w:cs="Arial" w:eastAsia="Arial" w:hAnsi="Arial"/>
                <w:sz w:val="10"/>
                <w:szCs w:val="10"/>
                <w:b w:val="1"/>
                <w:bCs w:val="1"/>
                <w:color w:val="1F1F23"/>
                <w:w w:val="99"/>
              </w:rPr>
              <w:t>Building</w:t>
            </w:r>
          </w:p>
        </w:tc>
        <w:tc>
          <w:tcPr>
            <w:tcW w:w="66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40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gridSpan w:val="2"/>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0"/>
                <w:szCs w:val="10"/>
                <w:b w:val="1"/>
                <w:bCs w:val="1"/>
                <w:color w:val="1F1F23"/>
              </w:rPr>
              <w:t>Total</w:t>
            </w:r>
          </w:p>
        </w:tc>
        <w:tc>
          <w:tcPr>
            <w:tcW w:w="680" w:type="dxa"/>
            <w:vAlign w:val="bottom"/>
            <w:tcBorders>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0"/>
                <w:szCs w:val="10"/>
                <w:b w:val="1"/>
                <w:bCs w:val="1"/>
                <w:color w:val="1F1F23"/>
              </w:rPr>
              <w:t>Annual</w:t>
            </w:r>
          </w:p>
        </w:tc>
        <w:tc>
          <w:tcPr>
            <w:tcW w:w="66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40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gridSpan w:val="2"/>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0"/>
                <w:szCs w:val="10"/>
                <w:b w:val="1"/>
                <w:bCs w:val="1"/>
                <w:color w:val="1F1F23"/>
              </w:rPr>
              <w:t>Build</w:t>
            </w:r>
            <w:r>
              <w:rPr>
                <w:rFonts w:ascii="Arial" w:cs="Arial" w:eastAsia="Arial" w:hAnsi="Arial"/>
                <w:sz w:val="10"/>
                <w:szCs w:val="10"/>
                <w:b w:val="1"/>
                <w:bCs w:val="1"/>
                <w:color w:val="464446"/>
              </w:rPr>
              <w:t>i</w:t>
            </w:r>
            <w:r>
              <w:rPr>
                <w:rFonts w:ascii="Arial" w:cs="Arial" w:eastAsia="Arial" w:hAnsi="Arial"/>
                <w:sz w:val="10"/>
                <w:szCs w:val="10"/>
                <w:b w:val="1"/>
                <w:bCs w:val="1"/>
                <w:color w:val="1F1F23"/>
              </w:rPr>
              <w:t>ng</w:t>
            </w:r>
          </w:p>
        </w:tc>
        <w:tc>
          <w:tcPr>
            <w:tcW w:w="200" w:type="dxa"/>
            <w:vAlign w:val="bottom"/>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4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0"/>
                <w:szCs w:val="10"/>
                <w:b w:val="1"/>
                <w:bCs w:val="1"/>
                <w:color w:val="1F1F23"/>
                <w:w w:val="97"/>
              </w:rPr>
              <w:t>Property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w w:val="99"/>
              </w:rPr>
              <w:t>Build</w:t>
            </w:r>
            <w:r>
              <w:rPr>
                <w:rFonts w:ascii="Arial" w:cs="Arial" w:eastAsia="Arial" w:hAnsi="Arial"/>
                <w:sz w:val="10"/>
                <w:szCs w:val="10"/>
                <w:b w:val="1"/>
                <w:bCs w:val="1"/>
                <w:color w:val="464446"/>
                <w:w w:val="99"/>
              </w:rPr>
              <w:t>i</w:t>
            </w:r>
            <w:r>
              <w:rPr>
                <w:rFonts w:ascii="Arial" w:cs="Arial" w:eastAsia="Arial" w:hAnsi="Arial"/>
                <w:sz w:val="10"/>
                <w:szCs w:val="10"/>
                <w:b w:val="1"/>
                <w:bCs w:val="1"/>
                <w:color w:val="1F1F23"/>
                <w:w w:val="99"/>
              </w:rPr>
              <w:t>ng</w:t>
            </w:r>
          </w:p>
        </w:tc>
        <w:tc>
          <w:tcPr>
            <w:tcW w:w="7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w w:val="97"/>
              </w:rPr>
              <w:t>(Office)</w:t>
            </w: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w w:val="99"/>
              </w:rPr>
              <w:t>Build</w:t>
            </w:r>
            <w:r>
              <w:rPr>
                <w:rFonts w:ascii="Arial" w:cs="Arial" w:eastAsia="Arial" w:hAnsi="Arial"/>
                <w:sz w:val="10"/>
                <w:szCs w:val="10"/>
                <w:b w:val="1"/>
                <w:bCs w:val="1"/>
                <w:color w:val="464446"/>
                <w:w w:val="99"/>
              </w:rPr>
              <w:t>i</w:t>
            </w:r>
            <w:r>
              <w:rPr>
                <w:rFonts w:ascii="Arial" w:cs="Arial" w:eastAsia="Arial" w:hAnsi="Arial"/>
                <w:sz w:val="10"/>
                <w:szCs w:val="10"/>
                <w:b w:val="1"/>
                <w:bCs w:val="1"/>
                <w:color w:val="1F1F23"/>
                <w:w w:val="99"/>
              </w:rPr>
              <w:t>ng</w:t>
            </w: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Operating</w:t>
            </w:r>
          </w:p>
        </w:tc>
        <w:tc>
          <w:tcPr>
            <w:tcW w:w="66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0"/>
                <w:szCs w:val="10"/>
                <w:b w:val="1"/>
                <w:bCs w:val="1"/>
                <w:color w:val="1F1F23"/>
              </w:rPr>
              <w:t>2020</w:t>
            </w: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400" w:type="dxa"/>
            <w:vAlign w:val="bottom"/>
            <w:tcBorders>
              <w:left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0"/>
                <w:szCs w:val="10"/>
                <w:b w:val="1"/>
                <w:bCs w:val="1"/>
                <w:color w:val="1F1F23"/>
              </w:rPr>
              <w:t>Annual</w:t>
            </w:r>
          </w:p>
        </w:tc>
        <w:tc>
          <w:tcPr>
            <w:tcW w:w="68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gridSpan w:val="2"/>
            <w:vMerge w:val="continue"/>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4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0"/>
                <w:szCs w:val="10"/>
                <w:b w:val="1"/>
                <w:bCs w:val="1"/>
                <w:color w:val="1F1F23"/>
                <w:w w:val="98"/>
              </w:rPr>
              <w:t>Actual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w w:val="96"/>
              </w:rPr>
              <w:t>(Offic</w:t>
            </w:r>
            <w:r>
              <w:rPr>
                <w:rFonts w:ascii="Arial" w:cs="Arial" w:eastAsia="Arial" w:hAnsi="Arial"/>
                <w:sz w:val="10"/>
                <w:szCs w:val="10"/>
                <w:b w:val="1"/>
                <w:bCs w:val="1"/>
                <w:color w:val="464446"/>
                <w:w w:val="96"/>
              </w:rPr>
              <w:t>e</w:t>
            </w:r>
            <w:r>
              <w:rPr>
                <w:rFonts w:ascii="Arial" w:cs="Arial" w:eastAsia="Arial" w:hAnsi="Arial"/>
                <w:sz w:val="10"/>
                <w:szCs w:val="10"/>
                <w:b w:val="1"/>
                <w:bCs w:val="1"/>
                <w:color w:val="1F1F23"/>
                <w:w w:val="96"/>
              </w:rPr>
              <w:t>)</w:t>
            </w:r>
          </w:p>
        </w:tc>
        <w:tc>
          <w:tcPr>
            <w:tcW w:w="72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w w:val="99"/>
              </w:rPr>
              <w:t>Build</w:t>
            </w:r>
            <w:r>
              <w:rPr>
                <w:rFonts w:ascii="Arial" w:cs="Arial" w:eastAsia="Arial" w:hAnsi="Arial"/>
                <w:sz w:val="10"/>
                <w:szCs w:val="10"/>
                <w:b w:val="1"/>
                <w:bCs w:val="1"/>
                <w:color w:val="464446"/>
                <w:w w:val="99"/>
              </w:rPr>
              <w:t>i</w:t>
            </w:r>
            <w:r>
              <w:rPr>
                <w:rFonts w:ascii="Arial" w:cs="Arial" w:eastAsia="Arial" w:hAnsi="Arial"/>
                <w:sz w:val="10"/>
                <w:szCs w:val="10"/>
                <w:b w:val="1"/>
                <w:bCs w:val="1"/>
                <w:color w:val="1F1F23"/>
                <w:w w:val="99"/>
              </w:rPr>
              <w:t>ng</w:t>
            </w:r>
          </w:p>
        </w:tc>
        <w:tc>
          <w:tcPr>
            <w:tcW w:w="140" w:type="dxa"/>
            <w:vAlign w:val="bottom"/>
          </w:tcPr>
          <w:p>
            <w:pPr>
              <w:spacing w:after="0"/>
              <w:rPr>
                <w:sz w:val="7"/>
                <w:szCs w:val="7"/>
                <w:color w:val="auto"/>
              </w:rPr>
            </w:pPr>
          </w:p>
        </w:tc>
        <w:tc>
          <w:tcPr>
            <w:tcW w:w="54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0"/>
                <w:szCs w:val="10"/>
                <w:b w:val="1"/>
                <w:bCs w:val="1"/>
                <w:color w:val="1F1F23"/>
                <w:w w:val="94"/>
              </w:rPr>
              <w:t>Annual</w:t>
            </w:r>
          </w:p>
        </w:tc>
        <w:tc>
          <w:tcPr>
            <w:tcW w:w="140" w:type="dxa"/>
            <w:vAlign w:val="bottom"/>
          </w:tcPr>
          <w:p>
            <w:pPr>
              <w:spacing w:after="0"/>
              <w:rPr>
                <w:sz w:val="7"/>
                <w:szCs w:val="7"/>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0"/>
                <w:szCs w:val="10"/>
                <w:b w:val="1"/>
                <w:bCs w:val="1"/>
                <w:color w:val="1F1F23"/>
                <w:w w:val="98"/>
              </w:rPr>
              <w:t>Expenses</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rPr>
              <w:t>Annual</w:t>
            </w: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400" w:type="dxa"/>
            <w:vAlign w:val="bottom"/>
            <w:tcBorders>
              <w:left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0"/>
                <w:szCs w:val="10"/>
                <w:b w:val="1"/>
                <w:bCs w:val="1"/>
                <w:color w:val="1F1F23"/>
              </w:rPr>
              <w:t>Operat</w:t>
            </w:r>
            <w:r>
              <w:rPr>
                <w:rFonts w:ascii="Arial" w:cs="Arial" w:eastAsia="Arial" w:hAnsi="Arial"/>
                <w:sz w:val="10"/>
                <w:szCs w:val="10"/>
                <w:b w:val="1"/>
                <w:bCs w:val="1"/>
                <w:color w:val="464446"/>
              </w:rPr>
              <w:t>in</w:t>
            </w:r>
            <w:r>
              <w:rPr>
                <w:rFonts w:ascii="Arial" w:cs="Arial" w:eastAsia="Arial" w:hAnsi="Arial"/>
                <w:sz w:val="10"/>
                <w:szCs w:val="10"/>
                <w:b w:val="1"/>
                <w:bCs w:val="1"/>
                <w:color w:val="1F1F23"/>
              </w:rPr>
              <w:t>g</w:t>
            </w:r>
          </w:p>
        </w:tc>
        <w:tc>
          <w:tcPr>
            <w:tcW w:w="68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4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rPr>
              <w:t xml:space="preserve">Rationale for </w:t>
            </w:r>
            <w:r>
              <w:rPr>
                <w:rFonts w:ascii="Arial" w:cs="Arial" w:eastAsia="Arial" w:hAnsi="Arial"/>
                <w:sz w:val="10"/>
                <w:szCs w:val="10"/>
                <w:b w:val="1"/>
                <w:bCs w:val="1"/>
                <w:color w:val="464446"/>
              </w:rPr>
              <w:t>%</w:t>
            </w:r>
            <w:r>
              <w:rPr>
                <w:rFonts w:ascii="Arial" w:cs="Arial" w:eastAsia="Arial" w:hAnsi="Arial"/>
                <w:sz w:val="10"/>
                <w:szCs w:val="10"/>
                <w:b w:val="1"/>
                <w:bCs w:val="1"/>
                <w:color w:val="1F1F23"/>
              </w:rPr>
              <w:t xml:space="preserve"> Alloca</w:t>
            </w:r>
            <w:r>
              <w:rPr>
                <w:rFonts w:ascii="Arial" w:cs="Arial" w:eastAsia="Arial" w:hAnsi="Arial"/>
                <w:sz w:val="10"/>
                <w:szCs w:val="10"/>
                <w:b w:val="1"/>
                <w:bCs w:val="1"/>
                <w:color w:val="010101"/>
              </w:rPr>
              <w:t>t</w:t>
            </w:r>
            <w:r>
              <w:rPr>
                <w:rFonts w:ascii="Arial" w:cs="Arial" w:eastAsia="Arial" w:hAnsi="Arial"/>
                <w:sz w:val="10"/>
                <w:szCs w:val="10"/>
                <w:b w:val="1"/>
                <w:bCs w:val="1"/>
                <w:color w:val="1F1F23"/>
              </w:rPr>
              <w:t>ion</w:t>
            </w: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Op</w:t>
            </w:r>
            <w:r>
              <w:rPr>
                <w:rFonts w:ascii="Arial" w:cs="Arial" w:eastAsia="Arial" w:hAnsi="Arial"/>
                <w:sz w:val="10"/>
                <w:szCs w:val="10"/>
                <w:b w:val="1"/>
                <w:bCs w:val="1"/>
                <w:color w:val="464446"/>
              </w:rPr>
              <w:t>eratin</w:t>
            </w:r>
            <w:r>
              <w:rPr>
                <w:rFonts w:ascii="Arial" w:cs="Arial" w:eastAsia="Arial" w:hAnsi="Arial"/>
                <w:sz w:val="10"/>
                <w:szCs w:val="10"/>
                <w:b w:val="1"/>
                <w:bCs w:val="1"/>
                <w:color w:val="1F1F23"/>
              </w:rPr>
              <w:t>g</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w w:val="99"/>
              </w:rPr>
              <w:t>U</w:t>
            </w:r>
            <w:r>
              <w:rPr>
                <w:rFonts w:ascii="Arial" w:cs="Arial" w:eastAsia="Arial" w:hAnsi="Arial"/>
                <w:sz w:val="10"/>
                <w:szCs w:val="10"/>
                <w:b w:val="1"/>
                <w:bCs w:val="1"/>
                <w:color w:val="464446"/>
                <w:w w:val="99"/>
              </w:rPr>
              <w:t>sa</w:t>
            </w:r>
            <w:r>
              <w:rPr>
                <w:rFonts w:ascii="Arial" w:cs="Arial" w:eastAsia="Arial" w:hAnsi="Arial"/>
                <w:sz w:val="10"/>
                <w:szCs w:val="10"/>
                <w:b w:val="1"/>
                <w:bCs w:val="1"/>
                <w:color w:val="1F1F23"/>
                <w:w w:val="99"/>
              </w:rPr>
              <w:t>ge</w:t>
            </w:r>
          </w:p>
        </w:tc>
        <w:tc>
          <w:tcPr>
            <w:tcW w:w="72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Cumu</w:t>
            </w:r>
            <w:r>
              <w:rPr>
                <w:rFonts w:ascii="Arial" w:cs="Arial" w:eastAsia="Arial" w:hAnsi="Arial"/>
                <w:sz w:val="10"/>
                <w:szCs w:val="10"/>
                <w:b w:val="1"/>
                <w:bCs w:val="1"/>
                <w:color w:val="464446"/>
              </w:rPr>
              <w:t>l</w:t>
            </w:r>
            <w:r>
              <w:rPr>
                <w:rFonts w:ascii="Arial" w:cs="Arial" w:eastAsia="Arial" w:hAnsi="Arial"/>
                <w:sz w:val="10"/>
                <w:szCs w:val="10"/>
                <w:b w:val="1"/>
                <w:bCs w:val="1"/>
                <w:color w:val="1F1F23"/>
              </w:rPr>
              <w:t>ative</w:t>
            </w: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Operating</w:t>
            </w:r>
          </w:p>
        </w:tc>
        <w:tc>
          <w:tcPr>
            <w:tcW w:w="140" w:type="dxa"/>
            <w:vAlign w:val="bottom"/>
          </w:tcPr>
          <w:p>
            <w:pPr>
              <w:spacing w:after="0"/>
              <w:rPr>
                <w:sz w:val="7"/>
                <w:szCs w:val="7"/>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0"/>
                <w:szCs w:val="10"/>
                <w:b w:val="1"/>
                <w:bCs w:val="1"/>
                <w:color w:val="1F1F23"/>
                <w:w w:val="97"/>
              </w:rPr>
              <w:t>(50%)</w:t>
            </w:r>
          </w:p>
        </w:tc>
        <w:tc>
          <w:tcPr>
            <w:tcW w:w="66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0"/>
                <w:szCs w:val="10"/>
                <w:b w:val="1"/>
                <w:bCs w:val="1"/>
                <w:color w:val="313133"/>
              </w:rPr>
              <w:t>10%</w:t>
            </w:r>
          </w:p>
        </w:tc>
        <w:tc>
          <w:tcPr>
            <w:tcW w:w="4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400" w:type="dxa"/>
            <w:vAlign w:val="bottom"/>
            <w:tcBorders>
              <w:left w:val="single" w:sz="8" w:color="auto"/>
              <w:right w:val="single" w:sz="8" w:color="auto"/>
            </w:tcBorders>
          </w:tcPr>
          <w:p>
            <w:pPr>
              <w:spacing w:after="0"/>
              <w:rPr>
                <w:sz w:val="4"/>
                <w:szCs w:val="4"/>
                <w:color w:val="auto"/>
              </w:rPr>
            </w:pPr>
          </w:p>
        </w:tc>
        <w:tc>
          <w:tcPr>
            <w:tcW w:w="740" w:type="dxa"/>
            <w:vAlign w:val="bottom"/>
            <w:tcBorders>
              <w:right w:val="single" w:sz="8" w:color="auto"/>
            </w:tcBorders>
            <w:gridSpan w:val="2"/>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0"/>
                <w:szCs w:val="10"/>
                <w:b w:val="1"/>
                <w:bCs w:val="1"/>
                <w:color w:val="1F1F23"/>
              </w:rPr>
              <w:t>Expenses</w:t>
            </w:r>
          </w:p>
        </w:tc>
        <w:tc>
          <w:tcPr>
            <w:tcW w:w="68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4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0"/>
                <w:szCs w:val="10"/>
                <w:b w:val="1"/>
                <w:bCs w:val="1"/>
                <w:color w:val="313133"/>
                <w:w w:val="98"/>
              </w:rPr>
              <w:t>Expenses</w:t>
            </w: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gridSpan w:val="2"/>
            <w:vMerge w:val="continue"/>
          </w:tcPr>
          <w:p>
            <w:pPr>
              <w:spacing w:after="0"/>
              <w:rPr>
                <w:sz w:val="7"/>
                <w:szCs w:val="7"/>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Operating</w:t>
            </w: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rPr>
              <w:t>Expen</w:t>
            </w:r>
            <w:r>
              <w:rPr>
                <w:rFonts w:ascii="Arial" w:cs="Arial" w:eastAsia="Arial" w:hAnsi="Arial"/>
                <w:sz w:val="10"/>
                <w:szCs w:val="10"/>
                <w:b w:val="1"/>
                <w:bCs w:val="1"/>
                <w:color w:val="464446"/>
              </w:rPr>
              <w:t>se</w:t>
            </w:r>
            <w:r>
              <w:rPr>
                <w:rFonts w:ascii="Arial" w:cs="Arial" w:eastAsia="Arial" w:hAnsi="Arial"/>
                <w:sz w:val="10"/>
                <w:szCs w:val="10"/>
                <w:b w:val="1"/>
                <w:bCs w:val="1"/>
                <w:color w:val="1F1F23"/>
              </w:rPr>
              <w:t>s</w:t>
            </w:r>
          </w:p>
        </w:tc>
        <w:tc>
          <w:tcPr>
            <w:tcW w:w="14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1F1F23"/>
              </w:rPr>
              <w:t>Threshold</w:t>
            </w:r>
            <w:r>
              <w:rPr>
                <w:rFonts w:ascii="Arial" w:cs="Arial" w:eastAsia="Arial" w:hAnsi="Arial"/>
                <w:sz w:val="10"/>
                <w:szCs w:val="10"/>
                <w:b w:val="1"/>
                <w:bCs w:val="1"/>
                <w:color w:val="313133"/>
              </w:rPr>
              <w:t>..</w:t>
            </w: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400" w:type="dxa"/>
            <w:vAlign w:val="bottom"/>
            <w:tcBorders>
              <w:left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gridSpan w:val="2"/>
            <w:vMerge w:val="continue"/>
          </w:tcPr>
          <w:p>
            <w:pPr>
              <w:spacing w:after="0"/>
              <w:rPr>
                <w:sz w:val="3"/>
                <w:szCs w:val="3"/>
                <w:color w:val="auto"/>
              </w:rPr>
            </w:pPr>
          </w:p>
        </w:tc>
        <w:tc>
          <w:tcPr>
            <w:tcW w:w="680" w:type="dxa"/>
            <w:vAlign w:val="bottom"/>
            <w:tcBorders>
              <w:right w:val="single" w:sz="8" w:color="auto"/>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vMerge w:val="continue"/>
          </w:tcPr>
          <w:p>
            <w:pPr>
              <w:spacing w:after="0"/>
              <w:rPr>
                <w:sz w:val="3"/>
                <w:szCs w:val="3"/>
                <w:color w:val="auto"/>
              </w:rPr>
            </w:pPr>
          </w:p>
        </w:tc>
        <w:tc>
          <w:tcPr>
            <w:tcW w:w="4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40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1F1F23"/>
                <w:w w:val="99"/>
              </w:rPr>
              <w:t>Expenses</w:t>
            </w:r>
            <w:r>
              <w:rPr>
                <w:rFonts w:ascii="Arial" w:cs="Arial" w:eastAsia="Arial" w:hAnsi="Arial"/>
                <w:sz w:val="10"/>
                <w:szCs w:val="10"/>
                <w:b w:val="1"/>
                <w:bCs w:val="1"/>
                <w:color w:val="464446"/>
                <w:w w:val="99"/>
              </w:rPr>
              <w:t>•</w:t>
            </w:r>
          </w:p>
        </w:tc>
        <w:tc>
          <w:tcPr>
            <w:tcW w:w="140" w:type="dxa"/>
            <w:vAlign w:val="bottom"/>
          </w:tcPr>
          <w:p>
            <w:pPr>
              <w:spacing w:after="0"/>
              <w:rPr>
                <w:sz w:val="10"/>
                <w:szCs w:val="10"/>
                <w:color w:val="auto"/>
              </w:rPr>
            </w:pPr>
          </w:p>
        </w:tc>
        <w:tc>
          <w:tcPr>
            <w:tcW w:w="540" w:type="dxa"/>
            <w:vAlign w:val="bottom"/>
            <w:tcBorders>
              <w:right w:val="single" w:sz="8" w:color="auto"/>
            </w:tcBorders>
          </w:tcPr>
          <w:p>
            <w:pPr>
              <w:jc w:val="center"/>
              <w:ind w:right="130"/>
              <w:spacing w:after="0"/>
              <w:rPr>
                <w:sz w:val="20"/>
                <w:szCs w:val="20"/>
                <w:color w:val="auto"/>
              </w:rPr>
            </w:pPr>
            <w:r>
              <w:rPr>
                <w:rFonts w:ascii="Arial" w:cs="Arial" w:eastAsia="Arial" w:hAnsi="Arial"/>
                <w:sz w:val="10"/>
                <w:szCs w:val="10"/>
                <w:b w:val="1"/>
                <w:bCs w:val="1"/>
                <w:color w:val="1F1F23"/>
              </w:rPr>
              <w:t>(50</w:t>
            </w:r>
            <w:r>
              <w:rPr>
                <w:rFonts w:ascii="Arial" w:cs="Arial" w:eastAsia="Arial" w:hAnsi="Arial"/>
                <w:sz w:val="10"/>
                <w:szCs w:val="10"/>
                <w:b w:val="1"/>
                <w:bCs w:val="1"/>
                <w:color w:val="464446"/>
              </w:rPr>
              <w:t>%</w:t>
            </w:r>
            <w:r>
              <w:rPr>
                <w:rFonts w:ascii="Arial" w:cs="Arial" w:eastAsia="Arial" w:hAnsi="Arial"/>
                <w:sz w:val="10"/>
                <w:szCs w:val="10"/>
                <w:b w:val="1"/>
                <w:bCs w:val="1"/>
                <w:color w:val="1F1F23"/>
              </w:rPr>
              <w:t>)</w:t>
            </w:r>
          </w:p>
        </w:tc>
        <w:tc>
          <w:tcPr>
            <w:tcW w:w="1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400" w:type="dxa"/>
            <w:vAlign w:val="bottom"/>
            <w:tcBorders>
              <w:left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400" w:type="dxa"/>
            <w:vAlign w:val="bottom"/>
            <w:tcBorders>
              <w:left w:val="single" w:sz="8" w:color="auto"/>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color w:val="464446"/>
              </w:rPr>
              <w:t xml:space="preserve">s  </w:t>
            </w:r>
            <w:r>
              <w:rPr>
                <w:rFonts w:ascii="Arial" w:cs="Arial" w:eastAsia="Arial" w:hAnsi="Arial"/>
                <w:sz w:val="9"/>
                <w:szCs w:val="9"/>
                <w:color w:val="1F1F23"/>
              </w:rPr>
              <w:t>1</w:t>
            </w:r>
            <w:r>
              <w:rPr>
                <w:rFonts w:ascii="Arial" w:cs="Arial" w:eastAsia="Arial" w:hAnsi="Arial"/>
                <w:sz w:val="9"/>
                <w:szCs w:val="9"/>
                <w:color w:val="464446"/>
              </w:rPr>
              <w:t>06</w:t>
            </w:r>
            <w:r>
              <w:rPr>
                <w:rFonts w:ascii="Arial" w:cs="Arial" w:eastAsia="Arial" w:hAnsi="Arial"/>
                <w:sz w:val="9"/>
                <w:szCs w:val="9"/>
                <w:color w:val="5D5D60"/>
              </w:rPr>
              <w:t>,</w:t>
            </w:r>
            <w:r>
              <w:rPr>
                <w:rFonts w:ascii="Arial" w:cs="Arial" w:eastAsia="Arial" w:hAnsi="Arial"/>
                <w:sz w:val="9"/>
                <w:szCs w:val="9"/>
                <w:color w:val="464446"/>
              </w:rPr>
              <w:t>547</w:t>
            </w:r>
          </w:p>
        </w:tc>
        <w:tc>
          <w:tcPr>
            <w:tcW w:w="7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40" w:type="dxa"/>
            <w:vAlign w:val="bottom"/>
            <w:vMerge w:val="restart"/>
          </w:tcPr>
          <w:p>
            <w:pPr>
              <w:ind w:left="60"/>
              <w:spacing w:after="0"/>
              <w:rPr>
                <w:sz w:val="20"/>
                <w:szCs w:val="20"/>
                <w:color w:val="auto"/>
              </w:rPr>
            </w:pPr>
            <w:r>
              <w:rPr>
                <w:rFonts w:ascii="Arial" w:cs="Arial" w:eastAsia="Arial" w:hAnsi="Arial"/>
                <w:sz w:val="17"/>
                <w:szCs w:val="17"/>
                <w:color w:val="464446"/>
                <w:w w:val="70"/>
              </w:rPr>
              <w:t>s</w:t>
            </w:r>
          </w:p>
        </w:tc>
        <w:tc>
          <w:tcPr>
            <w:tcW w:w="540" w:type="dxa"/>
            <w:vAlign w:val="bottom"/>
            <w:tcBorders>
              <w:right w:val="single" w:sz="8" w:color="auto"/>
            </w:tcBorders>
          </w:tcPr>
          <w:p>
            <w:pPr>
              <w:spacing w:after="0"/>
              <w:rPr>
                <w:sz w:val="11"/>
                <w:szCs w:val="11"/>
                <w:color w:val="auto"/>
              </w:rPr>
            </w:pPr>
          </w:p>
        </w:tc>
        <w:tc>
          <w:tcPr>
            <w:tcW w:w="140" w:type="dxa"/>
            <w:vAlign w:val="bottom"/>
            <w:vMerge w:val="restart"/>
          </w:tcPr>
          <w:p>
            <w:pPr>
              <w:ind w:left="60"/>
              <w:spacing w:after="0"/>
              <w:rPr>
                <w:sz w:val="20"/>
                <w:szCs w:val="20"/>
                <w:color w:val="auto"/>
              </w:rPr>
            </w:pPr>
            <w:r>
              <w:rPr>
                <w:rFonts w:ascii="Arial" w:cs="Arial" w:eastAsia="Arial" w:hAnsi="Arial"/>
                <w:sz w:val="17"/>
                <w:szCs w:val="17"/>
                <w:color w:val="464446"/>
                <w:w w:val="70"/>
              </w:rPr>
              <w:t>s</w:t>
            </w:r>
          </w:p>
        </w:tc>
        <w:tc>
          <w:tcPr>
            <w:tcW w:w="6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31313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 ma</w:t>
            </w:r>
            <w:r>
              <w:rPr>
                <w:rFonts w:ascii="Arial" w:cs="Arial" w:eastAsia="Arial" w:hAnsi="Arial"/>
                <w:sz w:val="10"/>
                <w:szCs w:val="10"/>
                <w:color w:val="5D5D60"/>
                <w:w w:val="99"/>
              </w:rPr>
              <w:t>j</w:t>
            </w:r>
            <w:r>
              <w:rPr>
                <w:rFonts w:ascii="Arial" w:cs="Arial" w:eastAsia="Arial" w:hAnsi="Arial"/>
                <w:sz w:val="10"/>
                <w:szCs w:val="10"/>
                <w:color w:val="464446"/>
                <w:w w:val="99"/>
              </w:rPr>
              <w:t>o</w:t>
            </w:r>
            <w:r>
              <w:rPr>
                <w:rFonts w:ascii="Arial" w:cs="Arial" w:eastAsia="Arial" w:hAnsi="Arial"/>
                <w:sz w:val="10"/>
                <w:szCs w:val="10"/>
                <w:color w:val="1F1F23"/>
                <w:w w:val="99"/>
              </w:rPr>
              <w:t>rit</w:t>
            </w:r>
            <w:r>
              <w:rPr>
                <w:rFonts w:ascii="Arial" w:cs="Arial" w:eastAsia="Arial" w:hAnsi="Arial"/>
                <w:sz w:val="10"/>
                <w:szCs w:val="10"/>
                <w:color w:val="464446"/>
                <w:w w:val="99"/>
              </w:rPr>
              <w:t>y of</w:t>
            </w:r>
            <w:r>
              <w:rPr>
                <w:rFonts w:ascii="Arial" w:cs="Arial" w:eastAsia="Arial" w:hAnsi="Arial"/>
                <w:sz w:val="10"/>
                <w:szCs w:val="10"/>
                <w:color w:val="313133"/>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w:t>
            </w:r>
            <w:r>
              <w:rPr>
                <w:rFonts w:ascii="Arial" w:cs="Arial" w:eastAsia="Arial" w:hAnsi="Arial"/>
                <w:sz w:val="10"/>
                <w:szCs w:val="10"/>
                <w:color w:val="313133"/>
                <w:w w:val="99"/>
              </w:rPr>
              <w:t xml:space="preserve"> </w:t>
            </w:r>
            <w:r>
              <w:rPr>
                <w:rFonts w:ascii="Arial" w:cs="Arial" w:eastAsia="Arial" w:hAnsi="Arial"/>
                <w:sz w:val="10"/>
                <w:szCs w:val="10"/>
                <w:color w:val="1F1F23"/>
                <w:w w:val="99"/>
              </w:rPr>
              <w:t>l</w:t>
            </w:r>
            <w:r>
              <w:rPr>
                <w:rFonts w:ascii="Arial" w:cs="Arial" w:eastAsia="Arial" w:hAnsi="Arial"/>
                <w:sz w:val="10"/>
                <w:szCs w:val="10"/>
                <w:color w:val="464446"/>
                <w:w w:val="99"/>
              </w:rPr>
              <w:t>a</w:t>
            </w:r>
            <w:r>
              <w:rPr>
                <w:rFonts w:ascii="Arial" w:cs="Arial" w:eastAsia="Arial" w:hAnsi="Arial"/>
                <w:sz w:val="10"/>
                <w:szCs w:val="10"/>
                <w:color w:val="1F1F23"/>
                <w:w w:val="99"/>
              </w:rPr>
              <w:t>nd</w:t>
            </w:r>
            <w:r>
              <w:rPr>
                <w:rFonts w:ascii="Arial" w:cs="Arial" w:eastAsia="Arial" w:hAnsi="Arial"/>
                <w:sz w:val="10"/>
                <w:szCs w:val="10"/>
                <w:color w:val="464446"/>
                <w:w w:val="99"/>
              </w:rPr>
              <w:t>scapi</w:t>
            </w:r>
            <w:r>
              <w:rPr>
                <w:rFonts w:ascii="Arial" w:cs="Arial" w:eastAsia="Arial" w:hAnsi="Arial"/>
                <w:sz w:val="10"/>
                <w:szCs w:val="10"/>
                <w:color w:val="5D5D60"/>
                <w:w w:val="99"/>
              </w:rPr>
              <w:t>n</w:t>
            </w:r>
            <w:r>
              <w:rPr>
                <w:rFonts w:ascii="Arial" w:cs="Arial" w:eastAsia="Arial" w:hAnsi="Arial"/>
                <w:sz w:val="10"/>
                <w:szCs w:val="10"/>
                <w:color w:val="464446"/>
                <w:w w:val="99"/>
              </w:rPr>
              <w:t>g</w:t>
            </w:r>
            <w:r>
              <w:rPr>
                <w:rFonts w:ascii="Arial" w:cs="Arial" w:eastAsia="Arial" w:hAnsi="Arial"/>
                <w:sz w:val="10"/>
                <w:szCs w:val="10"/>
                <w:color w:val="313133"/>
                <w:w w:val="99"/>
              </w:rPr>
              <w:t xml:space="preserve"> is </w:t>
            </w:r>
            <w:r>
              <w:rPr>
                <w:rFonts w:ascii="Arial" w:cs="Arial" w:eastAsia="Arial" w:hAnsi="Arial"/>
                <w:sz w:val="10"/>
                <w:szCs w:val="10"/>
                <w:color w:val="464446"/>
                <w:w w:val="99"/>
              </w:rPr>
              <w:t>o</w:t>
            </w:r>
            <w:r>
              <w:rPr>
                <w:rFonts w:ascii="Arial" w:cs="Arial" w:eastAsia="Arial" w:hAnsi="Arial"/>
                <w:sz w:val="10"/>
                <w:szCs w:val="10"/>
                <w:color w:val="1F1F23"/>
                <w:w w:val="99"/>
              </w:rPr>
              <w:t>n</w:t>
            </w:r>
            <w:r>
              <w:rPr>
                <w:rFonts w:ascii="Arial" w:cs="Arial" w:eastAsia="Arial" w:hAnsi="Arial"/>
                <w:sz w:val="10"/>
                <w:szCs w:val="10"/>
                <w:color w:val="313133"/>
                <w:w w:val="99"/>
              </w:rPr>
              <w:t xml:space="preserve"> </w:t>
            </w:r>
            <w:r>
              <w:rPr>
                <w:rFonts w:ascii="Arial" w:cs="Arial" w:eastAsia="Arial" w:hAnsi="Arial"/>
                <w:sz w:val="10"/>
                <w:szCs w:val="10"/>
                <w:color w:val="464446"/>
                <w:w w:val="99"/>
              </w:rPr>
              <w:t>t</w:t>
            </w:r>
            <w:r>
              <w:rPr>
                <w:rFonts w:ascii="Arial" w:cs="Arial" w:eastAsia="Arial" w:hAnsi="Arial"/>
                <w:sz w:val="10"/>
                <w:szCs w:val="10"/>
                <w:color w:val="1F1F23"/>
                <w:w w:val="99"/>
              </w:rPr>
              <w:t>h</w:t>
            </w:r>
            <w:r>
              <w:rPr>
                <w:rFonts w:ascii="Arial" w:cs="Arial" w:eastAsia="Arial" w:hAnsi="Arial"/>
                <w:sz w:val="10"/>
                <w:szCs w:val="10"/>
                <w:color w:val="464446"/>
                <w:w w:val="99"/>
              </w:rPr>
              <w:t>e fro</w:t>
            </w:r>
            <w:r>
              <w:rPr>
                <w:rFonts w:ascii="Arial" w:cs="Arial" w:eastAsia="Arial" w:hAnsi="Arial"/>
                <w:sz w:val="10"/>
                <w:szCs w:val="10"/>
                <w:color w:val="1F1F23"/>
                <w:w w:val="99"/>
              </w:rPr>
              <w:t>n</w:t>
            </w:r>
            <w:r>
              <w:rPr>
                <w:rFonts w:ascii="Arial" w:cs="Arial" w:eastAsia="Arial" w:hAnsi="Arial"/>
                <w:sz w:val="10"/>
                <w:szCs w:val="10"/>
                <w:color w:val="464446"/>
                <w:w w:val="99"/>
              </w:rPr>
              <w:t>t/office side of t</w:t>
            </w:r>
            <w:r>
              <w:rPr>
                <w:rFonts w:ascii="Arial" w:cs="Arial" w:eastAsia="Arial" w:hAnsi="Arial"/>
                <w:sz w:val="10"/>
                <w:szCs w:val="10"/>
                <w:color w:val="1F1F23"/>
                <w:w w:val="99"/>
              </w:rPr>
              <w:t>h</w:t>
            </w:r>
            <w:r>
              <w:rPr>
                <w:rFonts w:ascii="Arial" w:cs="Arial" w:eastAsia="Arial" w:hAnsi="Arial"/>
                <w:sz w:val="10"/>
                <w:szCs w:val="10"/>
                <w:color w:val="464446"/>
                <w:w w:val="99"/>
              </w:rPr>
              <w:t>e b</w:t>
            </w:r>
            <w:r>
              <w:rPr>
                <w:rFonts w:ascii="Arial" w:cs="Arial" w:eastAsia="Arial" w:hAnsi="Arial"/>
                <w:sz w:val="10"/>
                <w:szCs w:val="10"/>
                <w:color w:val="5D5D60"/>
                <w:w w:val="99"/>
              </w:rPr>
              <w:t>u</w:t>
            </w:r>
            <w:r>
              <w:rPr>
                <w:rFonts w:ascii="Arial" w:cs="Arial" w:eastAsia="Arial" w:hAnsi="Arial"/>
                <w:sz w:val="10"/>
                <w:szCs w:val="10"/>
                <w:color w:val="757775"/>
                <w:w w:val="99"/>
              </w:rPr>
              <w:t>i</w:t>
            </w:r>
            <w:r>
              <w:rPr>
                <w:rFonts w:ascii="Arial" w:cs="Arial" w:eastAsia="Arial" w:hAnsi="Arial"/>
                <w:sz w:val="10"/>
                <w:szCs w:val="10"/>
                <w:color w:val="464446"/>
                <w:w w:val="99"/>
              </w:rPr>
              <w:t>ldi</w:t>
            </w:r>
            <w:r>
              <w:rPr>
                <w:rFonts w:ascii="Arial" w:cs="Arial" w:eastAsia="Arial" w:hAnsi="Arial"/>
                <w:sz w:val="10"/>
                <w:szCs w:val="10"/>
                <w:color w:val="1F1F23"/>
                <w:w w:val="99"/>
              </w:rPr>
              <w:t>n</w:t>
            </w:r>
            <w:r>
              <w:rPr>
                <w:rFonts w:ascii="Arial" w:cs="Arial" w:eastAsia="Arial" w:hAnsi="Arial"/>
                <w:sz w:val="10"/>
                <w:szCs w:val="10"/>
                <w:color w:val="464446"/>
                <w:w w:val="99"/>
              </w:rPr>
              <w:t>g. Mostly j</w:t>
            </w:r>
            <w:r>
              <w:rPr>
                <w:rFonts w:ascii="Arial" w:cs="Arial" w:eastAsia="Arial" w:hAnsi="Arial"/>
                <w:sz w:val="10"/>
                <w:szCs w:val="10"/>
                <w:color w:val="1F1F23"/>
                <w:w w:val="99"/>
              </w:rPr>
              <w:t>u</w:t>
            </w:r>
            <w:r>
              <w:rPr>
                <w:rFonts w:ascii="Arial" w:cs="Arial" w:eastAsia="Arial" w:hAnsi="Arial"/>
                <w:sz w:val="10"/>
                <w:szCs w:val="10"/>
                <w:color w:val="464446"/>
                <w:w w:val="99"/>
              </w:rPr>
              <w:t>s</w:t>
            </w:r>
            <w:r>
              <w:rPr>
                <w:rFonts w:ascii="Arial" w:cs="Arial" w:eastAsia="Arial" w:hAnsi="Arial"/>
                <w:sz w:val="10"/>
                <w:szCs w:val="10"/>
                <w:color w:val="5D5D60"/>
                <w:w w:val="99"/>
              </w:rPr>
              <w:t>t</w:t>
            </w:r>
            <w:r>
              <w:rPr>
                <w:rFonts w:ascii="Arial" w:cs="Arial" w:eastAsia="Arial" w:hAnsi="Arial"/>
                <w:sz w:val="10"/>
                <w:szCs w:val="10"/>
                <w:color w:val="313133"/>
                <w:w w:val="99"/>
              </w:rPr>
              <w:t xml:space="preserve"> </w:t>
            </w:r>
            <w:r>
              <w:rPr>
                <w:rFonts w:ascii="Arial" w:cs="Arial" w:eastAsia="Arial" w:hAnsi="Arial"/>
                <w:sz w:val="10"/>
                <w:szCs w:val="10"/>
                <w:color w:val="464446"/>
                <w:w w:val="99"/>
              </w:rPr>
              <w:t>law</w:t>
            </w:r>
            <w:r>
              <w:rPr>
                <w:rFonts w:ascii="Arial" w:cs="Arial" w:eastAsia="Arial" w:hAnsi="Arial"/>
                <w:sz w:val="10"/>
                <w:szCs w:val="10"/>
                <w:color w:val="5D5D60"/>
                <w:w w:val="99"/>
              </w:rPr>
              <w:t>n</w:t>
            </w:r>
          </w:p>
        </w:tc>
        <w:tc>
          <w:tcPr>
            <w:tcW w:w="0" w:type="dxa"/>
            <w:vAlign w:val="bottom"/>
          </w:tcPr>
          <w:p>
            <w:pPr>
              <w:spacing w:after="0"/>
              <w:rPr>
                <w:sz w:val="1"/>
                <w:szCs w:val="1"/>
                <w:color w:val="auto"/>
              </w:rPr>
            </w:pPr>
          </w:p>
        </w:tc>
      </w:tr>
      <w:tr>
        <w:trPr>
          <w:trHeight w:val="112"/>
        </w:trPr>
        <w:tc>
          <w:tcPr>
            <w:tcW w:w="1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color w:val="313133"/>
              </w:rPr>
              <w:t>Landscaping</w:t>
            </w:r>
          </w:p>
        </w:tc>
        <w:tc>
          <w:tcPr>
            <w:tcW w:w="740" w:type="dxa"/>
            <w:vAlign w:val="bottom"/>
            <w:tcBorders>
              <w:right w:val="single" w:sz="8" w:color="auto"/>
            </w:tcBorders>
            <w:gridSpan w:val="2"/>
            <w:vMerge w:val="continue"/>
          </w:tcPr>
          <w:p>
            <w:pPr>
              <w:spacing w:after="0"/>
              <w:rPr>
                <w:sz w:val="9"/>
                <w:szCs w:val="9"/>
                <w:color w:val="auto"/>
              </w:rPr>
            </w:pPr>
          </w:p>
        </w:tc>
        <w:tc>
          <w:tcPr>
            <w:tcW w:w="72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0"/>
                <w:szCs w:val="10"/>
                <w:color w:val="464446"/>
              </w:rPr>
              <w:t>80</w:t>
            </w:r>
            <w:r>
              <w:rPr>
                <w:rFonts w:ascii="Arial" w:cs="Arial" w:eastAsia="Arial" w:hAnsi="Arial"/>
                <w:sz w:val="10"/>
                <w:szCs w:val="10"/>
                <w:color w:val="5D5D60"/>
              </w:rPr>
              <w:t>%</w:t>
            </w:r>
          </w:p>
        </w:tc>
        <w:tc>
          <w:tcPr>
            <w:tcW w:w="220" w:type="dxa"/>
            <w:vAlign w:val="bottom"/>
            <w:vMerge w:val="restart"/>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0"/>
                <w:szCs w:val="10"/>
                <w:color w:val="464446"/>
                <w:w w:val="97"/>
              </w:rPr>
              <w:t>8</w:t>
            </w:r>
            <w:r>
              <w:rPr>
                <w:rFonts w:ascii="Arial" w:cs="Arial" w:eastAsia="Arial" w:hAnsi="Arial"/>
                <w:sz w:val="10"/>
                <w:szCs w:val="10"/>
                <w:color w:val="5D5D60"/>
                <w:w w:val="97"/>
              </w:rPr>
              <w:t>5,</w:t>
            </w:r>
            <w:r>
              <w:rPr>
                <w:rFonts w:ascii="Arial" w:cs="Arial" w:eastAsia="Arial" w:hAnsi="Arial"/>
                <w:sz w:val="10"/>
                <w:szCs w:val="10"/>
                <w:color w:val="464446"/>
                <w:w w:val="97"/>
              </w:rPr>
              <w:t>238</w:t>
            </w:r>
          </w:p>
        </w:tc>
        <w:tc>
          <w:tcPr>
            <w:tcW w:w="200" w:type="dxa"/>
            <w:vAlign w:val="bottom"/>
            <w:vMerge w:val="restart"/>
          </w:tcPr>
          <w:p>
            <w:pPr>
              <w:ind w:left="10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0"/>
                <w:szCs w:val="10"/>
                <w:color w:val="464446"/>
              </w:rPr>
              <w:t>87</w:t>
            </w:r>
            <w:r>
              <w:rPr>
                <w:rFonts w:ascii="Arial" w:cs="Arial" w:eastAsia="Arial" w:hAnsi="Arial"/>
                <w:sz w:val="10"/>
                <w:szCs w:val="10"/>
                <w:color w:val="5D5D60"/>
              </w:rPr>
              <w:t>,</w:t>
            </w:r>
            <w:r>
              <w:rPr>
                <w:rFonts w:ascii="Arial" w:cs="Arial" w:eastAsia="Arial" w:hAnsi="Arial"/>
                <w:sz w:val="10"/>
                <w:szCs w:val="10"/>
                <w:color w:val="464446"/>
              </w:rPr>
              <w:t>795</w:t>
            </w:r>
          </w:p>
        </w:tc>
        <w:tc>
          <w:tcPr>
            <w:tcW w:w="140" w:type="dxa"/>
            <w:vAlign w:val="bottom"/>
            <w:vMerge w:val="continue"/>
          </w:tcPr>
          <w:p>
            <w:pPr>
              <w:spacing w:after="0"/>
              <w:rPr>
                <w:sz w:val="9"/>
                <w:szCs w:val="9"/>
                <w:color w:val="auto"/>
              </w:rPr>
            </w:pPr>
          </w:p>
        </w:tc>
        <w:tc>
          <w:tcPr>
            <w:tcW w:w="540" w:type="dxa"/>
            <w:vAlign w:val="bottom"/>
            <w:tcBorders>
              <w:right w:val="single" w:sz="8" w:color="auto"/>
            </w:tcBorders>
          </w:tcPr>
          <w:p>
            <w:pPr>
              <w:jc w:val="right"/>
              <w:ind w:right="30"/>
              <w:spacing w:after="0" w:line="113" w:lineRule="exact"/>
              <w:rPr>
                <w:sz w:val="20"/>
                <w:szCs w:val="20"/>
                <w:color w:val="auto"/>
              </w:rPr>
            </w:pPr>
            <w:r>
              <w:rPr>
                <w:rFonts w:ascii="Arial" w:cs="Arial" w:eastAsia="Arial" w:hAnsi="Arial"/>
                <w:sz w:val="10"/>
                <w:szCs w:val="10"/>
                <w:color w:val="1F1F23"/>
              </w:rPr>
              <w:t>4</w:t>
            </w:r>
            <w:r>
              <w:rPr>
                <w:rFonts w:ascii="Arial" w:cs="Arial" w:eastAsia="Arial" w:hAnsi="Arial"/>
                <w:sz w:val="10"/>
                <w:szCs w:val="10"/>
                <w:color w:val="464446"/>
              </w:rPr>
              <w:t>2</w:t>
            </w:r>
            <w:r>
              <w:rPr>
                <w:rFonts w:ascii="Arial" w:cs="Arial" w:eastAsia="Arial" w:hAnsi="Arial"/>
                <w:sz w:val="10"/>
                <w:szCs w:val="10"/>
                <w:color w:val="5D5D60"/>
              </w:rPr>
              <w:t>,</w:t>
            </w:r>
            <w:r>
              <w:rPr>
                <w:rFonts w:ascii="Arial" w:cs="Arial" w:eastAsia="Arial" w:hAnsi="Arial"/>
                <w:sz w:val="10"/>
                <w:szCs w:val="10"/>
                <w:color w:val="464446"/>
              </w:rPr>
              <w:t>6</w:t>
            </w:r>
            <w:r>
              <w:rPr>
                <w:rFonts w:ascii="Arial" w:cs="Arial" w:eastAsia="Arial" w:hAnsi="Arial"/>
                <w:sz w:val="10"/>
                <w:szCs w:val="10"/>
                <w:color w:val="1F1F23"/>
              </w:rPr>
              <w:t>1</w:t>
            </w:r>
            <w:r>
              <w:rPr>
                <w:rFonts w:ascii="Arial" w:cs="Arial" w:eastAsia="Arial" w:hAnsi="Arial"/>
                <w:sz w:val="10"/>
                <w:szCs w:val="10"/>
                <w:color w:val="464446"/>
              </w:rPr>
              <w:t>9</w:t>
            </w:r>
          </w:p>
        </w:tc>
        <w:tc>
          <w:tcPr>
            <w:tcW w:w="140" w:type="dxa"/>
            <w:vAlign w:val="bottom"/>
            <w:vMerge w:val="continue"/>
          </w:tcPr>
          <w:p>
            <w:pPr>
              <w:spacing w:after="0"/>
              <w:rPr>
                <w:sz w:val="9"/>
                <w:szCs w:val="9"/>
                <w:color w:val="auto"/>
              </w:rPr>
            </w:pPr>
          </w:p>
        </w:tc>
        <w:tc>
          <w:tcPr>
            <w:tcW w:w="620" w:type="dxa"/>
            <w:vAlign w:val="bottom"/>
            <w:tcBorders>
              <w:right w:val="single" w:sz="8" w:color="auto"/>
            </w:tcBorders>
          </w:tcPr>
          <w:p>
            <w:pPr>
              <w:jc w:val="right"/>
              <w:ind w:right="110"/>
              <w:spacing w:after="0" w:line="113" w:lineRule="exact"/>
              <w:rPr>
                <w:sz w:val="20"/>
                <w:szCs w:val="20"/>
                <w:color w:val="auto"/>
              </w:rPr>
            </w:pPr>
            <w:r>
              <w:rPr>
                <w:rFonts w:ascii="Arial" w:cs="Arial" w:eastAsia="Arial" w:hAnsi="Arial"/>
                <w:sz w:val="10"/>
                <w:szCs w:val="10"/>
                <w:color w:val="313133"/>
              </w:rPr>
              <w:t>42</w:t>
            </w:r>
            <w:r>
              <w:rPr>
                <w:rFonts w:ascii="Arial" w:cs="Arial" w:eastAsia="Arial" w:hAnsi="Arial"/>
                <w:sz w:val="10"/>
                <w:szCs w:val="10"/>
                <w:color w:val="757775"/>
              </w:rPr>
              <w:t>,</w:t>
            </w:r>
            <w:r>
              <w:rPr>
                <w:rFonts w:ascii="Arial" w:cs="Arial" w:eastAsia="Arial" w:hAnsi="Arial"/>
                <w:sz w:val="10"/>
                <w:szCs w:val="10"/>
                <w:color w:val="464446"/>
              </w:rPr>
              <w:t>6</w:t>
            </w:r>
            <w:r>
              <w:rPr>
                <w:rFonts w:ascii="Arial" w:cs="Arial" w:eastAsia="Arial" w:hAnsi="Arial"/>
                <w:sz w:val="10"/>
                <w:szCs w:val="10"/>
                <w:color w:val="1F1F23"/>
              </w:rPr>
              <w:t>1</w:t>
            </w:r>
            <w:r>
              <w:rPr>
                <w:rFonts w:ascii="Arial" w:cs="Arial" w:eastAsia="Arial" w:hAnsi="Arial"/>
                <w:sz w:val="10"/>
                <w:szCs w:val="10"/>
                <w:color w:val="464446"/>
              </w:rPr>
              <w:t>9</w:t>
            </w:r>
          </w:p>
        </w:tc>
        <w:tc>
          <w:tcPr>
            <w:tcW w:w="66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464446"/>
                <w:w w:val="99"/>
              </w:rPr>
              <w:t>c</w:t>
            </w:r>
            <w:r>
              <w:rPr>
                <w:rFonts w:ascii="Arial" w:cs="Arial" w:eastAsia="Arial" w:hAnsi="Arial"/>
                <w:sz w:val="10"/>
                <w:szCs w:val="10"/>
                <w:color w:val="5D5D60"/>
                <w:w w:val="99"/>
              </w:rPr>
              <w:t>u</w:t>
            </w:r>
            <w:r>
              <w:rPr>
                <w:rFonts w:ascii="Arial" w:cs="Arial" w:eastAsia="Arial" w:hAnsi="Arial"/>
                <w:sz w:val="10"/>
                <w:szCs w:val="10"/>
                <w:color w:val="464446"/>
                <w:w w:val="99"/>
              </w:rPr>
              <w:t>tt</w:t>
            </w:r>
            <w:r>
              <w:rPr>
                <w:rFonts w:ascii="Arial" w:cs="Arial" w:eastAsia="Arial" w:hAnsi="Arial"/>
                <w:sz w:val="10"/>
                <w:szCs w:val="10"/>
                <w:color w:val="5D5D60"/>
                <w:w w:val="99"/>
              </w:rPr>
              <w:t>i</w:t>
            </w:r>
            <w:r>
              <w:rPr>
                <w:rFonts w:ascii="Arial" w:cs="Arial" w:eastAsia="Arial" w:hAnsi="Arial"/>
                <w:sz w:val="10"/>
                <w:szCs w:val="10"/>
                <w:color w:val="1F1F23"/>
                <w:w w:val="99"/>
              </w:rPr>
              <w:t>n</w:t>
            </w:r>
            <w:r>
              <w:rPr>
                <w:rFonts w:ascii="Arial" w:cs="Arial" w:eastAsia="Arial" w:hAnsi="Arial"/>
                <w:sz w:val="10"/>
                <w:szCs w:val="10"/>
                <w:color w:val="464446"/>
                <w:w w:val="99"/>
              </w:rPr>
              <w:t>g o</w:t>
            </w:r>
            <w:r>
              <w:rPr>
                <w:rFonts w:ascii="Arial" w:cs="Arial" w:eastAsia="Arial" w:hAnsi="Arial"/>
                <w:sz w:val="10"/>
                <w:szCs w:val="10"/>
                <w:color w:val="5D5D60"/>
                <w:w w:val="99"/>
              </w:rPr>
              <w:t>n</w:t>
            </w:r>
            <w:r>
              <w:rPr>
                <w:rFonts w:ascii="Arial" w:cs="Arial" w:eastAsia="Arial" w:hAnsi="Arial"/>
                <w:sz w:val="10"/>
                <w:szCs w:val="10"/>
                <w:color w:val="464446"/>
                <w:w w:val="99"/>
              </w:rPr>
              <w:t xml:space="preserve"> pe</w:t>
            </w:r>
            <w:r>
              <w:rPr>
                <w:rFonts w:ascii="Arial" w:cs="Arial" w:eastAsia="Arial" w:hAnsi="Arial"/>
                <w:sz w:val="10"/>
                <w:szCs w:val="10"/>
                <w:color w:val="5D5D60"/>
                <w:w w:val="99"/>
              </w:rPr>
              <w:t>ri</w:t>
            </w:r>
            <w:r>
              <w:rPr>
                <w:rFonts w:ascii="Arial" w:cs="Arial" w:eastAsia="Arial" w:hAnsi="Arial"/>
                <w:sz w:val="10"/>
                <w:szCs w:val="10"/>
                <w:color w:val="464446"/>
                <w:w w:val="99"/>
              </w:rPr>
              <w:t>me</w:t>
            </w:r>
            <w:r>
              <w:rPr>
                <w:rFonts w:ascii="Arial" w:cs="Arial" w:eastAsia="Arial" w:hAnsi="Arial"/>
                <w:sz w:val="10"/>
                <w:szCs w:val="10"/>
                <w:color w:val="1F1F23"/>
                <w:w w:val="99"/>
              </w:rPr>
              <w:t>t</w:t>
            </w:r>
            <w:r>
              <w:rPr>
                <w:rFonts w:ascii="Arial" w:cs="Arial" w:eastAsia="Arial" w:hAnsi="Arial"/>
                <w:sz w:val="10"/>
                <w:szCs w:val="10"/>
                <w:color w:val="464446"/>
                <w:w w:val="99"/>
              </w:rPr>
              <w:t>e</w:t>
            </w:r>
            <w:r>
              <w:rPr>
                <w:rFonts w:ascii="Arial" w:cs="Arial" w:eastAsia="Arial" w:hAnsi="Arial"/>
                <w:sz w:val="10"/>
                <w:szCs w:val="10"/>
                <w:color w:val="5D5D60"/>
                <w:w w:val="99"/>
              </w:rPr>
              <w:t>r</w:t>
            </w:r>
            <w:r>
              <w:rPr>
                <w:rFonts w:ascii="Arial" w:cs="Arial" w:eastAsia="Arial" w:hAnsi="Arial"/>
                <w:sz w:val="10"/>
                <w:szCs w:val="10"/>
                <w:color w:val="464446"/>
                <w:w w:val="99"/>
              </w:rPr>
              <w:t xml:space="preserve"> o</w:t>
            </w:r>
            <w:r>
              <w:rPr>
                <w:rFonts w:ascii="Arial" w:cs="Arial" w:eastAsia="Arial" w:hAnsi="Arial"/>
                <w:sz w:val="10"/>
                <w:szCs w:val="10"/>
                <w:color w:val="1F1F23"/>
                <w:w w:val="99"/>
              </w:rPr>
              <w:t>f</w:t>
            </w:r>
            <w:r>
              <w:rPr>
                <w:rFonts w:ascii="Arial" w:cs="Arial" w:eastAsia="Arial" w:hAnsi="Arial"/>
                <w:sz w:val="10"/>
                <w:szCs w:val="10"/>
                <w:color w:val="464446"/>
                <w:w w:val="99"/>
              </w:rPr>
              <w:t xml:space="preserve"> </w:t>
            </w:r>
            <w:r>
              <w:rPr>
                <w:rFonts w:ascii="Arial" w:cs="Arial" w:eastAsia="Arial" w:hAnsi="Arial"/>
                <w:sz w:val="10"/>
                <w:szCs w:val="10"/>
                <w:color w:val="5D5D60"/>
                <w:w w:val="99"/>
              </w:rPr>
              <w:t>t</w:t>
            </w:r>
            <w:r>
              <w:rPr>
                <w:rFonts w:ascii="Arial" w:cs="Arial" w:eastAsia="Arial" w:hAnsi="Arial"/>
                <w:sz w:val="10"/>
                <w:szCs w:val="10"/>
                <w:color w:val="1F1F23"/>
                <w:w w:val="99"/>
              </w:rPr>
              <w:t>h</w:t>
            </w:r>
            <w:r>
              <w:rPr>
                <w:rFonts w:ascii="Arial" w:cs="Arial" w:eastAsia="Arial" w:hAnsi="Arial"/>
                <w:sz w:val="10"/>
                <w:szCs w:val="10"/>
                <w:color w:val="464446"/>
                <w:w w:val="99"/>
              </w:rPr>
              <w:t>e</w:t>
            </w:r>
          </w:p>
        </w:tc>
        <w:tc>
          <w:tcPr>
            <w:tcW w:w="0" w:type="dxa"/>
            <w:vAlign w:val="bottom"/>
          </w:tcPr>
          <w:p>
            <w:pPr>
              <w:spacing w:after="0"/>
              <w:rPr>
                <w:sz w:val="1"/>
                <w:szCs w:val="1"/>
                <w:color w:val="auto"/>
              </w:rPr>
            </w:pPr>
          </w:p>
        </w:tc>
      </w:tr>
      <w:tr>
        <w:trPr>
          <w:trHeight w:val="133"/>
        </w:trPr>
        <w:tc>
          <w:tcPr>
            <w:tcW w:w="14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right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right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464446"/>
              </w:rPr>
              <w:t xml:space="preserve">rest of </w:t>
            </w:r>
            <w:r>
              <w:rPr>
                <w:rFonts w:ascii="Arial" w:cs="Arial" w:eastAsia="Arial" w:hAnsi="Arial"/>
                <w:sz w:val="10"/>
                <w:szCs w:val="10"/>
                <w:color w:val="5D5D60"/>
              </w:rPr>
              <w:t>t</w:t>
            </w:r>
            <w:r>
              <w:rPr>
                <w:rFonts w:ascii="Arial" w:cs="Arial" w:eastAsia="Arial" w:hAnsi="Arial"/>
                <w:sz w:val="10"/>
                <w:szCs w:val="10"/>
                <w:color w:val="1F1F23"/>
              </w:rPr>
              <w:t>h</w:t>
            </w:r>
            <w:r>
              <w:rPr>
                <w:rFonts w:ascii="Arial" w:cs="Arial" w:eastAsia="Arial" w:hAnsi="Arial"/>
                <w:sz w:val="10"/>
                <w:szCs w:val="10"/>
                <w:color w:val="464446"/>
              </w:rPr>
              <w:t>e b</w:t>
            </w:r>
            <w:r>
              <w:rPr>
                <w:rFonts w:ascii="Arial" w:cs="Arial" w:eastAsia="Arial" w:hAnsi="Arial"/>
                <w:sz w:val="10"/>
                <w:szCs w:val="10"/>
                <w:color w:val="5D5D60"/>
              </w:rPr>
              <w:t>ui</w:t>
            </w:r>
            <w:r>
              <w:rPr>
                <w:rFonts w:ascii="Arial" w:cs="Arial" w:eastAsia="Arial" w:hAnsi="Arial"/>
                <w:sz w:val="10"/>
                <w:szCs w:val="10"/>
                <w:color w:val="313133"/>
              </w:rPr>
              <w:t>ld</w:t>
            </w:r>
            <w:r>
              <w:rPr>
                <w:rFonts w:ascii="Arial" w:cs="Arial" w:eastAsia="Arial" w:hAnsi="Arial"/>
                <w:sz w:val="10"/>
                <w:szCs w:val="10"/>
                <w:color w:val="1F1F23"/>
              </w:rPr>
              <w:t>i</w:t>
            </w:r>
            <w:r>
              <w:rPr>
                <w:rFonts w:ascii="Arial" w:cs="Arial" w:eastAsia="Arial" w:hAnsi="Arial"/>
                <w:sz w:val="10"/>
                <w:szCs w:val="10"/>
                <w:color w:val="464446"/>
              </w:rPr>
              <w:t>nQ</w:t>
            </w: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right w:val="single" w:sz="8" w:color="auto"/>
            </w:tcBorders>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Arial" w:cs="Arial" w:eastAsia="Arial" w:hAnsi="Arial"/>
                <w:sz w:val="11"/>
                <w:szCs w:val="11"/>
                <w:color w:val="464446"/>
                <w:w w:val="71"/>
              </w:rPr>
              <w:t>s</w:t>
            </w:r>
          </w:p>
        </w:tc>
        <w:tc>
          <w:tcPr>
            <w:tcW w:w="6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5D5D60"/>
                <w:w w:val="99"/>
              </w:rPr>
              <w:t>Th</w:t>
            </w:r>
            <w:r>
              <w:rPr>
                <w:rFonts w:ascii="Arial" w:cs="Arial" w:eastAsia="Arial" w:hAnsi="Arial"/>
                <w:sz w:val="10"/>
                <w:szCs w:val="10"/>
                <w:color w:val="464446"/>
                <w:w w:val="99"/>
              </w:rPr>
              <w:t>e</w:t>
            </w:r>
            <w:r>
              <w:rPr>
                <w:rFonts w:ascii="Arial" w:cs="Arial" w:eastAsia="Arial" w:hAnsi="Arial"/>
                <w:sz w:val="10"/>
                <w:szCs w:val="10"/>
                <w:color w:val="5D5D60"/>
                <w:w w:val="99"/>
              </w:rPr>
              <w:t>r</w:t>
            </w:r>
            <w:r>
              <w:rPr>
                <w:rFonts w:ascii="Arial" w:cs="Arial" w:eastAsia="Arial" w:hAnsi="Arial"/>
                <w:sz w:val="10"/>
                <w:szCs w:val="10"/>
                <w:color w:val="464446"/>
                <w:w w:val="99"/>
              </w:rPr>
              <w:t>e</w:t>
            </w:r>
            <w:r>
              <w:rPr>
                <w:rFonts w:ascii="Arial" w:cs="Arial" w:eastAsia="Arial" w:hAnsi="Arial"/>
                <w:sz w:val="10"/>
                <w:szCs w:val="10"/>
                <w:color w:val="5D5D60"/>
                <w:w w:val="99"/>
              </w:rPr>
              <w:t xml:space="preserve"> is </w:t>
            </w:r>
            <w:r>
              <w:rPr>
                <w:rFonts w:ascii="Arial" w:cs="Arial" w:eastAsia="Arial" w:hAnsi="Arial"/>
                <w:sz w:val="10"/>
                <w:szCs w:val="10"/>
                <w:color w:val="464446"/>
                <w:w w:val="99"/>
              </w:rPr>
              <w:t>one g</w:t>
            </w:r>
            <w:r>
              <w:rPr>
                <w:rFonts w:ascii="Arial" w:cs="Arial" w:eastAsia="Arial" w:hAnsi="Arial"/>
                <w:sz w:val="10"/>
                <w:szCs w:val="10"/>
                <w:color w:val="1F1F23"/>
                <w:w w:val="99"/>
              </w:rPr>
              <w:t>u</w:t>
            </w:r>
            <w:r>
              <w:rPr>
                <w:rFonts w:ascii="Arial" w:cs="Arial" w:eastAsia="Arial" w:hAnsi="Arial"/>
                <w:sz w:val="10"/>
                <w:szCs w:val="10"/>
                <w:color w:val="464446"/>
                <w:w w:val="99"/>
              </w:rPr>
              <w:t>ard a</w:t>
            </w:r>
            <w:r>
              <w:rPr>
                <w:rFonts w:ascii="Arial" w:cs="Arial" w:eastAsia="Arial" w:hAnsi="Arial"/>
                <w:sz w:val="10"/>
                <w:szCs w:val="10"/>
                <w:color w:val="1F1F23"/>
                <w:w w:val="99"/>
              </w:rPr>
              <w:t>t t</w:t>
            </w:r>
            <w:r>
              <w:rPr>
                <w:rFonts w:ascii="Arial" w:cs="Arial" w:eastAsia="Arial" w:hAnsi="Arial"/>
                <w:sz w:val="10"/>
                <w:szCs w:val="10"/>
                <w:color w:val="5D5D60"/>
                <w:w w:val="99"/>
              </w:rPr>
              <w:t>h</w:t>
            </w:r>
            <w:r>
              <w:rPr>
                <w:rFonts w:ascii="Arial" w:cs="Arial" w:eastAsia="Arial" w:hAnsi="Arial"/>
                <w:sz w:val="10"/>
                <w:szCs w:val="10"/>
                <w:color w:val="464446"/>
                <w:w w:val="99"/>
              </w:rPr>
              <w:t>e</w:t>
            </w:r>
            <w:r>
              <w:rPr>
                <w:rFonts w:ascii="Arial" w:cs="Arial" w:eastAsia="Arial" w:hAnsi="Arial"/>
                <w:sz w:val="10"/>
                <w:szCs w:val="10"/>
                <w:color w:val="5D5D60"/>
                <w:w w:val="99"/>
              </w:rPr>
              <w:t xml:space="preserve"> </w:t>
            </w:r>
            <w:r>
              <w:rPr>
                <w:rFonts w:ascii="Arial" w:cs="Arial" w:eastAsia="Arial" w:hAnsi="Arial"/>
                <w:sz w:val="10"/>
                <w:szCs w:val="10"/>
                <w:color w:val="313133"/>
                <w:w w:val="99"/>
              </w:rPr>
              <w:t>back</w:t>
            </w:r>
            <w:r>
              <w:rPr>
                <w:rFonts w:ascii="Arial" w:cs="Arial" w:eastAsia="Arial" w:hAnsi="Arial"/>
                <w:sz w:val="10"/>
                <w:szCs w:val="10"/>
                <w:color w:val="5D5D60"/>
                <w:w w:val="99"/>
              </w:rPr>
              <w:t xml:space="preserve"> </w:t>
            </w:r>
            <w:r>
              <w:rPr>
                <w:rFonts w:ascii="Arial" w:cs="Arial" w:eastAsia="Arial" w:hAnsi="Arial"/>
                <w:sz w:val="10"/>
                <w:szCs w:val="10"/>
                <w:color w:val="464446"/>
                <w:w w:val="99"/>
              </w:rPr>
              <w:t>of</w:t>
            </w:r>
            <w:r>
              <w:rPr>
                <w:rFonts w:ascii="Arial" w:cs="Arial" w:eastAsia="Arial" w:hAnsi="Arial"/>
                <w:sz w:val="10"/>
                <w:szCs w:val="10"/>
                <w:color w:val="5D5D60"/>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 property ma</w:t>
            </w:r>
            <w:r>
              <w:rPr>
                <w:rFonts w:ascii="Arial" w:cs="Arial" w:eastAsia="Arial" w:hAnsi="Arial"/>
                <w:sz w:val="10"/>
                <w:szCs w:val="10"/>
                <w:color w:val="5D5D60"/>
                <w:w w:val="99"/>
              </w:rPr>
              <w:t>n</w:t>
            </w:r>
            <w:r>
              <w:rPr>
                <w:rFonts w:ascii="Arial" w:cs="Arial" w:eastAsia="Arial" w:hAnsi="Arial"/>
                <w:sz w:val="10"/>
                <w:szCs w:val="10"/>
                <w:color w:val="464446"/>
                <w:w w:val="99"/>
              </w:rPr>
              <w:t>ag</w:t>
            </w:r>
            <w:r>
              <w:rPr>
                <w:rFonts w:ascii="Arial" w:cs="Arial" w:eastAsia="Arial" w:hAnsi="Arial"/>
                <w:sz w:val="10"/>
                <w:szCs w:val="10"/>
                <w:color w:val="5D5D60"/>
                <w:w w:val="99"/>
              </w:rPr>
              <w:t>in</w:t>
            </w:r>
            <w:r>
              <w:rPr>
                <w:rFonts w:ascii="Arial" w:cs="Arial" w:eastAsia="Arial" w:hAnsi="Arial"/>
                <w:sz w:val="10"/>
                <w:szCs w:val="10"/>
                <w:color w:val="464446"/>
                <w:w w:val="99"/>
              </w:rPr>
              <w:t>g</w:t>
            </w:r>
            <w:r>
              <w:rPr>
                <w:rFonts w:ascii="Arial" w:cs="Arial" w:eastAsia="Arial" w:hAnsi="Arial"/>
                <w:sz w:val="10"/>
                <w:szCs w:val="10"/>
                <w:color w:val="5D5D60"/>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ruc</w:t>
            </w:r>
            <w:r>
              <w:rPr>
                <w:rFonts w:ascii="Arial" w:cs="Arial" w:eastAsia="Arial" w:hAnsi="Arial"/>
                <w:sz w:val="10"/>
                <w:szCs w:val="10"/>
                <w:color w:val="464446"/>
                <w:w w:val="99"/>
              </w:rPr>
              <w:t>ks e</w:t>
            </w:r>
            <w:r>
              <w:rPr>
                <w:rFonts w:ascii="Arial" w:cs="Arial" w:eastAsia="Arial" w:hAnsi="Arial"/>
                <w:sz w:val="10"/>
                <w:szCs w:val="10"/>
                <w:color w:val="5D5D60"/>
                <w:w w:val="99"/>
              </w:rPr>
              <w:t>nt</w:t>
            </w:r>
            <w:r>
              <w:rPr>
                <w:rFonts w:ascii="Arial" w:cs="Arial" w:eastAsia="Arial" w:hAnsi="Arial"/>
                <w:sz w:val="10"/>
                <w:szCs w:val="10"/>
                <w:color w:val="464446"/>
                <w:w w:val="99"/>
              </w:rPr>
              <w:t>er</w:t>
            </w:r>
            <w:r>
              <w:rPr>
                <w:rFonts w:ascii="Arial" w:cs="Arial" w:eastAsia="Arial" w:hAnsi="Arial"/>
                <w:sz w:val="10"/>
                <w:szCs w:val="10"/>
                <w:color w:val="1F1F23"/>
                <w:w w:val="99"/>
              </w:rPr>
              <w:t>i</w:t>
            </w:r>
            <w:r>
              <w:rPr>
                <w:rFonts w:ascii="Arial" w:cs="Arial" w:eastAsia="Arial" w:hAnsi="Arial"/>
                <w:sz w:val="10"/>
                <w:szCs w:val="10"/>
                <w:color w:val="464446"/>
                <w:w w:val="99"/>
              </w:rPr>
              <w:t>ng</w:t>
            </w:r>
            <w:r>
              <w:rPr>
                <w:rFonts w:ascii="Arial" w:cs="Arial" w:eastAsia="Arial" w:hAnsi="Arial"/>
                <w:sz w:val="10"/>
                <w:szCs w:val="10"/>
                <w:color w:val="5D5D60"/>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 site</w:t>
            </w:r>
            <w:r>
              <w:rPr>
                <w:rFonts w:ascii="Arial" w:cs="Arial" w:eastAsia="Arial" w:hAnsi="Arial"/>
                <w:sz w:val="10"/>
                <w:szCs w:val="10"/>
                <w:color w:val="757775"/>
                <w:w w:val="99"/>
              </w:rPr>
              <w:t>.</w:t>
            </w:r>
            <w:r>
              <w:rPr>
                <w:rFonts w:ascii="Arial" w:cs="Arial" w:eastAsia="Arial" w:hAnsi="Arial"/>
                <w:sz w:val="10"/>
                <w:szCs w:val="10"/>
                <w:color w:val="5D5D60"/>
                <w:w w:val="99"/>
              </w:rPr>
              <w:t xml:space="preserve"> </w:t>
            </w:r>
            <w:r>
              <w:rPr>
                <w:rFonts w:ascii="Arial" w:cs="Arial" w:eastAsia="Arial" w:hAnsi="Arial"/>
                <w:sz w:val="10"/>
                <w:szCs w:val="10"/>
                <w:color w:val="4B5066"/>
                <w:w w:val="99"/>
              </w:rPr>
              <w:t>T</w:t>
            </w:r>
            <w:r>
              <w:rPr>
                <w:rFonts w:ascii="Arial" w:cs="Arial" w:eastAsia="Arial" w:hAnsi="Arial"/>
                <w:sz w:val="10"/>
                <w:szCs w:val="10"/>
                <w:color w:val="1F1F23"/>
                <w:w w:val="99"/>
              </w:rPr>
              <w:t>h</w:t>
            </w:r>
            <w:r>
              <w:rPr>
                <w:rFonts w:ascii="Arial" w:cs="Arial" w:eastAsia="Arial" w:hAnsi="Arial"/>
                <w:sz w:val="10"/>
                <w:szCs w:val="10"/>
                <w:color w:val="464446"/>
                <w:w w:val="99"/>
              </w:rPr>
              <w:t>e</w:t>
            </w: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color w:val="313133"/>
              </w:rPr>
              <w:t>S</w:t>
            </w:r>
            <w:r>
              <w:rPr>
                <w:rFonts w:ascii="Arial" w:cs="Arial" w:eastAsia="Arial" w:hAnsi="Arial"/>
                <w:sz w:val="10"/>
                <w:szCs w:val="10"/>
                <w:color w:val="5D5D60"/>
              </w:rPr>
              <w:t>e</w:t>
            </w:r>
            <w:r>
              <w:rPr>
                <w:rFonts w:ascii="Arial" w:cs="Arial" w:eastAsia="Arial" w:hAnsi="Arial"/>
                <w:sz w:val="10"/>
                <w:szCs w:val="10"/>
                <w:color w:val="464446"/>
              </w:rPr>
              <w:t>cu</w:t>
            </w:r>
            <w:r>
              <w:rPr>
                <w:rFonts w:ascii="Arial" w:cs="Arial" w:eastAsia="Arial" w:hAnsi="Arial"/>
                <w:sz w:val="10"/>
                <w:szCs w:val="10"/>
                <w:color w:val="1F1F23"/>
              </w:rPr>
              <w:t>ri</w:t>
            </w:r>
            <w:r>
              <w:rPr>
                <w:rFonts w:ascii="Arial" w:cs="Arial" w:eastAsia="Arial" w:hAnsi="Arial"/>
                <w:sz w:val="10"/>
                <w:szCs w:val="10"/>
                <w:color w:val="464446"/>
              </w:rPr>
              <w:t>ty</w:t>
            </w:r>
          </w:p>
        </w:tc>
        <w:tc>
          <w:tcPr>
            <w:tcW w:w="120" w:type="dxa"/>
            <w:vAlign w:val="bottom"/>
            <w:vMerge w:val="continue"/>
          </w:tcPr>
          <w:p>
            <w:pPr>
              <w:spacing w:after="0"/>
              <w:rPr>
                <w:sz w:val="8"/>
                <w:szCs w:val="8"/>
                <w:color w:val="auto"/>
              </w:rPr>
            </w:pPr>
          </w:p>
        </w:tc>
        <w:tc>
          <w:tcPr>
            <w:tcW w:w="620" w:type="dxa"/>
            <w:vAlign w:val="bottom"/>
            <w:tcBorders>
              <w:right w:val="single" w:sz="8" w:color="auto"/>
            </w:tcBorders>
          </w:tcPr>
          <w:p>
            <w:pPr>
              <w:jc w:val="right"/>
              <w:ind w:right="30"/>
              <w:spacing w:after="0" w:line="103" w:lineRule="exact"/>
              <w:rPr>
                <w:sz w:val="20"/>
                <w:szCs w:val="20"/>
                <w:color w:val="auto"/>
              </w:rPr>
            </w:pPr>
            <w:r>
              <w:rPr>
                <w:rFonts w:ascii="Arial" w:cs="Arial" w:eastAsia="Arial" w:hAnsi="Arial"/>
                <w:sz w:val="10"/>
                <w:szCs w:val="10"/>
                <w:color w:val="464446"/>
              </w:rPr>
              <w:t>3</w:t>
            </w:r>
            <w:r>
              <w:rPr>
                <w:rFonts w:ascii="Arial" w:cs="Arial" w:eastAsia="Arial" w:hAnsi="Arial"/>
                <w:sz w:val="10"/>
                <w:szCs w:val="10"/>
                <w:color w:val="1F1F23"/>
              </w:rPr>
              <w:t>1</w:t>
            </w:r>
            <w:r>
              <w:rPr>
                <w:rFonts w:ascii="Arial" w:cs="Arial" w:eastAsia="Arial" w:hAnsi="Arial"/>
                <w:sz w:val="10"/>
                <w:szCs w:val="10"/>
                <w:color w:val="464446"/>
              </w:rPr>
              <w:t>3,486</w:t>
            </w:r>
          </w:p>
        </w:tc>
        <w:tc>
          <w:tcPr>
            <w:tcW w:w="72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0"/>
                <w:szCs w:val="10"/>
                <w:color w:val="464446"/>
              </w:rPr>
              <w:t>60</w:t>
            </w:r>
            <w:r>
              <w:rPr>
                <w:rFonts w:ascii="Arial" w:cs="Arial" w:eastAsia="Arial" w:hAnsi="Arial"/>
                <w:sz w:val="10"/>
                <w:szCs w:val="10"/>
                <w:color w:val="5D5D60"/>
              </w:rPr>
              <w:t>%</w:t>
            </w:r>
          </w:p>
        </w:tc>
        <w:tc>
          <w:tcPr>
            <w:tcW w:w="220" w:type="dxa"/>
            <w:vAlign w:val="bottom"/>
            <w:vMerge w:val="restart"/>
          </w:tcPr>
          <w:p>
            <w:pPr>
              <w:ind w:left="10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0"/>
                <w:szCs w:val="10"/>
                <w:color w:val="1F1F23"/>
                <w:w w:val="99"/>
              </w:rPr>
              <w:t>1</w:t>
            </w:r>
            <w:r>
              <w:rPr>
                <w:rFonts w:ascii="Arial" w:cs="Arial" w:eastAsia="Arial" w:hAnsi="Arial"/>
                <w:sz w:val="10"/>
                <w:szCs w:val="10"/>
                <w:color w:val="464446"/>
                <w:w w:val="99"/>
              </w:rPr>
              <w:t>88</w:t>
            </w:r>
            <w:r>
              <w:rPr>
                <w:rFonts w:ascii="Arial" w:cs="Arial" w:eastAsia="Arial" w:hAnsi="Arial"/>
                <w:sz w:val="10"/>
                <w:szCs w:val="10"/>
                <w:color w:val="5D5D60"/>
                <w:w w:val="99"/>
              </w:rPr>
              <w:t>,</w:t>
            </w:r>
            <w:r>
              <w:rPr>
                <w:rFonts w:ascii="Arial" w:cs="Arial" w:eastAsia="Arial" w:hAnsi="Arial"/>
                <w:sz w:val="10"/>
                <w:szCs w:val="10"/>
                <w:color w:val="464446"/>
                <w:w w:val="99"/>
              </w:rPr>
              <w:t>09</w:t>
            </w:r>
            <w:r>
              <w:rPr>
                <w:rFonts w:ascii="Arial" w:cs="Arial" w:eastAsia="Arial" w:hAnsi="Arial"/>
                <w:sz w:val="10"/>
                <w:szCs w:val="10"/>
                <w:color w:val="5D5D60"/>
                <w:w w:val="99"/>
              </w:rPr>
              <w:t>1</w:t>
            </w:r>
          </w:p>
        </w:tc>
        <w:tc>
          <w:tcPr>
            <w:tcW w:w="200" w:type="dxa"/>
            <w:vAlign w:val="bottom"/>
            <w:vMerge w:val="restart"/>
          </w:tcPr>
          <w:p>
            <w:pPr>
              <w:ind w:left="8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0"/>
                <w:szCs w:val="10"/>
                <w:color w:val="1F1F23"/>
                <w:w w:val="99"/>
              </w:rPr>
              <w:t>1</w:t>
            </w:r>
            <w:r>
              <w:rPr>
                <w:rFonts w:ascii="Arial" w:cs="Arial" w:eastAsia="Arial" w:hAnsi="Arial"/>
                <w:sz w:val="10"/>
                <w:szCs w:val="10"/>
                <w:color w:val="464446"/>
                <w:w w:val="99"/>
              </w:rPr>
              <w:t>93,73</w:t>
            </w:r>
            <w:r>
              <w:rPr>
                <w:rFonts w:ascii="Arial" w:cs="Arial" w:eastAsia="Arial" w:hAnsi="Arial"/>
                <w:sz w:val="10"/>
                <w:szCs w:val="10"/>
                <w:color w:val="5D5D60"/>
                <w:w w:val="99"/>
              </w:rPr>
              <w:t>4</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464446"/>
              </w:rPr>
              <w:t>$</w:t>
            </w: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0"/>
                <w:szCs w:val="10"/>
                <w:color w:val="464446"/>
              </w:rPr>
              <w:t>94</w:t>
            </w:r>
            <w:r>
              <w:rPr>
                <w:rFonts w:ascii="Arial" w:cs="Arial" w:eastAsia="Arial" w:hAnsi="Arial"/>
                <w:sz w:val="10"/>
                <w:szCs w:val="10"/>
                <w:color w:val="757775"/>
              </w:rPr>
              <w:t>,</w:t>
            </w:r>
            <w:r>
              <w:rPr>
                <w:rFonts w:ascii="Arial" w:cs="Arial" w:eastAsia="Arial" w:hAnsi="Arial"/>
                <w:sz w:val="10"/>
                <w:szCs w:val="10"/>
                <w:color w:val="464446"/>
              </w:rPr>
              <w:t>046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464446"/>
                <w:w w:val="71"/>
              </w:rPr>
              <w:t>$</w:t>
            </w:r>
          </w:p>
        </w:tc>
        <w:tc>
          <w:tcPr>
            <w:tcW w:w="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0"/>
                <w:szCs w:val="10"/>
                <w:color w:val="464446"/>
              </w:rPr>
              <w:t>94</w:t>
            </w:r>
            <w:r>
              <w:rPr>
                <w:rFonts w:ascii="Arial" w:cs="Arial" w:eastAsia="Arial" w:hAnsi="Arial"/>
                <w:sz w:val="10"/>
                <w:szCs w:val="10"/>
                <w:color w:val="757775"/>
              </w:rPr>
              <w:t>,</w:t>
            </w:r>
            <w:r>
              <w:rPr>
                <w:rFonts w:ascii="Arial" w:cs="Arial" w:eastAsia="Arial" w:hAnsi="Arial"/>
                <w:sz w:val="10"/>
                <w:szCs w:val="10"/>
                <w:color w:val="464446"/>
              </w:rPr>
              <w:t>046</w:t>
            </w:r>
          </w:p>
        </w:tc>
        <w:tc>
          <w:tcPr>
            <w:tcW w:w="66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464446"/>
                <w:w w:val="99"/>
              </w:rPr>
              <w:t>res</w:t>
            </w:r>
            <w:r>
              <w:rPr>
                <w:rFonts w:ascii="Arial" w:cs="Arial" w:eastAsia="Arial" w:hAnsi="Arial"/>
                <w:sz w:val="10"/>
                <w:szCs w:val="10"/>
                <w:color w:val="1F1F23"/>
                <w:w w:val="99"/>
              </w:rPr>
              <w:t>t</w:t>
            </w:r>
            <w:r>
              <w:rPr>
                <w:rFonts w:ascii="Arial" w:cs="Arial" w:eastAsia="Arial" w:hAnsi="Arial"/>
                <w:sz w:val="10"/>
                <w:szCs w:val="10"/>
                <w:color w:val="464446"/>
                <w:w w:val="99"/>
              </w:rPr>
              <w:t xml:space="preserve"> of </w:t>
            </w:r>
            <w:r>
              <w:rPr>
                <w:rFonts w:ascii="Arial" w:cs="Arial" w:eastAsia="Arial" w:hAnsi="Arial"/>
                <w:sz w:val="10"/>
                <w:szCs w:val="10"/>
                <w:color w:val="1F1F2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 pe</w:t>
            </w:r>
            <w:r>
              <w:rPr>
                <w:rFonts w:ascii="Arial" w:cs="Arial" w:eastAsia="Arial" w:hAnsi="Arial"/>
                <w:sz w:val="10"/>
                <w:szCs w:val="10"/>
                <w:color w:val="1F1F23"/>
                <w:w w:val="99"/>
              </w:rPr>
              <w:t>r</w:t>
            </w:r>
            <w:r>
              <w:rPr>
                <w:rFonts w:ascii="Arial" w:cs="Arial" w:eastAsia="Arial" w:hAnsi="Arial"/>
                <w:sz w:val="10"/>
                <w:szCs w:val="10"/>
                <w:color w:val="464446"/>
                <w:w w:val="99"/>
              </w:rPr>
              <w:t>so</w:t>
            </w:r>
            <w:r>
              <w:rPr>
                <w:rFonts w:ascii="Arial" w:cs="Arial" w:eastAsia="Arial" w:hAnsi="Arial"/>
                <w:sz w:val="10"/>
                <w:szCs w:val="10"/>
                <w:color w:val="1F1F23"/>
                <w:w w:val="99"/>
              </w:rPr>
              <w:t>nn</w:t>
            </w:r>
            <w:r>
              <w:rPr>
                <w:rFonts w:ascii="Arial" w:cs="Arial" w:eastAsia="Arial" w:hAnsi="Arial"/>
                <w:sz w:val="10"/>
                <w:szCs w:val="10"/>
                <w:color w:val="464446"/>
                <w:w w:val="99"/>
              </w:rPr>
              <w:t>e</w:t>
            </w:r>
            <w:r>
              <w:rPr>
                <w:rFonts w:ascii="Arial" w:cs="Arial" w:eastAsia="Arial" w:hAnsi="Arial"/>
                <w:sz w:val="10"/>
                <w:szCs w:val="10"/>
                <w:color w:val="1F1F23"/>
                <w:w w:val="99"/>
              </w:rPr>
              <w:t>l</w:t>
            </w:r>
            <w:r>
              <w:rPr>
                <w:rFonts w:ascii="Arial" w:cs="Arial" w:eastAsia="Arial" w:hAnsi="Arial"/>
                <w:sz w:val="10"/>
                <w:szCs w:val="10"/>
                <w:color w:val="464446"/>
                <w:w w:val="99"/>
              </w:rPr>
              <w:t xml:space="preserve"> s</w:t>
            </w:r>
            <w:r>
              <w:rPr>
                <w:rFonts w:ascii="Arial" w:cs="Arial" w:eastAsia="Arial" w:hAnsi="Arial"/>
                <w:sz w:val="10"/>
                <w:szCs w:val="10"/>
                <w:color w:val="5D5D60"/>
                <w:w w:val="99"/>
              </w:rPr>
              <w:t>it i</w:t>
            </w:r>
            <w:r>
              <w:rPr>
                <w:rFonts w:ascii="Arial" w:cs="Arial" w:eastAsia="Arial" w:hAnsi="Arial"/>
                <w:sz w:val="10"/>
                <w:szCs w:val="10"/>
                <w:color w:val="1F1F23"/>
                <w:w w:val="99"/>
              </w:rPr>
              <w:t>n</w:t>
            </w:r>
            <w:r>
              <w:rPr>
                <w:rFonts w:ascii="Arial" w:cs="Arial" w:eastAsia="Arial" w:hAnsi="Arial"/>
                <w:sz w:val="10"/>
                <w:szCs w:val="10"/>
                <w:color w:val="464446"/>
                <w:w w:val="99"/>
              </w:rPr>
              <w:t xml:space="preserve"> </w:t>
            </w:r>
            <w:r>
              <w:rPr>
                <w:rFonts w:ascii="Arial" w:cs="Arial" w:eastAsia="Arial" w:hAnsi="Arial"/>
                <w:sz w:val="10"/>
                <w:szCs w:val="10"/>
                <w:color w:val="5D5D60"/>
                <w:w w:val="99"/>
              </w:rPr>
              <w:t>th</w:t>
            </w:r>
            <w:r>
              <w:rPr>
                <w:rFonts w:ascii="Arial" w:cs="Arial" w:eastAsia="Arial" w:hAnsi="Arial"/>
                <w:sz w:val="10"/>
                <w:szCs w:val="10"/>
                <w:color w:val="464446"/>
                <w:w w:val="99"/>
              </w:rPr>
              <w:t>e</w:t>
            </w:r>
          </w:p>
        </w:tc>
        <w:tc>
          <w:tcPr>
            <w:tcW w:w="0" w:type="dxa"/>
            <w:vAlign w:val="bottom"/>
          </w:tcPr>
          <w:p>
            <w:pPr>
              <w:spacing w:after="0"/>
              <w:rPr>
                <w:sz w:val="1"/>
                <w:szCs w:val="1"/>
                <w:color w:val="auto"/>
              </w:rPr>
            </w:pPr>
          </w:p>
        </w:tc>
      </w:tr>
      <w:tr>
        <w:trPr>
          <w:trHeight w:val="130"/>
        </w:trPr>
        <w:tc>
          <w:tcPr>
            <w:tcW w:w="14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right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right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right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right w:val="single" w:sz="8" w:color="auto"/>
            </w:tcBorders>
            <w:vMerge w:val="continue"/>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464446"/>
                <w:w w:val="99"/>
              </w:rPr>
              <w:t>otfice a</w:t>
            </w:r>
            <w:r>
              <w:rPr>
                <w:rFonts w:ascii="Arial" w:cs="Arial" w:eastAsia="Arial" w:hAnsi="Arial"/>
                <w:sz w:val="10"/>
                <w:szCs w:val="10"/>
                <w:color w:val="1F1F23"/>
                <w:w w:val="99"/>
              </w:rPr>
              <w:t>nd</w:t>
            </w:r>
            <w:r>
              <w:rPr>
                <w:rFonts w:ascii="Arial" w:cs="Arial" w:eastAsia="Arial" w:hAnsi="Arial"/>
                <w:sz w:val="10"/>
                <w:szCs w:val="10"/>
                <w:color w:val="464446"/>
                <w:w w:val="99"/>
              </w:rPr>
              <w:t xml:space="preserve"> oat</w:t>
            </w:r>
            <w:r>
              <w:rPr>
                <w:rFonts w:ascii="Arial" w:cs="Arial" w:eastAsia="Arial" w:hAnsi="Arial"/>
                <w:sz w:val="10"/>
                <w:szCs w:val="10"/>
                <w:color w:val="1F1F23"/>
                <w:w w:val="99"/>
              </w:rPr>
              <w:t>r</w:t>
            </w:r>
            <w:r>
              <w:rPr>
                <w:rFonts w:ascii="Arial" w:cs="Arial" w:eastAsia="Arial" w:hAnsi="Arial"/>
                <w:sz w:val="10"/>
                <w:szCs w:val="10"/>
                <w:color w:val="464446"/>
                <w:w w:val="99"/>
              </w:rPr>
              <w:t>o</w:t>
            </w:r>
            <w:r>
              <w:rPr>
                <w:rFonts w:ascii="Arial" w:cs="Arial" w:eastAsia="Arial" w:hAnsi="Arial"/>
                <w:sz w:val="10"/>
                <w:szCs w:val="10"/>
                <w:color w:val="5D5D60"/>
                <w:w w:val="99"/>
              </w:rPr>
              <w:t>l t</w:t>
            </w:r>
            <w:r>
              <w:rPr>
                <w:rFonts w:ascii="Arial" w:cs="Arial" w:eastAsia="Arial" w:hAnsi="Arial"/>
                <w:sz w:val="10"/>
                <w:szCs w:val="10"/>
                <w:color w:val="1F1F23"/>
                <w:w w:val="99"/>
              </w:rPr>
              <w:t>h</w:t>
            </w:r>
            <w:r>
              <w:rPr>
                <w:rFonts w:ascii="Arial" w:cs="Arial" w:eastAsia="Arial" w:hAnsi="Arial"/>
                <w:sz w:val="10"/>
                <w:szCs w:val="10"/>
                <w:color w:val="464446"/>
                <w:w w:val="99"/>
              </w:rPr>
              <w:t>e office</w:t>
            </w:r>
            <w:r>
              <w:rPr>
                <w:rFonts w:ascii="Arial" w:cs="Arial" w:eastAsia="Arial" w:hAnsi="Arial"/>
                <w:sz w:val="10"/>
                <w:szCs w:val="10"/>
                <w:color w:val="5D5D60"/>
                <w:w w:val="99"/>
              </w:rPr>
              <w:t>/</w:t>
            </w:r>
            <w:r>
              <w:rPr>
                <w:rFonts w:ascii="Arial" w:cs="Arial" w:eastAsia="Arial" w:hAnsi="Arial"/>
                <w:sz w:val="10"/>
                <w:szCs w:val="10"/>
                <w:color w:val="464446"/>
                <w:w w:val="99"/>
              </w:rPr>
              <w:t>manaoe v</w:t>
            </w:r>
            <w:r>
              <w:rPr>
                <w:rFonts w:ascii="Arial" w:cs="Arial" w:eastAsia="Arial" w:hAnsi="Arial"/>
                <w:sz w:val="10"/>
                <w:szCs w:val="10"/>
                <w:color w:val="5D5D60"/>
                <w:w w:val="99"/>
              </w:rPr>
              <w:t>isit</w:t>
            </w:r>
            <w:r>
              <w:rPr>
                <w:rFonts w:ascii="Arial" w:cs="Arial" w:eastAsia="Arial" w:hAnsi="Arial"/>
                <w:sz w:val="10"/>
                <w:szCs w:val="10"/>
                <w:color w:val="464446"/>
                <w:w w:val="99"/>
              </w:rPr>
              <w:t>ors</w:t>
            </w:r>
            <w:r>
              <w:rPr>
                <w:rFonts w:ascii="Arial" w:cs="Arial" w:eastAsia="Arial" w:hAnsi="Arial"/>
                <w:sz w:val="10"/>
                <w:szCs w:val="10"/>
                <w:color w:val="4B5066"/>
                <w:w w:val="99"/>
              </w:rPr>
              <w:t>.</w:t>
            </w:r>
            <w:r>
              <w:rPr>
                <w:rFonts w:ascii="Arial" w:cs="Arial" w:eastAsia="Arial" w:hAnsi="Arial"/>
                <w:sz w:val="10"/>
                <w:szCs w:val="10"/>
                <w:color w:val="464446"/>
                <w:w w:val="99"/>
              </w:rPr>
              <w:t xml:space="preserve"> 2417 sec</w:t>
            </w:r>
            <w:r>
              <w:rPr>
                <w:rFonts w:ascii="Arial" w:cs="Arial" w:eastAsia="Arial" w:hAnsi="Arial"/>
                <w:sz w:val="10"/>
                <w:szCs w:val="10"/>
                <w:color w:val="5D5D60"/>
                <w:w w:val="99"/>
              </w:rPr>
              <w:t>ur</w:t>
            </w:r>
            <w:r>
              <w:rPr>
                <w:rFonts w:ascii="Arial" w:cs="Arial" w:eastAsia="Arial" w:hAnsi="Arial"/>
                <w:sz w:val="10"/>
                <w:szCs w:val="10"/>
                <w:color w:val="1F1F23"/>
                <w:w w:val="99"/>
              </w:rPr>
              <w:t>l</w:t>
            </w:r>
            <w:r>
              <w:rPr>
                <w:rFonts w:ascii="Arial" w:cs="Arial" w:eastAsia="Arial" w:hAnsi="Arial"/>
                <w:sz w:val="10"/>
                <w:szCs w:val="10"/>
                <w:color w:val="464446"/>
                <w:w w:val="99"/>
              </w:rPr>
              <w:t>tv</w:t>
            </w:r>
          </w:p>
        </w:tc>
        <w:tc>
          <w:tcPr>
            <w:tcW w:w="0" w:type="dxa"/>
            <w:vAlign w:val="bottom"/>
          </w:tcPr>
          <w:p>
            <w:pPr>
              <w:spacing w:after="0"/>
              <w:rPr>
                <w:sz w:val="1"/>
                <w:szCs w:val="1"/>
                <w:color w:val="auto"/>
              </w:rPr>
            </w:pPr>
          </w:p>
        </w:tc>
      </w:tr>
      <w:tr>
        <w:trPr>
          <w:trHeight w:val="125"/>
        </w:trPr>
        <w:tc>
          <w:tcPr>
            <w:tcW w:w="1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464446"/>
              </w:rPr>
              <w:t>HVAC</w:t>
            </w:r>
          </w:p>
        </w:tc>
        <w:tc>
          <w:tcPr>
            <w:tcW w:w="120" w:type="dxa"/>
            <w:vAlign w:val="bottom"/>
          </w:tcPr>
          <w:p>
            <w:pPr>
              <w:ind w:left="60"/>
              <w:spacing w:after="0"/>
              <w:rPr>
                <w:sz w:val="20"/>
                <w:szCs w:val="20"/>
                <w:color w:val="auto"/>
              </w:rPr>
            </w:pPr>
            <w:r>
              <w:rPr>
                <w:rFonts w:ascii="Arial" w:cs="Arial" w:eastAsia="Arial" w:hAnsi="Arial"/>
                <w:sz w:val="10"/>
                <w:szCs w:val="10"/>
                <w:color w:val="464446"/>
                <w:w w:val="71"/>
              </w:rPr>
              <w:t>$</w:t>
            </w:r>
          </w:p>
        </w:tc>
        <w:tc>
          <w:tcPr>
            <w:tcW w:w="6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1F1F23"/>
              </w:rPr>
              <w:t>1</w:t>
            </w:r>
            <w:r>
              <w:rPr>
                <w:rFonts w:ascii="Arial" w:cs="Arial" w:eastAsia="Arial" w:hAnsi="Arial"/>
                <w:sz w:val="10"/>
                <w:szCs w:val="10"/>
                <w:color w:val="464446"/>
              </w:rPr>
              <w:t>80</w:t>
            </w:r>
            <w:r>
              <w:rPr>
                <w:rFonts w:ascii="Arial" w:cs="Arial" w:eastAsia="Arial" w:hAnsi="Arial"/>
                <w:sz w:val="10"/>
                <w:szCs w:val="10"/>
                <w:color w:val="5D5D60"/>
              </w:rPr>
              <w:t>,</w:t>
            </w:r>
            <w:r>
              <w:rPr>
                <w:rFonts w:ascii="Arial" w:cs="Arial" w:eastAsia="Arial" w:hAnsi="Arial"/>
                <w:sz w:val="10"/>
                <w:szCs w:val="10"/>
                <w:color w:val="464446"/>
              </w:rPr>
              <w:t>0</w:t>
            </w:r>
            <w:r>
              <w:rPr>
                <w:rFonts w:ascii="Arial" w:cs="Arial" w:eastAsia="Arial" w:hAnsi="Arial"/>
                <w:sz w:val="10"/>
                <w:szCs w:val="10"/>
                <w:color w:val="5D5D60"/>
              </w:rPr>
              <w:t>2</w:t>
            </w:r>
            <w:r>
              <w:rPr>
                <w:rFonts w:ascii="Arial" w:cs="Arial" w:eastAsia="Arial" w:hAnsi="Arial"/>
                <w:sz w:val="10"/>
                <w:szCs w:val="10"/>
                <w:color w:val="313133"/>
              </w:rPr>
              <w:t>7</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464446"/>
              </w:rPr>
              <w:t>50</w:t>
            </w:r>
            <w:r>
              <w:rPr>
                <w:rFonts w:ascii="Arial" w:cs="Arial" w:eastAsia="Arial" w:hAnsi="Arial"/>
                <w:sz w:val="10"/>
                <w:szCs w:val="10"/>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w w:val="97"/>
              </w:rPr>
              <w:t>90</w:t>
            </w:r>
            <w:r>
              <w:rPr>
                <w:rFonts w:ascii="Arial" w:cs="Arial" w:eastAsia="Arial" w:hAnsi="Arial"/>
                <w:sz w:val="10"/>
                <w:szCs w:val="10"/>
                <w:color w:val="5D5D60"/>
                <w:w w:val="97"/>
              </w:rPr>
              <w:t>,</w:t>
            </w:r>
            <w:r>
              <w:rPr>
                <w:rFonts w:ascii="Arial" w:cs="Arial" w:eastAsia="Arial" w:hAnsi="Arial"/>
                <w:sz w:val="10"/>
                <w:szCs w:val="10"/>
                <w:color w:val="464446"/>
                <w:w w:val="97"/>
              </w:rPr>
              <w:t>0</w:t>
            </w:r>
            <w:r>
              <w:rPr>
                <w:rFonts w:ascii="Arial" w:cs="Arial" w:eastAsia="Arial" w:hAnsi="Arial"/>
                <w:sz w:val="10"/>
                <w:szCs w:val="10"/>
                <w:color w:val="5D5D60"/>
                <w:w w:val="97"/>
              </w:rPr>
              <w:t>1</w:t>
            </w:r>
            <w:r>
              <w:rPr>
                <w:rFonts w:ascii="Arial" w:cs="Arial" w:eastAsia="Arial" w:hAnsi="Arial"/>
                <w:sz w:val="10"/>
                <w:szCs w:val="10"/>
                <w:color w:val="464446"/>
                <w:w w:val="97"/>
              </w:rPr>
              <w:t>3</w:t>
            </w:r>
          </w:p>
        </w:tc>
        <w:tc>
          <w:tcPr>
            <w:tcW w:w="200" w:type="dxa"/>
            <w:vAlign w:val="bottom"/>
          </w:tcPr>
          <w:p>
            <w:pPr>
              <w:ind w:left="10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rPr>
              <w:t>92</w:t>
            </w:r>
            <w:r>
              <w:rPr>
                <w:rFonts w:ascii="Arial" w:cs="Arial" w:eastAsia="Arial" w:hAnsi="Arial"/>
                <w:sz w:val="10"/>
                <w:szCs w:val="10"/>
                <w:color w:val="5D5D60"/>
              </w:rPr>
              <w:t>,</w:t>
            </w:r>
            <w:r>
              <w:rPr>
                <w:rFonts w:ascii="Arial" w:cs="Arial" w:eastAsia="Arial" w:hAnsi="Arial"/>
                <w:sz w:val="10"/>
                <w:szCs w:val="10"/>
                <w:color w:val="313133"/>
              </w:rPr>
              <w:t>7</w:t>
            </w:r>
            <w:r>
              <w:rPr>
                <w:rFonts w:ascii="Arial" w:cs="Arial" w:eastAsia="Arial" w:hAnsi="Arial"/>
                <w:sz w:val="10"/>
                <w:szCs w:val="10"/>
                <w:color w:val="5D5D60"/>
              </w:rPr>
              <w:t>14</w:t>
            </w:r>
          </w:p>
        </w:tc>
        <w:tc>
          <w:tcPr>
            <w:tcW w:w="140" w:type="dxa"/>
            <w:vAlign w:val="bottom"/>
          </w:tcPr>
          <w:p>
            <w:pPr>
              <w:ind w:left="60"/>
              <w:spacing w:after="0"/>
              <w:rPr>
                <w:sz w:val="20"/>
                <w:szCs w:val="20"/>
                <w:color w:val="auto"/>
              </w:rPr>
            </w:pPr>
            <w:r>
              <w:rPr>
                <w:rFonts w:ascii="Arial" w:cs="Arial" w:eastAsia="Arial" w:hAnsi="Arial"/>
                <w:sz w:val="10"/>
                <w:szCs w:val="10"/>
                <w:color w:val="464446"/>
              </w:rPr>
              <w:t>$</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0"/>
                <w:szCs w:val="10"/>
                <w:color w:val="464446"/>
              </w:rPr>
              <w:t>45</w:t>
            </w:r>
            <w:r>
              <w:rPr>
                <w:rFonts w:ascii="Arial" w:cs="Arial" w:eastAsia="Arial" w:hAnsi="Arial"/>
                <w:sz w:val="10"/>
                <w:szCs w:val="10"/>
                <w:color w:val="757775"/>
              </w:rPr>
              <w:t>,</w:t>
            </w:r>
            <w:r>
              <w:rPr>
                <w:rFonts w:ascii="Arial" w:cs="Arial" w:eastAsia="Arial" w:hAnsi="Arial"/>
                <w:sz w:val="10"/>
                <w:szCs w:val="10"/>
                <w:color w:val="464446"/>
              </w:rPr>
              <w:t>007</w:t>
            </w:r>
          </w:p>
        </w:tc>
        <w:tc>
          <w:tcPr>
            <w:tcW w:w="140" w:type="dxa"/>
            <w:vAlign w:val="bottom"/>
          </w:tcPr>
          <w:p>
            <w:pPr>
              <w:ind w:left="80"/>
              <w:spacing w:after="0"/>
              <w:rPr>
                <w:sz w:val="20"/>
                <w:szCs w:val="20"/>
                <w:color w:val="auto"/>
              </w:rPr>
            </w:pPr>
            <w:r>
              <w:rPr>
                <w:rFonts w:ascii="Arial" w:cs="Arial" w:eastAsia="Arial" w:hAnsi="Arial"/>
                <w:sz w:val="10"/>
                <w:szCs w:val="10"/>
                <w:color w:val="464446"/>
                <w:w w:val="71"/>
              </w:rPr>
              <w:t>$</w:t>
            </w:r>
          </w:p>
        </w:tc>
        <w:tc>
          <w:tcPr>
            <w:tcW w:w="620" w:type="dxa"/>
            <w:vAlign w:val="bottom"/>
            <w:tcBorders>
              <w:right w:val="single" w:sz="8" w:color="auto"/>
            </w:tcBorders>
          </w:tcPr>
          <w:p>
            <w:pPr>
              <w:ind w:left="80"/>
              <w:spacing w:after="0"/>
              <w:rPr>
                <w:sz w:val="20"/>
                <w:szCs w:val="20"/>
                <w:color w:val="auto"/>
              </w:rPr>
            </w:pPr>
            <w:r>
              <w:rPr>
                <w:rFonts w:ascii="Arial" w:cs="Arial" w:eastAsia="Arial" w:hAnsi="Arial"/>
                <w:sz w:val="10"/>
                <w:szCs w:val="10"/>
                <w:color w:val="464446"/>
              </w:rPr>
              <w:t>45</w:t>
            </w:r>
            <w:r>
              <w:rPr>
                <w:rFonts w:ascii="Arial" w:cs="Arial" w:eastAsia="Arial" w:hAnsi="Arial"/>
                <w:sz w:val="10"/>
                <w:szCs w:val="10"/>
                <w:color w:val="757775"/>
              </w:rPr>
              <w:t>,</w:t>
            </w:r>
            <w:r>
              <w:rPr>
                <w:rFonts w:ascii="Arial" w:cs="Arial" w:eastAsia="Arial" w:hAnsi="Arial"/>
                <w:sz w:val="10"/>
                <w:szCs w:val="10"/>
                <w:color w:val="464446"/>
              </w:rPr>
              <w:t>007</w:t>
            </w:r>
          </w:p>
        </w:tc>
        <w:tc>
          <w:tcPr>
            <w:tcW w:w="66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10"/>
                <w:szCs w:val="10"/>
                <w:color w:val="1F1F23"/>
              </w:rPr>
              <w:t>P</w:t>
            </w:r>
            <w:r>
              <w:rPr>
                <w:rFonts w:ascii="Arial" w:cs="Arial" w:eastAsia="Arial" w:hAnsi="Arial"/>
                <w:sz w:val="10"/>
                <w:szCs w:val="10"/>
                <w:color w:val="464446"/>
              </w:rPr>
              <w:t>la</w:t>
            </w:r>
            <w:r>
              <w:rPr>
                <w:rFonts w:ascii="Arial" w:cs="Arial" w:eastAsia="Arial" w:hAnsi="Arial"/>
                <w:sz w:val="10"/>
                <w:szCs w:val="10"/>
                <w:color w:val="1F1F23"/>
              </w:rPr>
              <w:t>nt i</w:t>
            </w:r>
            <w:r>
              <w:rPr>
                <w:rFonts w:ascii="Arial" w:cs="Arial" w:eastAsia="Arial" w:hAnsi="Arial"/>
                <w:sz w:val="10"/>
                <w:szCs w:val="10"/>
                <w:color w:val="464446"/>
              </w:rPr>
              <w:t>s</w:t>
            </w:r>
            <w:r>
              <w:rPr>
                <w:rFonts w:ascii="Arial" w:cs="Arial" w:eastAsia="Arial" w:hAnsi="Arial"/>
                <w:sz w:val="10"/>
                <w:szCs w:val="10"/>
                <w:color w:val="1F1F23"/>
              </w:rPr>
              <w:t xml:space="preserve"> n</w:t>
            </w:r>
            <w:r>
              <w:rPr>
                <w:rFonts w:ascii="Arial" w:cs="Arial" w:eastAsia="Arial" w:hAnsi="Arial"/>
                <w:sz w:val="10"/>
                <w:szCs w:val="10"/>
                <w:color w:val="464446"/>
              </w:rPr>
              <w:t>o</w:t>
            </w:r>
            <w:r>
              <w:rPr>
                <w:rFonts w:ascii="Arial" w:cs="Arial" w:eastAsia="Arial" w:hAnsi="Arial"/>
                <w:sz w:val="10"/>
                <w:szCs w:val="10"/>
                <w:color w:val="1F1F23"/>
              </w:rPr>
              <w:t xml:space="preserve">t </w:t>
            </w:r>
            <w:r>
              <w:rPr>
                <w:rFonts w:ascii="Arial" w:cs="Arial" w:eastAsia="Arial" w:hAnsi="Arial"/>
                <w:sz w:val="10"/>
                <w:szCs w:val="10"/>
                <w:color w:val="464446"/>
              </w:rPr>
              <w:t>a</w:t>
            </w:r>
            <w:r>
              <w:rPr>
                <w:rFonts w:ascii="Arial" w:cs="Arial" w:eastAsia="Arial" w:hAnsi="Arial"/>
                <w:sz w:val="10"/>
                <w:szCs w:val="10"/>
                <w:color w:val="1F1F23"/>
              </w:rPr>
              <w:t>i</w:t>
            </w:r>
            <w:r>
              <w:rPr>
                <w:rFonts w:ascii="Arial" w:cs="Arial" w:eastAsia="Arial" w:hAnsi="Arial"/>
                <w:sz w:val="10"/>
                <w:szCs w:val="10"/>
                <w:color w:val="464446"/>
              </w:rPr>
              <w:t>r co</w:t>
            </w:r>
            <w:r>
              <w:rPr>
                <w:rFonts w:ascii="Arial" w:cs="Arial" w:eastAsia="Arial" w:hAnsi="Arial"/>
                <w:sz w:val="10"/>
                <w:szCs w:val="10"/>
                <w:color w:val="1F1F23"/>
              </w:rPr>
              <w:t>ndi</w:t>
            </w:r>
            <w:r>
              <w:rPr>
                <w:rFonts w:ascii="Arial" w:cs="Arial" w:eastAsia="Arial" w:hAnsi="Arial"/>
                <w:sz w:val="10"/>
                <w:szCs w:val="10"/>
                <w:color w:val="464446"/>
              </w:rPr>
              <w:t>tio</w:t>
            </w:r>
            <w:r>
              <w:rPr>
                <w:rFonts w:ascii="Arial" w:cs="Arial" w:eastAsia="Arial" w:hAnsi="Arial"/>
                <w:sz w:val="10"/>
                <w:szCs w:val="10"/>
                <w:color w:val="1F1F23"/>
              </w:rPr>
              <w:t>n</w:t>
            </w:r>
            <w:r>
              <w:rPr>
                <w:rFonts w:ascii="Arial" w:cs="Arial" w:eastAsia="Arial" w:hAnsi="Arial"/>
                <w:sz w:val="10"/>
                <w:szCs w:val="10"/>
                <w:color w:val="464446"/>
              </w:rPr>
              <w:t>e</w:t>
            </w:r>
            <w:r>
              <w:rPr>
                <w:rFonts w:ascii="Arial" w:cs="Arial" w:eastAsia="Arial" w:hAnsi="Arial"/>
                <w:sz w:val="10"/>
                <w:szCs w:val="10"/>
                <w:color w:val="1F1F23"/>
              </w:rPr>
              <w:t>d</w:t>
            </w:r>
            <w:r>
              <w:rPr>
                <w:rFonts w:ascii="Arial" w:cs="Arial" w:eastAsia="Arial" w:hAnsi="Arial"/>
                <w:sz w:val="10"/>
                <w:szCs w:val="10"/>
                <w:color w:val="5D5D60"/>
              </w:rPr>
              <w:t>,</w:t>
            </w:r>
            <w:r>
              <w:rPr>
                <w:rFonts w:ascii="Arial" w:cs="Arial" w:eastAsia="Arial" w:hAnsi="Arial"/>
                <w:sz w:val="10"/>
                <w:szCs w:val="10"/>
                <w:color w:val="1F1F23"/>
              </w:rPr>
              <w:t xml:space="preserve"> h</w:t>
            </w:r>
            <w:r>
              <w:rPr>
                <w:rFonts w:ascii="Arial" w:cs="Arial" w:eastAsia="Arial" w:hAnsi="Arial"/>
                <w:sz w:val="10"/>
                <w:szCs w:val="10"/>
                <w:color w:val="464446"/>
              </w:rPr>
              <w:t>oweve</w:t>
            </w:r>
            <w:r>
              <w:rPr>
                <w:rFonts w:ascii="Arial" w:cs="Arial" w:eastAsia="Arial" w:hAnsi="Arial"/>
                <w:sz w:val="10"/>
                <w:szCs w:val="10"/>
                <w:color w:val="1F1F23"/>
              </w:rPr>
              <w:t xml:space="preserve">r </w:t>
            </w:r>
            <w:r>
              <w:rPr>
                <w:rFonts w:ascii="Arial" w:cs="Arial" w:eastAsia="Arial" w:hAnsi="Arial"/>
                <w:sz w:val="10"/>
                <w:szCs w:val="10"/>
                <w:color w:val="5D5D60"/>
              </w:rPr>
              <w:t>t</w:t>
            </w:r>
            <w:r>
              <w:rPr>
                <w:rFonts w:ascii="Arial" w:cs="Arial" w:eastAsia="Arial" w:hAnsi="Arial"/>
                <w:sz w:val="10"/>
                <w:szCs w:val="10"/>
                <w:color w:val="1F1F23"/>
              </w:rPr>
              <w:t>h</w:t>
            </w:r>
            <w:r>
              <w:rPr>
                <w:rFonts w:ascii="Arial" w:cs="Arial" w:eastAsia="Arial" w:hAnsi="Arial"/>
                <w:sz w:val="10"/>
                <w:szCs w:val="10"/>
                <w:color w:val="464446"/>
              </w:rPr>
              <w:t>e</w:t>
            </w:r>
            <w:r>
              <w:rPr>
                <w:rFonts w:ascii="Arial" w:cs="Arial" w:eastAsia="Arial" w:hAnsi="Arial"/>
                <w:sz w:val="10"/>
                <w:szCs w:val="10"/>
                <w:color w:val="1F1F23"/>
              </w:rPr>
              <w:t>r</w:t>
            </w:r>
            <w:r>
              <w:rPr>
                <w:rFonts w:ascii="Arial" w:cs="Arial" w:eastAsia="Arial" w:hAnsi="Arial"/>
                <w:sz w:val="10"/>
                <w:szCs w:val="10"/>
                <w:color w:val="5D5D60"/>
              </w:rPr>
              <w:t>e</w:t>
            </w:r>
            <w:r>
              <w:rPr>
                <w:rFonts w:ascii="Arial" w:cs="Arial" w:eastAsia="Arial" w:hAnsi="Arial"/>
                <w:sz w:val="10"/>
                <w:szCs w:val="10"/>
                <w:color w:val="1F1F23"/>
              </w:rPr>
              <w:t xml:space="preserve"> </w:t>
            </w:r>
            <w:r>
              <w:rPr>
                <w:rFonts w:ascii="Arial" w:cs="Arial" w:eastAsia="Arial" w:hAnsi="Arial"/>
                <w:sz w:val="10"/>
                <w:szCs w:val="10"/>
                <w:color w:val="464446"/>
              </w:rPr>
              <w:t>a</w:t>
            </w:r>
            <w:r>
              <w:rPr>
                <w:rFonts w:ascii="Arial" w:cs="Arial" w:eastAsia="Arial" w:hAnsi="Arial"/>
                <w:sz w:val="10"/>
                <w:szCs w:val="10"/>
                <w:color w:val="1F1F23"/>
              </w:rPr>
              <w:t>r</w:t>
            </w:r>
            <w:r>
              <w:rPr>
                <w:rFonts w:ascii="Arial" w:cs="Arial" w:eastAsia="Arial" w:hAnsi="Arial"/>
                <w:sz w:val="10"/>
                <w:szCs w:val="10"/>
                <w:color w:val="464446"/>
              </w:rPr>
              <w:t>e</w:t>
            </w:r>
            <w:r>
              <w:rPr>
                <w:rFonts w:ascii="Arial" w:cs="Arial" w:eastAsia="Arial" w:hAnsi="Arial"/>
                <w:sz w:val="10"/>
                <w:szCs w:val="10"/>
                <w:color w:val="1F1F23"/>
              </w:rPr>
              <w:t xml:space="preserve"> </w:t>
            </w:r>
            <w:r>
              <w:rPr>
                <w:rFonts w:ascii="Arial" w:cs="Arial" w:eastAsia="Arial" w:hAnsi="Arial"/>
                <w:sz w:val="10"/>
                <w:szCs w:val="10"/>
                <w:color w:val="5D5D60"/>
              </w:rPr>
              <w:t>hu</w:t>
            </w:r>
            <w:r>
              <w:rPr>
                <w:rFonts w:ascii="Arial" w:cs="Arial" w:eastAsia="Arial" w:hAnsi="Arial"/>
                <w:sz w:val="10"/>
                <w:szCs w:val="10"/>
                <w:color w:val="464446"/>
              </w:rPr>
              <w:t>mid</w:t>
            </w:r>
            <w:r>
              <w:rPr>
                <w:rFonts w:ascii="Arial" w:cs="Arial" w:eastAsia="Arial" w:hAnsi="Arial"/>
                <w:sz w:val="10"/>
                <w:szCs w:val="10"/>
                <w:color w:val="1F1F23"/>
              </w:rPr>
              <w:t>i</w:t>
            </w:r>
            <w:r>
              <w:rPr>
                <w:rFonts w:ascii="Arial" w:cs="Arial" w:eastAsia="Arial" w:hAnsi="Arial"/>
                <w:sz w:val="10"/>
                <w:szCs w:val="10"/>
                <w:color w:val="464446"/>
              </w:rPr>
              <w:t>fie</w:t>
            </w:r>
            <w:r>
              <w:rPr>
                <w:rFonts w:ascii="Arial" w:cs="Arial" w:eastAsia="Arial" w:hAnsi="Arial"/>
                <w:sz w:val="10"/>
                <w:szCs w:val="10"/>
                <w:color w:val="1F1F23"/>
              </w:rPr>
              <w:t>r</w:t>
            </w:r>
            <w:r>
              <w:rPr>
                <w:rFonts w:ascii="Arial" w:cs="Arial" w:eastAsia="Arial" w:hAnsi="Arial"/>
                <w:sz w:val="10"/>
                <w:szCs w:val="10"/>
                <w:color w:val="464446"/>
              </w:rPr>
              <w:t>s</w:t>
            </w:r>
            <w:r>
              <w:rPr>
                <w:rFonts w:ascii="Arial" w:cs="Arial" w:eastAsia="Arial" w:hAnsi="Arial"/>
                <w:sz w:val="10"/>
                <w:szCs w:val="10"/>
                <w:color w:val="1F1F23"/>
              </w:rPr>
              <w:t xml:space="preserve"> </w:t>
            </w:r>
            <w:r>
              <w:rPr>
                <w:rFonts w:ascii="Arial" w:cs="Arial" w:eastAsia="Arial" w:hAnsi="Arial"/>
                <w:sz w:val="10"/>
                <w:szCs w:val="10"/>
                <w:color w:val="5D5D60"/>
              </w:rPr>
              <w:t>f</w:t>
            </w:r>
            <w:r>
              <w:rPr>
                <w:rFonts w:ascii="Arial" w:cs="Arial" w:eastAsia="Arial" w:hAnsi="Arial"/>
                <w:sz w:val="10"/>
                <w:szCs w:val="10"/>
                <w:color w:val="464446"/>
              </w:rPr>
              <w:t>o</w:t>
            </w:r>
            <w:r>
              <w:rPr>
                <w:rFonts w:ascii="Arial" w:cs="Arial" w:eastAsia="Arial" w:hAnsi="Arial"/>
                <w:sz w:val="10"/>
                <w:szCs w:val="10"/>
                <w:color w:val="1F1F23"/>
              </w:rPr>
              <w:t xml:space="preserve"> r </w:t>
            </w:r>
            <w:r>
              <w:rPr>
                <w:rFonts w:ascii="Arial" w:cs="Arial" w:eastAsia="Arial" w:hAnsi="Arial"/>
                <w:sz w:val="10"/>
                <w:szCs w:val="10"/>
                <w:color w:val="464446"/>
              </w:rPr>
              <w:t>co</w:t>
            </w:r>
            <w:r>
              <w:rPr>
                <w:rFonts w:ascii="Arial" w:cs="Arial" w:eastAsia="Arial" w:hAnsi="Arial"/>
                <w:sz w:val="10"/>
                <w:szCs w:val="10"/>
                <w:color w:val="5D5D60"/>
              </w:rPr>
              <w:t>l</w:t>
            </w:r>
            <w:r>
              <w:rPr>
                <w:rFonts w:ascii="Arial" w:cs="Arial" w:eastAsia="Arial" w:hAnsi="Arial"/>
                <w:sz w:val="10"/>
                <w:szCs w:val="10"/>
                <w:color w:val="464446"/>
              </w:rPr>
              <w:t>d s</w:t>
            </w:r>
            <w:r>
              <w:rPr>
                <w:rFonts w:ascii="Arial" w:cs="Arial" w:eastAsia="Arial" w:hAnsi="Arial"/>
                <w:sz w:val="10"/>
                <w:szCs w:val="10"/>
                <w:color w:val="5D5D60"/>
              </w:rPr>
              <w:t>t</w:t>
            </w:r>
            <w:r>
              <w:rPr>
                <w:rFonts w:ascii="Arial" w:cs="Arial" w:eastAsia="Arial" w:hAnsi="Arial"/>
                <w:sz w:val="10"/>
                <w:szCs w:val="10"/>
                <w:color w:val="464446"/>
              </w:rPr>
              <w:t>o</w:t>
            </w:r>
            <w:r>
              <w:rPr>
                <w:rFonts w:ascii="Arial" w:cs="Arial" w:eastAsia="Arial" w:hAnsi="Arial"/>
                <w:sz w:val="10"/>
                <w:szCs w:val="10"/>
                <w:color w:val="1F1F23"/>
              </w:rPr>
              <w:t>r</w:t>
            </w:r>
            <w:r>
              <w:rPr>
                <w:rFonts w:ascii="Arial" w:cs="Arial" w:eastAsia="Arial" w:hAnsi="Arial"/>
                <w:sz w:val="10"/>
                <w:szCs w:val="10"/>
                <w:color w:val="464446"/>
              </w:rPr>
              <w:t>age</w:t>
            </w:r>
          </w:p>
        </w:tc>
        <w:tc>
          <w:tcPr>
            <w:tcW w:w="0" w:type="dxa"/>
            <w:vAlign w:val="bottom"/>
          </w:tcPr>
          <w:p>
            <w:pPr>
              <w:spacing w:after="0"/>
              <w:rPr>
                <w:sz w:val="1"/>
                <w:szCs w:val="1"/>
                <w:color w:val="auto"/>
              </w:rPr>
            </w:pPr>
          </w:p>
        </w:tc>
      </w:tr>
      <w:tr>
        <w:trPr>
          <w:trHeight w:val="123"/>
        </w:trPr>
        <w:tc>
          <w:tcPr>
            <w:tcW w:w="14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0"/>
                <w:szCs w:val="10"/>
                <w:color w:val="757775"/>
              </w:rPr>
              <w:t>i</w:t>
            </w:r>
            <w:r>
              <w:rPr>
                <w:rFonts w:ascii="Arial" w:cs="Arial" w:eastAsia="Arial" w:hAnsi="Arial"/>
                <w:sz w:val="10"/>
                <w:szCs w:val="10"/>
                <w:color w:val="5D5D60"/>
              </w:rPr>
              <w:t>n</w:t>
            </w:r>
            <w:r>
              <w:rPr>
                <w:rFonts w:ascii="Arial" w:cs="Arial" w:eastAsia="Arial" w:hAnsi="Arial"/>
                <w:sz w:val="10"/>
                <w:szCs w:val="10"/>
                <w:color w:val="464446"/>
              </w:rPr>
              <w:t>c</w:t>
            </w:r>
            <w:r>
              <w:rPr>
                <w:rFonts w:ascii="Arial" w:cs="Arial" w:eastAsia="Arial" w:hAnsi="Arial"/>
                <w:sz w:val="10"/>
                <w:szCs w:val="10"/>
                <w:color w:val="1F1F23"/>
              </w:rPr>
              <w:t>l</w:t>
            </w:r>
            <w:r>
              <w:rPr>
                <w:rFonts w:ascii="Arial" w:cs="Arial" w:eastAsia="Arial" w:hAnsi="Arial"/>
                <w:sz w:val="10"/>
                <w:szCs w:val="10"/>
                <w:color w:val="5D5D60"/>
              </w:rPr>
              <w:t>u</w:t>
            </w:r>
            <w:r>
              <w:rPr>
                <w:rFonts w:ascii="Arial" w:cs="Arial" w:eastAsia="Arial" w:hAnsi="Arial"/>
                <w:sz w:val="10"/>
                <w:szCs w:val="10"/>
                <w:color w:val="464446"/>
              </w:rPr>
              <w:t>d</w:t>
            </w:r>
            <w:r>
              <w:rPr>
                <w:rFonts w:ascii="Arial" w:cs="Arial" w:eastAsia="Arial" w:hAnsi="Arial"/>
                <w:sz w:val="10"/>
                <w:szCs w:val="10"/>
                <w:color w:val="5D5D60"/>
              </w:rPr>
              <w:t>e</w:t>
            </w:r>
            <w:r>
              <w:rPr>
                <w:rFonts w:ascii="Arial" w:cs="Arial" w:eastAsia="Arial" w:hAnsi="Arial"/>
                <w:sz w:val="10"/>
                <w:szCs w:val="10"/>
                <w:color w:val="464446"/>
              </w:rPr>
              <w:t>d</w:t>
            </w:r>
            <w:r>
              <w:rPr>
                <w:rFonts w:ascii="Arial" w:cs="Arial" w:eastAsia="Arial" w:hAnsi="Arial"/>
                <w:sz w:val="10"/>
                <w:szCs w:val="10"/>
                <w:color w:val="757775"/>
              </w:rPr>
              <w:t xml:space="preserve"> </w:t>
            </w:r>
            <w:r>
              <w:rPr>
                <w:rFonts w:ascii="Arial" w:cs="Arial" w:eastAsia="Arial" w:hAnsi="Arial"/>
                <w:sz w:val="10"/>
                <w:szCs w:val="10"/>
                <w:color w:val="1F1F23"/>
              </w:rPr>
              <w:t>in</w:t>
            </w:r>
            <w:r>
              <w:rPr>
                <w:rFonts w:ascii="Arial" w:cs="Arial" w:eastAsia="Arial" w:hAnsi="Arial"/>
                <w:sz w:val="10"/>
                <w:szCs w:val="10"/>
                <w:color w:val="757775"/>
              </w:rPr>
              <w:t xml:space="preserve"> </w:t>
            </w:r>
            <w:r>
              <w:rPr>
                <w:rFonts w:ascii="Arial" w:cs="Arial" w:eastAsia="Arial" w:hAnsi="Arial"/>
                <w:sz w:val="10"/>
                <w:szCs w:val="10"/>
                <w:color w:val="5D5D60"/>
              </w:rPr>
              <w:t>t</w:t>
            </w:r>
            <w:r>
              <w:rPr>
                <w:rFonts w:ascii="Arial" w:cs="Arial" w:eastAsia="Arial" w:hAnsi="Arial"/>
                <w:sz w:val="10"/>
                <w:szCs w:val="10"/>
                <w:color w:val="1F1F23"/>
              </w:rPr>
              <w:t>hi</w:t>
            </w:r>
            <w:r>
              <w:rPr>
                <w:rFonts w:ascii="Arial" w:cs="Arial" w:eastAsia="Arial" w:hAnsi="Arial"/>
                <w:sz w:val="10"/>
                <w:szCs w:val="10"/>
                <w:color w:val="464446"/>
              </w:rPr>
              <w:t>s</w:t>
            </w:r>
            <w:r>
              <w:rPr>
                <w:rFonts w:ascii="Arial" w:cs="Arial" w:eastAsia="Arial" w:hAnsi="Arial"/>
                <w:sz w:val="10"/>
                <w:szCs w:val="10"/>
                <w:color w:val="757775"/>
              </w:rPr>
              <w:t xml:space="preserve"> l</w:t>
            </w:r>
            <w:r>
              <w:rPr>
                <w:rFonts w:ascii="Arial" w:cs="Arial" w:eastAsia="Arial" w:hAnsi="Arial"/>
                <w:sz w:val="10"/>
                <w:szCs w:val="10"/>
                <w:color w:val="5D5D60"/>
              </w:rPr>
              <w:t>i</w:t>
            </w:r>
            <w:r>
              <w:rPr>
                <w:rFonts w:ascii="Arial" w:cs="Arial" w:eastAsia="Arial" w:hAnsi="Arial"/>
                <w:sz w:val="10"/>
                <w:szCs w:val="10"/>
                <w:color w:val="1F1F23"/>
              </w:rPr>
              <w:t>n</w:t>
            </w:r>
            <w:r>
              <w:rPr>
                <w:rFonts w:ascii="Arial" w:cs="Arial" w:eastAsia="Arial" w:hAnsi="Arial"/>
                <w:sz w:val="10"/>
                <w:szCs w:val="10"/>
                <w:color w:val="464446"/>
              </w:rPr>
              <w:t>e</w:t>
            </w:r>
            <w:r>
              <w:rPr>
                <w:rFonts w:ascii="Arial" w:cs="Arial" w:eastAsia="Arial" w:hAnsi="Arial"/>
                <w:sz w:val="10"/>
                <w:szCs w:val="10"/>
                <w:color w:val="757775"/>
              </w:rPr>
              <w:t xml:space="preserve"> i</w:t>
            </w:r>
            <w:r>
              <w:rPr>
                <w:rFonts w:ascii="Arial" w:cs="Arial" w:eastAsia="Arial" w:hAnsi="Arial"/>
                <w:sz w:val="10"/>
                <w:szCs w:val="10"/>
                <w:color w:val="5D5D60"/>
              </w:rPr>
              <w:t>t</w:t>
            </w:r>
            <w:r>
              <w:rPr>
                <w:rFonts w:ascii="Arial" w:cs="Arial" w:eastAsia="Arial" w:hAnsi="Arial"/>
                <w:sz w:val="10"/>
                <w:szCs w:val="10"/>
                <w:color w:val="464446"/>
              </w:rPr>
              <w:t>em</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E</w:t>
            </w:r>
            <w:r>
              <w:rPr>
                <w:rFonts w:ascii="Arial" w:cs="Arial" w:eastAsia="Arial" w:hAnsi="Arial"/>
                <w:sz w:val="10"/>
                <w:szCs w:val="10"/>
                <w:color w:val="1F1F23"/>
              </w:rPr>
              <w:t>l</w:t>
            </w:r>
            <w:r>
              <w:rPr>
                <w:rFonts w:ascii="Arial" w:cs="Arial" w:eastAsia="Arial" w:hAnsi="Arial"/>
                <w:sz w:val="10"/>
                <w:szCs w:val="10"/>
                <w:color w:val="464446"/>
              </w:rPr>
              <w:t>ect</w:t>
            </w:r>
            <w:r>
              <w:rPr>
                <w:rFonts w:ascii="Arial" w:cs="Arial" w:eastAsia="Arial" w:hAnsi="Arial"/>
                <w:sz w:val="10"/>
                <w:szCs w:val="10"/>
                <w:color w:val="1F1F23"/>
              </w:rPr>
              <w:t>ri</w:t>
            </w:r>
            <w:r>
              <w:rPr>
                <w:rFonts w:ascii="Arial" w:cs="Arial" w:eastAsia="Arial" w:hAnsi="Arial"/>
                <w:sz w:val="10"/>
                <w:szCs w:val="10"/>
                <w:color w:val="464446"/>
              </w:rPr>
              <w:t>c</w:t>
            </w:r>
            <w:r>
              <w:rPr>
                <w:rFonts w:ascii="Arial" w:cs="Arial" w:eastAsia="Arial" w:hAnsi="Arial"/>
                <w:sz w:val="10"/>
                <w:szCs w:val="10"/>
                <w:color w:val="1F1F23"/>
              </w:rPr>
              <w:t>ity</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464446"/>
                <w:w w:val="71"/>
              </w:rPr>
              <w:t>$</w:t>
            </w:r>
          </w:p>
        </w:tc>
        <w:tc>
          <w:tcPr>
            <w:tcW w:w="6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464446"/>
              </w:rPr>
              <w:t>672</w:t>
            </w:r>
            <w:r>
              <w:rPr>
                <w:rFonts w:ascii="Arial" w:cs="Arial" w:eastAsia="Arial" w:hAnsi="Arial"/>
                <w:sz w:val="10"/>
                <w:szCs w:val="10"/>
                <w:color w:val="5D5D60"/>
              </w:rPr>
              <w:t>,</w:t>
            </w:r>
            <w:r>
              <w:rPr>
                <w:rFonts w:ascii="Arial" w:cs="Arial" w:eastAsia="Arial" w:hAnsi="Arial"/>
                <w:sz w:val="10"/>
                <w:szCs w:val="10"/>
                <w:color w:val="464446"/>
              </w:rPr>
              <w:t>000</w:t>
            </w:r>
          </w:p>
        </w:tc>
        <w:tc>
          <w:tcPr>
            <w:tcW w:w="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0"/>
                <w:szCs w:val="10"/>
                <w:color w:val="464446"/>
              </w:rPr>
              <w:t>30</w:t>
            </w:r>
            <w:r>
              <w:rPr>
                <w:rFonts w:ascii="Arial" w:cs="Arial" w:eastAsia="Arial" w:hAnsi="Arial"/>
                <w:sz w:val="10"/>
                <w:szCs w:val="10"/>
                <w:color w:val="5D5D60"/>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464446"/>
              </w:rPr>
              <w:t>$</w:t>
            </w:r>
          </w:p>
        </w:tc>
        <w:tc>
          <w:tcPr>
            <w:tcW w:w="50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0"/>
                <w:szCs w:val="10"/>
                <w:color w:val="464446"/>
                <w:w w:val="99"/>
              </w:rPr>
              <w:t>20</w:t>
            </w:r>
            <w:r>
              <w:rPr>
                <w:rFonts w:ascii="Arial" w:cs="Arial" w:eastAsia="Arial" w:hAnsi="Arial"/>
                <w:sz w:val="10"/>
                <w:szCs w:val="10"/>
                <w:color w:val="1F1F23"/>
                <w:w w:val="99"/>
              </w:rPr>
              <w:t>1</w:t>
            </w:r>
            <w:r>
              <w:rPr>
                <w:rFonts w:ascii="Arial" w:cs="Arial" w:eastAsia="Arial" w:hAnsi="Arial"/>
                <w:sz w:val="10"/>
                <w:szCs w:val="10"/>
                <w:color w:val="5D5D60"/>
                <w:w w:val="99"/>
              </w:rPr>
              <w:t>,</w:t>
            </w:r>
            <w:r>
              <w:rPr>
                <w:rFonts w:ascii="Arial" w:cs="Arial" w:eastAsia="Arial" w:hAnsi="Arial"/>
                <w:sz w:val="10"/>
                <w:szCs w:val="10"/>
                <w:color w:val="464446"/>
                <w:w w:val="99"/>
              </w:rPr>
              <w:t>600</w:t>
            </w:r>
          </w:p>
        </w:tc>
        <w:tc>
          <w:tcPr>
            <w:tcW w:w="6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0"/>
                <w:szCs w:val="10"/>
                <w:color w:val="464446"/>
              </w:rPr>
              <w:t xml:space="preserve">$  </w:t>
            </w:r>
            <w:r>
              <w:rPr>
                <w:rFonts w:ascii="Arial" w:cs="Arial" w:eastAsia="Arial" w:hAnsi="Arial"/>
                <w:sz w:val="10"/>
                <w:szCs w:val="10"/>
                <w:color w:val="5D5D60"/>
              </w:rPr>
              <w:t>2</w:t>
            </w:r>
            <w:r>
              <w:rPr>
                <w:rFonts w:ascii="Arial" w:cs="Arial" w:eastAsia="Arial" w:hAnsi="Arial"/>
                <w:sz w:val="10"/>
                <w:szCs w:val="10"/>
                <w:color w:val="464446"/>
              </w:rPr>
              <w:t>07</w:t>
            </w:r>
            <w:r>
              <w:rPr>
                <w:rFonts w:ascii="Arial" w:cs="Arial" w:eastAsia="Arial" w:hAnsi="Arial"/>
                <w:sz w:val="10"/>
                <w:szCs w:val="10"/>
                <w:color w:val="5D5D60"/>
              </w:rPr>
              <w:t>,</w:t>
            </w:r>
            <w:r>
              <w:rPr>
                <w:rFonts w:ascii="Arial" w:cs="Arial" w:eastAsia="Arial" w:hAnsi="Arial"/>
                <w:sz w:val="10"/>
                <w:szCs w:val="10"/>
                <w:color w:val="464446"/>
              </w:rPr>
              <w:t>648</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464446"/>
              </w:rPr>
              <w:t>$</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0"/>
                <w:szCs w:val="10"/>
                <w:color w:val="5D5D60"/>
              </w:rPr>
              <w:t>10</w:t>
            </w:r>
            <w:r>
              <w:rPr>
                <w:rFonts w:ascii="Arial" w:cs="Arial" w:eastAsia="Arial" w:hAnsi="Arial"/>
                <w:sz w:val="10"/>
                <w:szCs w:val="10"/>
                <w:color w:val="464446"/>
              </w:rPr>
              <w:t>0</w:t>
            </w:r>
            <w:r>
              <w:rPr>
                <w:rFonts w:ascii="Arial" w:cs="Arial" w:eastAsia="Arial" w:hAnsi="Arial"/>
                <w:sz w:val="10"/>
                <w:szCs w:val="10"/>
                <w:color w:val="757775"/>
              </w:rPr>
              <w:t>,</w:t>
            </w:r>
            <w:r>
              <w:rPr>
                <w:rFonts w:ascii="Arial" w:cs="Arial" w:eastAsia="Arial" w:hAnsi="Arial"/>
                <w:sz w:val="10"/>
                <w:szCs w:val="10"/>
                <w:color w:val="464446"/>
              </w:rPr>
              <w:t>800</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464446"/>
                <w:w w:val="71"/>
              </w:rPr>
              <w:t>$</w:t>
            </w:r>
          </w:p>
        </w:tc>
        <w:tc>
          <w:tcPr>
            <w:tcW w:w="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0"/>
                <w:szCs w:val="10"/>
                <w:color w:val="464446"/>
              </w:rPr>
              <w:t>100</w:t>
            </w:r>
            <w:r>
              <w:rPr>
                <w:rFonts w:ascii="Arial" w:cs="Arial" w:eastAsia="Arial" w:hAnsi="Arial"/>
                <w:sz w:val="10"/>
                <w:szCs w:val="10"/>
                <w:color w:val="757775"/>
              </w:rPr>
              <w:t>,</w:t>
            </w:r>
            <w:r>
              <w:rPr>
                <w:rFonts w:ascii="Arial" w:cs="Arial" w:eastAsia="Arial" w:hAnsi="Arial"/>
                <w:sz w:val="10"/>
                <w:szCs w:val="10"/>
                <w:color w:val="464446"/>
              </w:rPr>
              <w:t>800</w:t>
            </w:r>
          </w:p>
        </w:tc>
        <w:tc>
          <w:tcPr>
            <w:tcW w:w="660" w:type="dxa"/>
            <w:vAlign w:val="bottom"/>
            <w:tcBorders>
              <w:bottom w:val="single" w:sz="8" w:color="auto"/>
              <w:right w:val="single" w:sz="8" w:color="auto"/>
            </w:tcBorders>
          </w:tcPr>
          <w:p>
            <w:pPr>
              <w:spacing w:after="0"/>
              <w:rPr>
                <w:sz w:val="13"/>
                <w:szCs w:val="13"/>
                <w:color w:val="auto"/>
              </w:rPr>
            </w:pPr>
          </w:p>
        </w:tc>
        <w:tc>
          <w:tcPr>
            <w:tcW w:w="4100" w:type="dxa"/>
            <w:vAlign w:val="bottom"/>
            <w:tcBorders>
              <w:bottom w:val="single" w:sz="8" w:color="auto"/>
              <w:right w:val="single" w:sz="8" w:color="auto"/>
            </w:tcBorders>
          </w:tcPr>
          <w:p>
            <w:pPr>
              <w:jc w:val="center"/>
              <w:ind w:left="1170"/>
              <w:spacing w:after="0"/>
              <w:rPr>
                <w:sz w:val="20"/>
                <w:szCs w:val="20"/>
                <w:color w:val="auto"/>
              </w:rPr>
            </w:pPr>
            <w:r>
              <w:rPr>
                <w:rFonts w:ascii="Arial" w:cs="Arial" w:eastAsia="Arial" w:hAnsi="Arial"/>
                <w:sz w:val="10"/>
                <w:szCs w:val="10"/>
                <w:color w:val="313133"/>
                <w:w w:val="99"/>
              </w:rPr>
              <w:t>P</w:t>
            </w:r>
            <w:r>
              <w:rPr>
                <w:rFonts w:ascii="Arial" w:cs="Arial" w:eastAsia="Arial" w:hAnsi="Arial"/>
                <w:sz w:val="10"/>
                <w:szCs w:val="10"/>
                <w:color w:val="5D5D60"/>
                <w:w w:val="99"/>
              </w:rPr>
              <w:t>l</w:t>
            </w:r>
            <w:r>
              <w:rPr>
                <w:rFonts w:ascii="Arial" w:cs="Arial" w:eastAsia="Arial" w:hAnsi="Arial"/>
                <w:sz w:val="10"/>
                <w:szCs w:val="10"/>
                <w:color w:val="464446"/>
                <w:w w:val="99"/>
              </w:rPr>
              <w:t>a</w:t>
            </w:r>
            <w:r>
              <w:rPr>
                <w:rFonts w:ascii="Arial" w:cs="Arial" w:eastAsia="Arial" w:hAnsi="Arial"/>
                <w:sz w:val="10"/>
                <w:szCs w:val="10"/>
                <w:color w:val="5D5D60"/>
                <w:w w:val="99"/>
              </w:rPr>
              <w:t>nt</w:t>
            </w:r>
            <w:r>
              <w:rPr>
                <w:rFonts w:ascii="Arial" w:cs="Arial" w:eastAsia="Arial" w:hAnsi="Arial"/>
                <w:sz w:val="10"/>
                <w:szCs w:val="10"/>
                <w:color w:val="313133"/>
                <w:w w:val="99"/>
              </w:rPr>
              <w:t xml:space="preserve"> </w:t>
            </w:r>
            <w:r>
              <w:rPr>
                <w:rFonts w:ascii="Arial" w:cs="Arial" w:eastAsia="Arial" w:hAnsi="Arial"/>
                <w:sz w:val="10"/>
                <w:szCs w:val="10"/>
                <w:color w:val="464446"/>
                <w:w w:val="99"/>
              </w:rPr>
              <w:t>co</w:t>
            </w:r>
            <w:r>
              <w:rPr>
                <w:rFonts w:ascii="Arial" w:cs="Arial" w:eastAsia="Arial" w:hAnsi="Arial"/>
                <w:sz w:val="10"/>
                <w:szCs w:val="10"/>
                <w:color w:val="1F1F23"/>
                <w:w w:val="99"/>
              </w:rPr>
              <w:t>n</w:t>
            </w:r>
            <w:r>
              <w:rPr>
                <w:rFonts w:ascii="Arial" w:cs="Arial" w:eastAsia="Arial" w:hAnsi="Arial"/>
                <w:sz w:val="10"/>
                <w:szCs w:val="10"/>
                <w:color w:val="5D5D60"/>
                <w:w w:val="99"/>
              </w:rPr>
              <w:t>su</w:t>
            </w:r>
            <w:r>
              <w:rPr>
                <w:rFonts w:ascii="Arial" w:cs="Arial" w:eastAsia="Arial" w:hAnsi="Arial"/>
                <w:sz w:val="10"/>
                <w:szCs w:val="10"/>
                <w:color w:val="464446"/>
                <w:w w:val="99"/>
              </w:rPr>
              <w:t>me</w:t>
            </w:r>
            <w:r>
              <w:rPr>
                <w:rFonts w:ascii="Arial" w:cs="Arial" w:eastAsia="Arial" w:hAnsi="Arial"/>
                <w:sz w:val="10"/>
                <w:szCs w:val="10"/>
                <w:color w:val="5D5D60"/>
                <w:w w:val="99"/>
              </w:rPr>
              <w:t>s</w:t>
            </w:r>
            <w:r>
              <w:rPr>
                <w:rFonts w:ascii="Arial" w:cs="Arial" w:eastAsia="Arial" w:hAnsi="Arial"/>
                <w:sz w:val="10"/>
                <w:szCs w:val="10"/>
                <w:color w:val="313133"/>
                <w:w w:val="99"/>
              </w:rPr>
              <w:t xml:space="preserve"> </w:t>
            </w:r>
            <w:r>
              <w:rPr>
                <w:rFonts w:ascii="Arial" w:cs="Arial" w:eastAsia="Arial" w:hAnsi="Arial"/>
                <w:sz w:val="10"/>
                <w:szCs w:val="10"/>
                <w:color w:val="464446"/>
                <w:w w:val="99"/>
              </w:rPr>
              <w:t>ma</w:t>
            </w:r>
            <w:r>
              <w:rPr>
                <w:rFonts w:ascii="Arial" w:cs="Arial" w:eastAsia="Arial" w:hAnsi="Arial"/>
                <w:sz w:val="10"/>
                <w:szCs w:val="10"/>
                <w:color w:val="1F1F23"/>
                <w:w w:val="99"/>
              </w:rPr>
              <w:t>j</w:t>
            </w:r>
            <w:r>
              <w:rPr>
                <w:rFonts w:ascii="Arial" w:cs="Arial" w:eastAsia="Arial" w:hAnsi="Arial"/>
                <w:sz w:val="10"/>
                <w:szCs w:val="10"/>
                <w:color w:val="464446"/>
                <w:w w:val="99"/>
              </w:rPr>
              <w:t>or</w:t>
            </w:r>
            <w:r>
              <w:rPr>
                <w:rFonts w:ascii="Arial" w:cs="Arial" w:eastAsia="Arial" w:hAnsi="Arial"/>
                <w:sz w:val="10"/>
                <w:szCs w:val="10"/>
                <w:color w:val="1F1F23"/>
                <w:w w:val="99"/>
              </w:rPr>
              <w:t>i</w:t>
            </w:r>
            <w:r>
              <w:rPr>
                <w:rFonts w:ascii="Arial" w:cs="Arial" w:eastAsia="Arial" w:hAnsi="Arial"/>
                <w:sz w:val="10"/>
                <w:szCs w:val="10"/>
                <w:color w:val="464446"/>
                <w:w w:val="99"/>
              </w:rPr>
              <w:t>ty of</w:t>
            </w:r>
            <w:r>
              <w:rPr>
                <w:rFonts w:ascii="Arial" w:cs="Arial" w:eastAsia="Arial" w:hAnsi="Arial"/>
                <w:sz w:val="10"/>
                <w:szCs w:val="10"/>
                <w:color w:val="313133"/>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he</w:t>
            </w:r>
            <w:r>
              <w:rPr>
                <w:rFonts w:ascii="Arial" w:cs="Arial" w:eastAsia="Arial" w:hAnsi="Arial"/>
                <w:sz w:val="10"/>
                <w:szCs w:val="10"/>
                <w:color w:val="313133"/>
                <w:w w:val="99"/>
              </w:rPr>
              <w:t xml:space="preserve"> </w:t>
            </w:r>
            <w:r>
              <w:rPr>
                <w:rFonts w:ascii="Arial" w:cs="Arial" w:eastAsia="Arial" w:hAnsi="Arial"/>
                <w:sz w:val="10"/>
                <w:szCs w:val="10"/>
                <w:color w:val="464446"/>
                <w:w w:val="99"/>
              </w:rPr>
              <w:t>e</w:t>
            </w:r>
            <w:r>
              <w:rPr>
                <w:rFonts w:ascii="Arial" w:cs="Arial" w:eastAsia="Arial" w:hAnsi="Arial"/>
                <w:sz w:val="10"/>
                <w:szCs w:val="10"/>
                <w:color w:val="1F1F23"/>
                <w:w w:val="99"/>
              </w:rPr>
              <w:t>l</w:t>
            </w:r>
            <w:r>
              <w:rPr>
                <w:rFonts w:ascii="Arial" w:cs="Arial" w:eastAsia="Arial" w:hAnsi="Arial"/>
                <w:sz w:val="10"/>
                <w:szCs w:val="10"/>
                <w:color w:val="5D5D60"/>
                <w:w w:val="99"/>
              </w:rPr>
              <w:t>e</w:t>
            </w:r>
            <w:r>
              <w:rPr>
                <w:rFonts w:ascii="Arial" w:cs="Arial" w:eastAsia="Arial" w:hAnsi="Arial"/>
                <w:sz w:val="10"/>
                <w:szCs w:val="10"/>
                <w:color w:val="464446"/>
                <w:w w:val="99"/>
              </w:rPr>
              <w:t>c</w:t>
            </w:r>
            <w:r>
              <w:rPr>
                <w:rFonts w:ascii="Arial" w:cs="Arial" w:eastAsia="Arial" w:hAnsi="Arial"/>
                <w:sz w:val="10"/>
                <w:szCs w:val="10"/>
                <w:color w:val="1F1F23"/>
                <w:w w:val="99"/>
              </w:rPr>
              <w:t>tr</w:t>
            </w:r>
            <w:r>
              <w:rPr>
                <w:rFonts w:ascii="Arial" w:cs="Arial" w:eastAsia="Arial" w:hAnsi="Arial"/>
                <w:sz w:val="10"/>
                <w:szCs w:val="10"/>
                <w:color w:val="5D5D60"/>
                <w:w w:val="99"/>
              </w:rPr>
              <w:t>ici</w:t>
            </w:r>
            <w:r>
              <w:rPr>
                <w:rFonts w:ascii="Arial" w:cs="Arial" w:eastAsia="Arial" w:hAnsi="Arial"/>
                <w:sz w:val="10"/>
                <w:szCs w:val="10"/>
                <w:color w:val="464446"/>
                <w:w w:val="99"/>
              </w:rPr>
              <w:t>ty o</w:t>
            </w:r>
            <w:r>
              <w:rPr>
                <w:rFonts w:ascii="Arial" w:cs="Arial" w:eastAsia="Arial" w:hAnsi="Arial"/>
                <w:sz w:val="10"/>
                <w:szCs w:val="10"/>
                <w:color w:val="5D5D60"/>
                <w:w w:val="99"/>
              </w:rPr>
              <w:t>n s</w:t>
            </w:r>
            <w:r>
              <w:rPr>
                <w:rFonts w:ascii="Arial" w:cs="Arial" w:eastAsia="Arial" w:hAnsi="Arial"/>
                <w:sz w:val="10"/>
                <w:szCs w:val="10"/>
                <w:color w:val="757775"/>
                <w:w w:val="99"/>
              </w:rPr>
              <w:t>i</w:t>
            </w:r>
            <w:r>
              <w:rPr>
                <w:rFonts w:ascii="Arial" w:cs="Arial" w:eastAsia="Arial" w:hAnsi="Arial"/>
                <w:sz w:val="10"/>
                <w:szCs w:val="10"/>
                <w:color w:val="5D5D60"/>
                <w:w w:val="99"/>
              </w:rPr>
              <w:t>t</w:t>
            </w:r>
            <w:r>
              <w:rPr>
                <w:rFonts w:ascii="Arial" w:cs="Arial" w:eastAsia="Arial" w:hAnsi="Arial"/>
                <w:sz w:val="10"/>
                <w:szCs w:val="10"/>
                <w:color w:val="464446"/>
                <w:w w:val="99"/>
              </w:rPr>
              <w:t>e</w:t>
            </w:r>
            <w:r>
              <w:rPr>
                <w:rFonts w:ascii="Arial" w:cs="Arial" w:eastAsia="Arial" w:hAnsi="Arial"/>
                <w:sz w:val="10"/>
                <w:szCs w:val="10"/>
                <w:color w:val="757775"/>
                <w:w w:val="99"/>
              </w:rPr>
              <w:t>.</w:t>
            </w:r>
          </w:p>
        </w:tc>
        <w:tc>
          <w:tcPr>
            <w:tcW w:w="0" w:type="dxa"/>
            <w:vAlign w:val="bottom"/>
          </w:tcPr>
          <w:p>
            <w:pPr>
              <w:spacing w:after="0"/>
              <w:rPr>
                <w:sz w:val="1"/>
                <w:szCs w:val="1"/>
                <w:color w:val="auto"/>
              </w:rPr>
            </w:pPr>
          </w:p>
        </w:tc>
      </w:tr>
      <w:tr>
        <w:trPr>
          <w:trHeight w:val="112"/>
        </w:trPr>
        <w:tc>
          <w:tcPr>
            <w:tcW w:w="1400" w:type="dxa"/>
            <w:vAlign w:val="bottom"/>
            <w:tcBorders>
              <w:left w:val="single" w:sz="8" w:color="auto"/>
              <w:right w:val="single" w:sz="8" w:color="auto"/>
            </w:tcBorders>
          </w:tcPr>
          <w:p>
            <w:pPr>
              <w:ind w:left="60"/>
              <w:spacing w:after="0" w:line="113" w:lineRule="exact"/>
              <w:rPr>
                <w:sz w:val="20"/>
                <w:szCs w:val="20"/>
                <w:color w:val="auto"/>
              </w:rPr>
            </w:pPr>
            <w:r>
              <w:rPr>
                <w:rFonts w:ascii="Arial" w:cs="Arial" w:eastAsia="Arial" w:hAnsi="Arial"/>
                <w:sz w:val="10"/>
                <w:szCs w:val="10"/>
                <w:color w:val="313133"/>
              </w:rPr>
              <w:t>Fac</w:t>
            </w:r>
            <w:r>
              <w:rPr>
                <w:rFonts w:ascii="Arial" w:cs="Arial" w:eastAsia="Arial" w:hAnsi="Arial"/>
                <w:sz w:val="10"/>
                <w:szCs w:val="10"/>
                <w:color w:val="5D5D60"/>
              </w:rPr>
              <w:t>il</w:t>
            </w:r>
            <w:r>
              <w:rPr>
                <w:rFonts w:ascii="Arial" w:cs="Arial" w:eastAsia="Arial" w:hAnsi="Arial"/>
                <w:sz w:val="10"/>
                <w:szCs w:val="10"/>
                <w:color w:val="313133"/>
              </w:rPr>
              <w:t xml:space="preserve"> </w:t>
            </w:r>
            <w:r>
              <w:rPr>
                <w:rFonts w:ascii="Arial" w:cs="Arial" w:eastAsia="Arial" w:hAnsi="Arial"/>
                <w:sz w:val="10"/>
                <w:szCs w:val="10"/>
                <w:color w:val="1F1F23"/>
              </w:rPr>
              <w:t>i</w:t>
            </w:r>
            <w:r>
              <w:rPr>
                <w:rFonts w:ascii="Arial" w:cs="Arial" w:eastAsia="Arial" w:hAnsi="Arial"/>
                <w:sz w:val="10"/>
                <w:szCs w:val="10"/>
                <w:color w:val="464446"/>
              </w:rPr>
              <w:t>t</w:t>
            </w:r>
            <w:r>
              <w:rPr>
                <w:rFonts w:ascii="Arial" w:cs="Arial" w:eastAsia="Arial" w:hAnsi="Arial"/>
                <w:sz w:val="10"/>
                <w:szCs w:val="10"/>
                <w:color w:val="313133"/>
              </w:rPr>
              <w:t xml:space="preserve"> </w:t>
            </w:r>
            <w:r>
              <w:rPr>
                <w:rFonts w:ascii="Arial" w:cs="Arial" w:eastAsia="Arial" w:hAnsi="Arial"/>
                <w:sz w:val="10"/>
                <w:szCs w:val="10"/>
                <w:color w:val="1F1F23"/>
              </w:rPr>
              <w:t>i</w:t>
            </w:r>
            <w:r>
              <w:rPr>
                <w:rFonts w:ascii="Arial" w:cs="Arial" w:eastAsia="Arial" w:hAnsi="Arial"/>
                <w:sz w:val="10"/>
                <w:szCs w:val="10"/>
                <w:color w:val="464446"/>
              </w:rPr>
              <w:t>e</w:t>
            </w:r>
            <w:r>
              <w:rPr>
                <w:rFonts w:ascii="Arial" w:cs="Arial" w:eastAsia="Arial" w:hAnsi="Arial"/>
                <w:sz w:val="10"/>
                <w:szCs w:val="10"/>
                <w:color w:val="5D5D60"/>
              </w:rPr>
              <w:t>s</w:t>
            </w:r>
            <w:r>
              <w:rPr>
                <w:rFonts w:ascii="Arial" w:cs="Arial" w:eastAsia="Arial" w:hAnsi="Arial"/>
                <w:sz w:val="10"/>
                <w:szCs w:val="10"/>
                <w:color w:val="313133"/>
              </w:rPr>
              <w:t xml:space="preserve"> </w:t>
            </w:r>
            <w:r>
              <w:rPr>
                <w:rFonts w:ascii="Arial" w:cs="Arial" w:eastAsia="Arial" w:hAnsi="Arial"/>
                <w:sz w:val="10"/>
                <w:szCs w:val="10"/>
                <w:color w:val="464446"/>
              </w:rPr>
              <w:t>Sa</w:t>
            </w:r>
            <w:r>
              <w:rPr>
                <w:rFonts w:ascii="Arial" w:cs="Arial" w:eastAsia="Arial" w:hAnsi="Arial"/>
                <w:sz w:val="10"/>
                <w:szCs w:val="10"/>
                <w:color w:val="1F1F23"/>
              </w:rPr>
              <w:t>l</w:t>
            </w:r>
            <w:r>
              <w:rPr>
                <w:rFonts w:ascii="Arial" w:cs="Arial" w:eastAsia="Arial" w:hAnsi="Arial"/>
                <w:sz w:val="10"/>
                <w:szCs w:val="10"/>
                <w:color w:val="464446"/>
              </w:rPr>
              <w:t>a</w:t>
            </w:r>
            <w:r>
              <w:rPr>
                <w:rFonts w:ascii="Arial" w:cs="Arial" w:eastAsia="Arial" w:hAnsi="Arial"/>
                <w:sz w:val="10"/>
                <w:szCs w:val="10"/>
                <w:color w:val="1F1F23"/>
              </w:rPr>
              <w:t>ri</w:t>
            </w:r>
            <w:r>
              <w:rPr>
                <w:rFonts w:ascii="Arial" w:cs="Arial" w:eastAsia="Arial" w:hAnsi="Arial"/>
                <w:sz w:val="10"/>
                <w:szCs w:val="10"/>
                <w:color w:val="313133"/>
              </w:rPr>
              <w:t xml:space="preserve"> </w:t>
            </w:r>
            <w:r>
              <w:rPr>
                <w:rFonts w:ascii="Arial" w:cs="Arial" w:eastAsia="Arial" w:hAnsi="Arial"/>
                <w:sz w:val="10"/>
                <w:szCs w:val="10"/>
                <w:color w:val="5D5D60"/>
              </w:rPr>
              <w:t>e</w:t>
            </w:r>
            <w:r>
              <w:rPr>
                <w:rFonts w:ascii="Arial" w:cs="Arial" w:eastAsia="Arial" w:hAnsi="Arial"/>
                <w:sz w:val="10"/>
                <w:szCs w:val="10"/>
                <w:color w:val="464446"/>
              </w:rPr>
              <w:t>s Exp</w:t>
            </w:r>
          </w:p>
        </w:tc>
        <w:tc>
          <w:tcPr>
            <w:tcW w:w="120" w:type="dxa"/>
            <w:vAlign w:val="bottom"/>
          </w:tcPr>
          <w:p>
            <w:pPr>
              <w:ind w:left="60"/>
              <w:spacing w:after="0" w:line="113" w:lineRule="exact"/>
              <w:rPr>
                <w:sz w:val="20"/>
                <w:szCs w:val="20"/>
                <w:color w:val="auto"/>
              </w:rPr>
            </w:pPr>
            <w:r>
              <w:rPr>
                <w:rFonts w:ascii="Arial" w:cs="Arial" w:eastAsia="Arial" w:hAnsi="Arial"/>
                <w:sz w:val="10"/>
                <w:szCs w:val="10"/>
                <w:color w:val="464446"/>
                <w:w w:val="71"/>
              </w:rPr>
              <w:t>$</w:t>
            </w:r>
          </w:p>
        </w:tc>
        <w:tc>
          <w:tcPr>
            <w:tcW w:w="620" w:type="dxa"/>
            <w:vAlign w:val="bottom"/>
            <w:tcBorders>
              <w:right w:val="single" w:sz="8" w:color="auto"/>
            </w:tcBorders>
          </w:tcPr>
          <w:p>
            <w:pPr>
              <w:jc w:val="right"/>
              <w:ind w:right="110"/>
              <w:spacing w:after="0" w:line="113" w:lineRule="exact"/>
              <w:rPr>
                <w:sz w:val="20"/>
                <w:szCs w:val="20"/>
                <w:color w:val="auto"/>
              </w:rPr>
            </w:pPr>
            <w:r>
              <w:rPr>
                <w:rFonts w:ascii="Arial" w:cs="Arial" w:eastAsia="Arial" w:hAnsi="Arial"/>
                <w:sz w:val="10"/>
                <w:szCs w:val="10"/>
                <w:color w:val="1F1F23"/>
              </w:rPr>
              <w:t>1</w:t>
            </w:r>
            <w:r>
              <w:rPr>
                <w:rFonts w:ascii="Arial" w:cs="Arial" w:eastAsia="Arial" w:hAnsi="Arial"/>
                <w:sz w:val="10"/>
                <w:szCs w:val="10"/>
                <w:color w:val="464446"/>
              </w:rPr>
              <w:t>20</w:t>
            </w:r>
            <w:r>
              <w:rPr>
                <w:rFonts w:ascii="Arial" w:cs="Arial" w:eastAsia="Arial" w:hAnsi="Arial"/>
                <w:sz w:val="10"/>
                <w:szCs w:val="10"/>
                <w:color w:val="5D5D60"/>
              </w:rPr>
              <w:t>,</w:t>
            </w:r>
            <w:r>
              <w:rPr>
                <w:rFonts w:ascii="Arial" w:cs="Arial" w:eastAsia="Arial" w:hAnsi="Arial"/>
                <w:sz w:val="10"/>
                <w:szCs w:val="10"/>
                <w:color w:val="464446"/>
              </w:rPr>
              <w:t>000</w:t>
            </w:r>
          </w:p>
        </w:tc>
        <w:tc>
          <w:tcPr>
            <w:tcW w:w="720" w:type="dxa"/>
            <w:vAlign w:val="bottom"/>
            <w:tcBorders>
              <w:right w:val="single" w:sz="8" w:color="auto"/>
            </w:tcBorders>
          </w:tcPr>
          <w:p>
            <w:pPr>
              <w:jc w:val="right"/>
              <w:ind w:right="170"/>
              <w:spacing w:after="0" w:line="113" w:lineRule="exact"/>
              <w:rPr>
                <w:sz w:val="20"/>
                <w:szCs w:val="20"/>
                <w:color w:val="auto"/>
              </w:rPr>
            </w:pPr>
            <w:r>
              <w:rPr>
                <w:rFonts w:ascii="Arial" w:cs="Arial" w:eastAsia="Arial" w:hAnsi="Arial"/>
                <w:sz w:val="10"/>
                <w:szCs w:val="10"/>
                <w:color w:val="464446"/>
              </w:rPr>
              <w:t>50</w:t>
            </w:r>
            <w:r>
              <w:rPr>
                <w:rFonts w:ascii="Arial" w:cs="Arial" w:eastAsia="Arial" w:hAnsi="Arial"/>
                <w:sz w:val="10"/>
                <w:szCs w:val="10"/>
                <w:color w:val="5D5D60"/>
              </w:rPr>
              <w:t>%</w:t>
            </w:r>
          </w:p>
        </w:tc>
        <w:tc>
          <w:tcPr>
            <w:tcW w:w="220" w:type="dxa"/>
            <w:vAlign w:val="bottom"/>
          </w:tcPr>
          <w:p>
            <w:pPr>
              <w:ind w:left="120"/>
              <w:spacing w:after="0" w:line="113" w:lineRule="exact"/>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line="113" w:lineRule="exact"/>
              <w:rPr>
                <w:sz w:val="20"/>
                <w:szCs w:val="20"/>
                <w:color w:val="auto"/>
              </w:rPr>
            </w:pPr>
            <w:r>
              <w:rPr>
                <w:rFonts w:ascii="Arial" w:cs="Arial" w:eastAsia="Arial" w:hAnsi="Arial"/>
                <w:sz w:val="10"/>
                <w:szCs w:val="10"/>
                <w:color w:val="464446"/>
                <w:w w:val="97"/>
              </w:rPr>
              <w:t>60</w:t>
            </w:r>
            <w:r>
              <w:rPr>
                <w:rFonts w:ascii="Arial" w:cs="Arial" w:eastAsia="Arial" w:hAnsi="Arial"/>
                <w:sz w:val="10"/>
                <w:szCs w:val="10"/>
                <w:color w:val="5D5D60"/>
                <w:w w:val="97"/>
              </w:rPr>
              <w:t>,</w:t>
            </w:r>
            <w:r>
              <w:rPr>
                <w:rFonts w:ascii="Arial" w:cs="Arial" w:eastAsia="Arial" w:hAnsi="Arial"/>
                <w:sz w:val="10"/>
                <w:szCs w:val="10"/>
                <w:color w:val="464446"/>
                <w:w w:val="97"/>
              </w:rPr>
              <w:t>000</w:t>
            </w:r>
          </w:p>
        </w:tc>
        <w:tc>
          <w:tcPr>
            <w:tcW w:w="200" w:type="dxa"/>
            <w:vAlign w:val="bottom"/>
          </w:tcPr>
          <w:p>
            <w:pPr>
              <w:ind w:left="100"/>
              <w:spacing w:after="0" w:line="113" w:lineRule="exact"/>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line="113" w:lineRule="exact"/>
              <w:rPr>
                <w:sz w:val="20"/>
                <w:szCs w:val="20"/>
                <w:color w:val="auto"/>
              </w:rPr>
            </w:pPr>
            <w:r>
              <w:rPr>
                <w:rFonts w:ascii="Arial" w:cs="Arial" w:eastAsia="Arial" w:hAnsi="Arial"/>
                <w:sz w:val="10"/>
                <w:szCs w:val="10"/>
                <w:color w:val="464446"/>
              </w:rPr>
              <w:t>6</w:t>
            </w:r>
            <w:r>
              <w:rPr>
                <w:rFonts w:ascii="Arial" w:cs="Arial" w:eastAsia="Arial" w:hAnsi="Arial"/>
                <w:sz w:val="10"/>
                <w:szCs w:val="10"/>
                <w:color w:val="1F1F23"/>
              </w:rPr>
              <w:t>1</w:t>
            </w:r>
            <w:r>
              <w:rPr>
                <w:rFonts w:ascii="Arial" w:cs="Arial" w:eastAsia="Arial" w:hAnsi="Arial"/>
                <w:sz w:val="10"/>
                <w:szCs w:val="10"/>
                <w:color w:val="5D5D60"/>
              </w:rPr>
              <w:t>,</w:t>
            </w:r>
            <w:r>
              <w:rPr>
                <w:rFonts w:ascii="Arial" w:cs="Arial" w:eastAsia="Arial" w:hAnsi="Arial"/>
                <w:sz w:val="10"/>
                <w:szCs w:val="10"/>
                <w:color w:val="464446"/>
              </w:rPr>
              <w:t>800</w:t>
            </w:r>
          </w:p>
        </w:tc>
        <w:tc>
          <w:tcPr>
            <w:tcW w:w="140" w:type="dxa"/>
            <w:vAlign w:val="bottom"/>
          </w:tcPr>
          <w:p>
            <w:pPr>
              <w:ind w:left="60"/>
              <w:spacing w:after="0" w:line="113" w:lineRule="exact"/>
              <w:rPr>
                <w:sz w:val="20"/>
                <w:szCs w:val="20"/>
                <w:color w:val="auto"/>
              </w:rPr>
            </w:pPr>
            <w:r>
              <w:rPr>
                <w:rFonts w:ascii="Arial" w:cs="Arial" w:eastAsia="Arial" w:hAnsi="Arial"/>
                <w:sz w:val="10"/>
                <w:szCs w:val="10"/>
                <w:color w:val="464446"/>
              </w:rPr>
              <w:t>$</w:t>
            </w:r>
          </w:p>
        </w:tc>
        <w:tc>
          <w:tcPr>
            <w:tcW w:w="54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0"/>
                <w:szCs w:val="10"/>
                <w:color w:val="464446"/>
              </w:rPr>
              <w:t>30</w:t>
            </w:r>
            <w:r>
              <w:rPr>
                <w:rFonts w:ascii="Arial" w:cs="Arial" w:eastAsia="Arial" w:hAnsi="Arial"/>
                <w:sz w:val="10"/>
                <w:szCs w:val="10"/>
                <w:color w:val="757775"/>
              </w:rPr>
              <w:t>,</w:t>
            </w:r>
            <w:r>
              <w:rPr>
                <w:rFonts w:ascii="Arial" w:cs="Arial" w:eastAsia="Arial" w:hAnsi="Arial"/>
                <w:sz w:val="10"/>
                <w:szCs w:val="10"/>
                <w:color w:val="464446"/>
              </w:rPr>
              <w:t>000</w:t>
            </w:r>
          </w:p>
        </w:tc>
        <w:tc>
          <w:tcPr>
            <w:tcW w:w="140" w:type="dxa"/>
            <w:vAlign w:val="bottom"/>
          </w:tcPr>
          <w:p>
            <w:pPr>
              <w:ind w:left="80"/>
              <w:spacing w:after="0" w:line="113" w:lineRule="exact"/>
              <w:rPr>
                <w:sz w:val="20"/>
                <w:szCs w:val="20"/>
                <w:color w:val="auto"/>
              </w:rPr>
            </w:pPr>
            <w:r>
              <w:rPr>
                <w:rFonts w:ascii="Arial" w:cs="Arial" w:eastAsia="Arial" w:hAnsi="Arial"/>
                <w:sz w:val="10"/>
                <w:szCs w:val="10"/>
                <w:color w:val="464446"/>
                <w:w w:val="71"/>
              </w:rPr>
              <w:t>$</w:t>
            </w:r>
          </w:p>
        </w:tc>
        <w:tc>
          <w:tcPr>
            <w:tcW w:w="6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0"/>
                <w:szCs w:val="10"/>
                <w:color w:val="464446"/>
              </w:rPr>
              <w:t>30</w:t>
            </w:r>
            <w:r>
              <w:rPr>
                <w:rFonts w:ascii="Arial" w:cs="Arial" w:eastAsia="Arial" w:hAnsi="Arial"/>
                <w:sz w:val="10"/>
                <w:szCs w:val="10"/>
                <w:color w:val="757775"/>
              </w:rPr>
              <w:t>,</w:t>
            </w:r>
            <w:r>
              <w:rPr>
                <w:rFonts w:ascii="Arial" w:cs="Arial" w:eastAsia="Arial" w:hAnsi="Arial"/>
                <w:sz w:val="10"/>
                <w:szCs w:val="10"/>
                <w:color w:val="464446"/>
              </w:rPr>
              <w:t>000</w:t>
            </w:r>
          </w:p>
        </w:tc>
        <w:tc>
          <w:tcPr>
            <w:tcW w:w="66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tcPr>
          <w:p>
            <w:pPr>
              <w:ind w:left="520"/>
              <w:spacing w:after="0" w:line="113" w:lineRule="exact"/>
              <w:rPr>
                <w:sz w:val="20"/>
                <w:szCs w:val="20"/>
                <w:color w:val="auto"/>
              </w:rPr>
            </w:pPr>
            <w:r>
              <w:rPr>
                <w:rFonts w:ascii="Arial" w:cs="Arial" w:eastAsia="Arial" w:hAnsi="Arial"/>
                <w:sz w:val="10"/>
                <w:szCs w:val="10"/>
                <w:b w:val="1"/>
                <w:bCs w:val="1"/>
                <w:color w:val="464446"/>
              </w:rPr>
              <w:t>O</w:t>
            </w:r>
            <w:r>
              <w:rPr>
                <w:rFonts w:ascii="Arial" w:cs="Arial" w:eastAsia="Arial" w:hAnsi="Arial"/>
                <w:sz w:val="10"/>
                <w:szCs w:val="10"/>
                <w:b w:val="1"/>
                <w:bCs w:val="1"/>
                <w:color w:val="5D5D60"/>
              </w:rPr>
              <w:t>ne</w:t>
            </w:r>
            <w:r>
              <w:rPr>
                <w:rFonts w:ascii="Arial" w:cs="Arial" w:eastAsia="Arial" w:hAnsi="Arial"/>
                <w:sz w:val="10"/>
                <w:szCs w:val="10"/>
                <w:b w:val="1"/>
                <w:bCs w:val="1"/>
                <w:color w:val="464446"/>
              </w:rPr>
              <w:t xml:space="preserve"> Fac</w:t>
            </w:r>
            <w:r>
              <w:rPr>
                <w:rFonts w:ascii="Arial" w:cs="Arial" w:eastAsia="Arial" w:hAnsi="Arial"/>
                <w:sz w:val="10"/>
                <w:szCs w:val="10"/>
                <w:b w:val="1"/>
                <w:bCs w:val="1"/>
                <w:color w:val="1F1F23"/>
              </w:rPr>
              <w:t>il</w:t>
            </w:r>
            <w:r>
              <w:rPr>
                <w:rFonts w:ascii="Arial" w:cs="Arial" w:eastAsia="Arial" w:hAnsi="Arial"/>
                <w:sz w:val="10"/>
                <w:szCs w:val="10"/>
                <w:b w:val="1"/>
                <w:bCs w:val="1"/>
                <w:color w:val="5D5D60"/>
              </w:rPr>
              <w:t>i</w:t>
            </w:r>
            <w:r>
              <w:rPr>
                <w:rFonts w:ascii="Arial" w:cs="Arial" w:eastAsia="Arial" w:hAnsi="Arial"/>
                <w:sz w:val="10"/>
                <w:szCs w:val="10"/>
                <w:b w:val="1"/>
                <w:bCs w:val="1"/>
                <w:color w:val="464446"/>
              </w:rPr>
              <w:t>ti</w:t>
            </w:r>
            <w:r>
              <w:rPr>
                <w:rFonts w:ascii="Arial" w:cs="Arial" w:eastAsia="Arial" w:hAnsi="Arial"/>
                <w:sz w:val="10"/>
                <w:szCs w:val="10"/>
                <w:b w:val="1"/>
                <w:bCs w:val="1"/>
                <w:color w:val="5D5D60"/>
              </w:rPr>
              <w:t>e</w:t>
            </w:r>
            <w:r>
              <w:rPr>
                <w:rFonts w:ascii="Arial" w:cs="Arial" w:eastAsia="Arial" w:hAnsi="Arial"/>
                <w:sz w:val="10"/>
                <w:szCs w:val="10"/>
                <w:b w:val="1"/>
                <w:bCs w:val="1"/>
                <w:color w:val="464446"/>
              </w:rPr>
              <w:t>s T</w:t>
            </w:r>
            <w:r>
              <w:rPr>
                <w:rFonts w:ascii="Arial" w:cs="Arial" w:eastAsia="Arial" w:hAnsi="Arial"/>
                <w:sz w:val="10"/>
                <w:szCs w:val="10"/>
                <w:b w:val="1"/>
                <w:bCs w:val="1"/>
                <w:color w:val="5D5D60"/>
              </w:rPr>
              <w:t>e</w:t>
            </w:r>
            <w:r>
              <w:rPr>
                <w:rFonts w:ascii="Arial" w:cs="Arial" w:eastAsia="Arial" w:hAnsi="Arial"/>
                <w:sz w:val="10"/>
                <w:szCs w:val="10"/>
                <w:b w:val="1"/>
                <w:bCs w:val="1"/>
                <w:color w:val="464446"/>
              </w:rPr>
              <w:t>c</w:t>
            </w:r>
            <w:r>
              <w:rPr>
                <w:rFonts w:ascii="Arial" w:cs="Arial" w:eastAsia="Arial" w:hAnsi="Arial"/>
                <w:sz w:val="10"/>
                <w:szCs w:val="10"/>
                <w:b w:val="1"/>
                <w:bCs w:val="1"/>
                <w:color w:val="1F1F23"/>
              </w:rPr>
              <w:t>hni</w:t>
            </w:r>
            <w:r>
              <w:rPr>
                <w:rFonts w:ascii="Arial" w:cs="Arial" w:eastAsia="Arial" w:hAnsi="Arial"/>
                <w:sz w:val="10"/>
                <w:szCs w:val="10"/>
                <w:b w:val="1"/>
                <w:bCs w:val="1"/>
                <w:color w:val="464446"/>
              </w:rPr>
              <w:t>cia</w:t>
            </w:r>
            <w:r>
              <w:rPr>
                <w:rFonts w:ascii="Arial" w:cs="Arial" w:eastAsia="Arial" w:hAnsi="Arial"/>
                <w:sz w:val="10"/>
                <w:szCs w:val="10"/>
                <w:b w:val="1"/>
                <w:bCs w:val="1"/>
                <w:color w:val="1F1F23"/>
              </w:rPr>
              <w:t>n</w:t>
            </w:r>
            <w:r>
              <w:rPr>
                <w:rFonts w:ascii="Arial" w:cs="Arial" w:eastAsia="Arial" w:hAnsi="Arial"/>
                <w:sz w:val="10"/>
                <w:szCs w:val="10"/>
                <w:b w:val="1"/>
                <w:bCs w:val="1"/>
                <w:color w:val="464446"/>
              </w:rPr>
              <w:t xml:space="preserve"> w</w:t>
            </w:r>
            <w:r>
              <w:rPr>
                <w:rFonts w:ascii="Arial" w:cs="Arial" w:eastAsia="Arial" w:hAnsi="Arial"/>
                <w:sz w:val="10"/>
                <w:szCs w:val="10"/>
                <w:b w:val="1"/>
                <w:bCs w:val="1"/>
                <w:color w:val="5D5D60"/>
              </w:rPr>
              <w:t>h</w:t>
            </w:r>
            <w:r>
              <w:rPr>
                <w:rFonts w:ascii="Arial" w:cs="Arial" w:eastAsia="Arial" w:hAnsi="Arial"/>
                <w:sz w:val="10"/>
                <w:szCs w:val="10"/>
                <w:b w:val="1"/>
                <w:bCs w:val="1"/>
                <w:color w:val="464446"/>
              </w:rPr>
              <w:t>o w</w:t>
            </w:r>
            <w:r>
              <w:rPr>
                <w:rFonts w:ascii="Arial" w:cs="Arial" w:eastAsia="Arial" w:hAnsi="Arial"/>
                <w:sz w:val="10"/>
                <w:szCs w:val="10"/>
                <w:b w:val="1"/>
                <w:bCs w:val="1"/>
                <w:color w:val="5D5D60"/>
              </w:rPr>
              <w:t>i</w:t>
            </w:r>
            <w:r>
              <w:rPr>
                <w:rFonts w:ascii="Arial" w:cs="Arial" w:eastAsia="Arial" w:hAnsi="Arial"/>
                <w:sz w:val="10"/>
                <w:szCs w:val="10"/>
                <w:b w:val="1"/>
                <w:bCs w:val="1"/>
                <w:color w:val="1F1F23"/>
              </w:rPr>
              <w:t>ll</w:t>
            </w:r>
            <w:r>
              <w:rPr>
                <w:rFonts w:ascii="Arial" w:cs="Arial" w:eastAsia="Arial" w:hAnsi="Arial"/>
                <w:sz w:val="10"/>
                <w:szCs w:val="10"/>
                <w:b w:val="1"/>
                <w:bCs w:val="1"/>
                <w:color w:val="464446"/>
              </w:rPr>
              <w:t xml:space="preserve"> be </w:t>
            </w:r>
            <w:r>
              <w:rPr>
                <w:rFonts w:ascii="Arial" w:cs="Arial" w:eastAsia="Arial" w:hAnsi="Arial"/>
                <w:sz w:val="10"/>
                <w:szCs w:val="10"/>
                <w:b w:val="1"/>
                <w:bCs w:val="1"/>
                <w:color w:val="5D5D60"/>
              </w:rPr>
              <w:t>a</w:t>
            </w:r>
            <w:r>
              <w:rPr>
                <w:rFonts w:ascii="Arial" w:cs="Arial" w:eastAsia="Arial" w:hAnsi="Arial"/>
                <w:sz w:val="10"/>
                <w:szCs w:val="10"/>
                <w:b w:val="1"/>
                <w:bCs w:val="1"/>
                <w:color w:val="464446"/>
              </w:rPr>
              <w:t>v</w:t>
            </w:r>
            <w:r>
              <w:rPr>
                <w:rFonts w:ascii="Arial" w:cs="Arial" w:eastAsia="Arial" w:hAnsi="Arial"/>
                <w:sz w:val="10"/>
                <w:szCs w:val="10"/>
                <w:b w:val="1"/>
                <w:bCs w:val="1"/>
                <w:color w:val="5D5D60"/>
              </w:rPr>
              <w:t>ai</w:t>
            </w:r>
            <w:r>
              <w:rPr>
                <w:rFonts w:ascii="Arial" w:cs="Arial" w:eastAsia="Arial" w:hAnsi="Arial"/>
                <w:sz w:val="10"/>
                <w:szCs w:val="10"/>
                <w:b w:val="1"/>
                <w:bCs w:val="1"/>
                <w:color w:val="1F1F23"/>
              </w:rPr>
              <w:t>l</w:t>
            </w:r>
            <w:r>
              <w:rPr>
                <w:rFonts w:ascii="Arial" w:cs="Arial" w:eastAsia="Arial" w:hAnsi="Arial"/>
                <w:sz w:val="10"/>
                <w:szCs w:val="10"/>
                <w:b w:val="1"/>
                <w:bCs w:val="1"/>
                <w:color w:val="464446"/>
              </w:rPr>
              <w:t>ab</w:t>
            </w:r>
            <w:r>
              <w:rPr>
                <w:rFonts w:ascii="Arial" w:cs="Arial" w:eastAsia="Arial" w:hAnsi="Arial"/>
                <w:sz w:val="10"/>
                <w:szCs w:val="10"/>
                <w:b w:val="1"/>
                <w:bCs w:val="1"/>
                <w:color w:val="1F1F23"/>
              </w:rPr>
              <w:t>l</w:t>
            </w:r>
            <w:r>
              <w:rPr>
                <w:rFonts w:ascii="Arial" w:cs="Arial" w:eastAsia="Arial" w:hAnsi="Arial"/>
                <w:sz w:val="10"/>
                <w:szCs w:val="10"/>
                <w:b w:val="1"/>
                <w:bCs w:val="1"/>
                <w:color w:val="5D5D60"/>
              </w:rPr>
              <w:t>e</w:t>
            </w:r>
            <w:r>
              <w:rPr>
                <w:rFonts w:ascii="Arial" w:cs="Arial" w:eastAsia="Arial" w:hAnsi="Arial"/>
                <w:sz w:val="10"/>
                <w:szCs w:val="10"/>
                <w:b w:val="1"/>
                <w:bCs w:val="1"/>
                <w:color w:val="464446"/>
              </w:rPr>
              <w:t xml:space="preserve"> </w:t>
            </w:r>
            <w:r>
              <w:rPr>
                <w:rFonts w:ascii="Arial" w:cs="Arial" w:eastAsia="Arial" w:hAnsi="Arial"/>
                <w:sz w:val="10"/>
                <w:szCs w:val="10"/>
                <w:b w:val="1"/>
                <w:bCs w:val="1"/>
                <w:color w:val="313133"/>
              </w:rPr>
              <w:t>dur</w:t>
            </w:r>
            <w:r>
              <w:rPr>
                <w:rFonts w:ascii="Arial" w:cs="Arial" w:eastAsia="Arial" w:hAnsi="Arial"/>
                <w:sz w:val="10"/>
                <w:szCs w:val="10"/>
                <w:b w:val="1"/>
                <w:bCs w:val="1"/>
                <w:color w:val="5D5D60"/>
              </w:rPr>
              <w:t>i</w:t>
            </w:r>
            <w:r>
              <w:rPr>
                <w:rFonts w:ascii="Arial" w:cs="Arial" w:eastAsia="Arial" w:hAnsi="Arial"/>
                <w:sz w:val="10"/>
                <w:szCs w:val="10"/>
                <w:b w:val="1"/>
                <w:bCs w:val="1"/>
                <w:color w:val="1F1F23"/>
              </w:rPr>
              <w:t>n</w:t>
            </w:r>
            <w:r>
              <w:rPr>
                <w:rFonts w:ascii="Arial" w:cs="Arial" w:eastAsia="Arial" w:hAnsi="Arial"/>
                <w:sz w:val="10"/>
                <w:szCs w:val="10"/>
                <w:b w:val="1"/>
                <w:bCs w:val="1"/>
                <w:color w:val="464446"/>
              </w:rPr>
              <w:t>g o</w:t>
            </w:r>
            <w:r>
              <w:rPr>
                <w:rFonts w:ascii="Arial" w:cs="Arial" w:eastAsia="Arial" w:hAnsi="Arial"/>
                <w:sz w:val="10"/>
                <w:szCs w:val="10"/>
                <w:b w:val="1"/>
                <w:bCs w:val="1"/>
                <w:color w:val="5D5D60"/>
              </w:rPr>
              <w:t>ffi</w:t>
            </w:r>
            <w:r>
              <w:rPr>
                <w:rFonts w:ascii="Arial" w:cs="Arial" w:eastAsia="Arial" w:hAnsi="Arial"/>
                <w:sz w:val="10"/>
                <w:szCs w:val="10"/>
                <w:b w:val="1"/>
                <w:bCs w:val="1"/>
                <w:color w:val="464446"/>
              </w:rPr>
              <w:t xml:space="preserve">ce </w:t>
            </w:r>
            <w:r>
              <w:rPr>
                <w:rFonts w:ascii="Arial" w:cs="Arial" w:eastAsia="Arial" w:hAnsi="Arial"/>
                <w:sz w:val="10"/>
                <w:szCs w:val="10"/>
                <w:b w:val="1"/>
                <w:bCs w:val="1"/>
                <w:color w:val="1F1F23"/>
              </w:rPr>
              <w:t>h</w:t>
            </w:r>
            <w:r>
              <w:rPr>
                <w:rFonts w:ascii="Arial" w:cs="Arial" w:eastAsia="Arial" w:hAnsi="Arial"/>
                <w:sz w:val="10"/>
                <w:szCs w:val="10"/>
                <w:b w:val="1"/>
                <w:bCs w:val="1"/>
                <w:color w:val="464446"/>
              </w:rPr>
              <w:t>o</w:t>
            </w:r>
            <w:r>
              <w:rPr>
                <w:rFonts w:ascii="Arial" w:cs="Arial" w:eastAsia="Arial" w:hAnsi="Arial"/>
                <w:sz w:val="10"/>
                <w:szCs w:val="10"/>
                <w:b w:val="1"/>
                <w:bCs w:val="1"/>
                <w:color w:val="1F1F23"/>
              </w:rPr>
              <w:t>ur</w:t>
            </w:r>
            <w:r>
              <w:rPr>
                <w:rFonts w:ascii="Arial" w:cs="Arial" w:eastAsia="Arial" w:hAnsi="Arial"/>
                <w:sz w:val="10"/>
                <w:szCs w:val="10"/>
                <w:b w:val="1"/>
                <w:bCs w:val="1"/>
                <w:color w:val="464446"/>
              </w:rPr>
              <w:t xml:space="preserve">s </w:t>
            </w:r>
            <w:r>
              <w:rPr>
                <w:rFonts w:ascii="Arial" w:cs="Arial" w:eastAsia="Arial" w:hAnsi="Arial"/>
                <w:sz w:val="10"/>
                <w:szCs w:val="10"/>
                <w:b w:val="1"/>
                <w:bCs w:val="1"/>
                <w:color w:val="1F1F23"/>
              </w:rPr>
              <w:t>t</w:t>
            </w:r>
            <w:r>
              <w:rPr>
                <w:rFonts w:ascii="Arial" w:cs="Arial" w:eastAsia="Arial" w:hAnsi="Arial"/>
                <w:sz w:val="10"/>
                <w:szCs w:val="10"/>
                <w:b w:val="1"/>
                <w:bCs w:val="1"/>
                <w:color w:val="464446"/>
              </w:rPr>
              <w:t>o</w:t>
            </w:r>
          </w:p>
        </w:tc>
        <w:tc>
          <w:tcPr>
            <w:tcW w:w="0" w:type="dxa"/>
            <w:vAlign w:val="bottom"/>
          </w:tcPr>
          <w:p>
            <w:pPr>
              <w:spacing w:after="0"/>
              <w:rPr>
                <w:sz w:val="1"/>
                <w:szCs w:val="1"/>
                <w:color w:val="auto"/>
              </w:rPr>
            </w:pPr>
          </w:p>
        </w:tc>
      </w:tr>
      <w:tr>
        <w:trPr>
          <w:trHeight w:val="125"/>
        </w:trPr>
        <w:tc>
          <w:tcPr>
            <w:tcW w:w="14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0"/>
                <w:szCs w:val="10"/>
                <w:b w:val="1"/>
                <w:bCs w:val="1"/>
                <w:color w:val="464446"/>
              </w:rPr>
              <w:t>ma</w:t>
            </w:r>
            <w:r>
              <w:rPr>
                <w:rFonts w:ascii="Arial" w:cs="Arial" w:eastAsia="Arial" w:hAnsi="Arial"/>
                <w:sz w:val="10"/>
                <w:szCs w:val="10"/>
                <w:b w:val="1"/>
                <w:bCs w:val="1"/>
                <w:color w:val="1F1F23"/>
              </w:rPr>
              <w:t>n</w:t>
            </w:r>
            <w:r>
              <w:rPr>
                <w:rFonts w:ascii="Arial" w:cs="Arial" w:eastAsia="Arial" w:hAnsi="Arial"/>
                <w:sz w:val="10"/>
                <w:szCs w:val="10"/>
                <w:b w:val="1"/>
                <w:bCs w:val="1"/>
                <w:color w:val="464446"/>
              </w:rPr>
              <w:t>age a</w:t>
            </w:r>
            <w:r>
              <w:rPr>
                <w:rFonts w:ascii="Arial" w:cs="Arial" w:eastAsia="Arial" w:hAnsi="Arial"/>
                <w:sz w:val="10"/>
                <w:szCs w:val="10"/>
                <w:b w:val="1"/>
                <w:bCs w:val="1"/>
                <w:color w:val="5D5D60"/>
              </w:rPr>
              <w:t>n</w:t>
            </w:r>
            <w:r>
              <w:rPr>
                <w:rFonts w:ascii="Arial" w:cs="Arial" w:eastAsia="Arial" w:hAnsi="Arial"/>
                <w:sz w:val="10"/>
                <w:szCs w:val="10"/>
                <w:b w:val="1"/>
                <w:bCs w:val="1"/>
                <w:color w:val="464446"/>
              </w:rPr>
              <w:t xml:space="preserve">y </w:t>
            </w:r>
            <w:r>
              <w:rPr>
                <w:rFonts w:ascii="Arial" w:cs="Arial" w:eastAsia="Arial" w:hAnsi="Arial"/>
                <w:sz w:val="10"/>
                <w:szCs w:val="10"/>
                <w:b w:val="1"/>
                <w:bCs w:val="1"/>
                <w:color w:val="1F1F23"/>
              </w:rPr>
              <w:t>i</w:t>
            </w:r>
            <w:r>
              <w:rPr>
                <w:rFonts w:ascii="Arial" w:cs="Arial" w:eastAsia="Arial" w:hAnsi="Arial"/>
                <w:sz w:val="10"/>
                <w:szCs w:val="10"/>
                <w:b w:val="1"/>
                <w:bCs w:val="1"/>
                <w:color w:val="464446"/>
              </w:rPr>
              <w:t>ss</w:t>
            </w:r>
            <w:r>
              <w:rPr>
                <w:rFonts w:ascii="Arial" w:cs="Arial" w:eastAsia="Arial" w:hAnsi="Arial"/>
                <w:sz w:val="10"/>
                <w:szCs w:val="10"/>
                <w:b w:val="1"/>
                <w:bCs w:val="1"/>
                <w:color w:val="1F1F23"/>
              </w:rPr>
              <w:t>u</w:t>
            </w:r>
            <w:r>
              <w:rPr>
                <w:rFonts w:ascii="Arial" w:cs="Arial" w:eastAsia="Arial" w:hAnsi="Arial"/>
                <w:sz w:val="10"/>
                <w:szCs w:val="10"/>
                <w:b w:val="1"/>
                <w:bCs w:val="1"/>
                <w:color w:val="464446"/>
              </w:rPr>
              <w:t>es o</w:t>
            </w:r>
            <w:r>
              <w:rPr>
                <w:rFonts w:ascii="Arial" w:cs="Arial" w:eastAsia="Arial" w:hAnsi="Arial"/>
                <w:sz w:val="10"/>
                <w:szCs w:val="10"/>
                <w:b w:val="1"/>
                <w:bCs w:val="1"/>
                <w:color w:val="1F1F23"/>
              </w:rPr>
              <w:t>n</w:t>
            </w:r>
            <w:r>
              <w:rPr>
                <w:rFonts w:ascii="Arial" w:cs="Arial" w:eastAsia="Arial" w:hAnsi="Arial"/>
                <w:sz w:val="10"/>
                <w:szCs w:val="10"/>
                <w:b w:val="1"/>
                <w:bCs w:val="1"/>
                <w:color w:val="464446"/>
              </w:rPr>
              <w:t xml:space="preserve"> s</w:t>
            </w:r>
            <w:r>
              <w:rPr>
                <w:rFonts w:ascii="Arial" w:cs="Arial" w:eastAsia="Arial" w:hAnsi="Arial"/>
                <w:sz w:val="10"/>
                <w:szCs w:val="10"/>
                <w:b w:val="1"/>
                <w:bCs w:val="1"/>
                <w:color w:val="1F1F23"/>
              </w:rPr>
              <w:t>i</w:t>
            </w:r>
            <w:r>
              <w:rPr>
                <w:rFonts w:ascii="Arial" w:cs="Arial" w:eastAsia="Arial" w:hAnsi="Arial"/>
                <w:sz w:val="10"/>
                <w:szCs w:val="10"/>
                <w:b w:val="1"/>
                <w:bCs w:val="1"/>
                <w:color w:val="5D5D60"/>
              </w:rPr>
              <w:t>t</w:t>
            </w:r>
            <w:r>
              <w:rPr>
                <w:rFonts w:ascii="Arial" w:cs="Arial" w:eastAsia="Arial" w:hAnsi="Arial"/>
                <w:sz w:val="10"/>
                <w:szCs w:val="10"/>
                <w:b w:val="1"/>
                <w:bCs w:val="1"/>
                <w:color w:val="464446"/>
              </w:rPr>
              <w:t>e</w:t>
            </w:r>
          </w:p>
        </w:tc>
        <w:tc>
          <w:tcPr>
            <w:tcW w:w="0" w:type="dxa"/>
            <w:vAlign w:val="bottom"/>
          </w:tcPr>
          <w:p>
            <w:pPr>
              <w:spacing w:after="0"/>
              <w:rPr>
                <w:sz w:val="1"/>
                <w:szCs w:val="1"/>
                <w:color w:val="auto"/>
              </w:rPr>
            </w:pPr>
          </w:p>
        </w:tc>
      </w:tr>
      <w:tr>
        <w:trPr>
          <w:trHeight w:val="139"/>
        </w:trPr>
        <w:tc>
          <w:tcPr>
            <w:tcW w:w="140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40" w:type="dxa"/>
            <w:vAlign w:val="bottom"/>
          </w:tcPr>
          <w:p>
            <w:pPr>
              <w:spacing w:after="0" w:line="139" w:lineRule="exact"/>
              <w:rPr>
                <w:sz w:val="20"/>
                <w:szCs w:val="20"/>
                <w:color w:val="auto"/>
              </w:rPr>
            </w:pPr>
            <w:r>
              <w:rPr>
                <w:rFonts w:ascii="Arial" w:cs="Arial" w:eastAsia="Arial" w:hAnsi="Arial"/>
                <w:sz w:val="16"/>
                <w:szCs w:val="16"/>
                <w:b w:val="1"/>
                <w:bCs w:val="1"/>
                <w:color w:val="464446"/>
              </w:rPr>
              <w:t>s</w:t>
            </w:r>
          </w:p>
        </w:tc>
        <w:tc>
          <w:tcPr>
            <w:tcW w:w="540" w:type="dxa"/>
            <w:vAlign w:val="bottom"/>
            <w:tcBorders>
              <w:right w:val="single" w:sz="8" w:color="auto"/>
            </w:tcBorders>
          </w:tcPr>
          <w:p>
            <w:pPr>
              <w:spacing w:after="0"/>
              <w:rPr>
                <w:sz w:val="12"/>
                <w:szCs w:val="12"/>
                <w:color w:val="auto"/>
              </w:rPr>
            </w:pPr>
          </w:p>
        </w:tc>
        <w:tc>
          <w:tcPr>
            <w:tcW w:w="140" w:type="dxa"/>
            <w:vAlign w:val="bottom"/>
          </w:tcPr>
          <w:p>
            <w:pPr>
              <w:ind w:left="60"/>
              <w:spacing w:after="0" w:line="140" w:lineRule="exact"/>
              <w:rPr>
                <w:sz w:val="20"/>
                <w:szCs w:val="20"/>
                <w:color w:val="auto"/>
              </w:rPr>
            </w:pPr>
            <w:r>
              <w:rPr>
                <w:rFonts w:ascii="Arial" w:cs="Arial" w:eastAsia="Arial" w:hAnsi="Arial"/>
                <w:sz w:val="15"/>
                <w:szCs w:val="15"/>
                <w:b w:val="1"/>
                <w:bCs w:val="1"/>
                <w:color w:val="464446"/>
                <w:w w:val="71"/>
              </w:rPr>
              <w:t>s</w:t>
            </w: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464446"/>
              </w:rPr>
              <w:t>Miscella</w:t>
            </w:r>
            <w:r>
              <w:rPr>
                <w:rFonts w:ascii="Arial" w:cs="Arial" w:eastAsia="Arial" w:hAnsi="Arial"/>
                <w:sz w:val="10"/>
                <w:szCs w:val="10"/>
                <w:color w:val="1F1F23"/>
              </w:rPr>
              <w:t>n</w:t>
            </w:r>
            <w:r>
              <w:rPr>
                <w:rFonts w:ascii="Arial" w:cs="Arial" w:eastAsia="Arial" w:hAnsi="Arial"/>
                <w:sz w:val="10"/>
                <w:szCs w:val="10"/>
                <w:color w:val="464446"/>
              </w:rPr>
              <w:t>eo</w:t>
            </w:r>
            <w:r>
              <w:rPr>
                <w:rFonts w:ascii="Arial" w:cs="Arial" w:eastAsia="Arial" w:hAnsi="Arial"/>
                <w:sz w:val="10"/>
                <w:szCs w:val="10"/>
                <w:color w:val="1F1F23"/>
              </w:rPr>
              <w:t>u</w:t>
            </w:r>
            <w:r>
              <w:rPr>
                <w:rFonts w:ascii="Arial" w:cs="Arial" w:eastAsia="Arial" w:hAnsi="Arial"/>
                <w:sz w:val="10"/>
                <w:szCs w:val="10"/>
                <w:color w:val="464446"/>
              </w:rPr>
              <w:t>s Office B</w:t>
            </w:r>
            <w:r>
              <w:rPr>
                <w:rFonts w:ascii="Arial" w:cs="Arial" w:eastAsia="Arial" w:hAnsi="Arial"/>
                <w:sz w:val="10"/>
                <w:szCs w:val="10"/>
                <w:color w:val="1F1F23"/>
              </w:rPr>
              <w:t>uil</w:t>
            </w:r>
            <w:r>
              <w:rPr>
                <w:rFonts w:ascii="Arial" w:cs="Arial" w:eastAsia="Arial" w:hAnsi="Arial"/>
                <w:sz w:val="10"/>
                <w:szCs w:val="10"/>
                <w:color w:val="5D5D60"/>
              </w:rPr>
              <w:t>d</w:t>
            </w:r>
            <w:r>
              <w:rPr>
                <w:rFonts w:ascii="Arial" w:cs="Arial" w:eastAsia="Arial" w:hAnsi="Arial"/>
                <w:sz w:val="10"/>
                <w:szCs w:val="10"/>
                <w:color w:val="757775"/>
              </w:rPr>
              <w:t>i</w:t>
            </w:r>
            <w:r>
              <w:rPr>
                <w:rFonts w:ascii="Arial" w:cs="Arial" w:eastAsia="Arial" w:hAnsi="Arial"/>
                <w:sz w:val="10"/>
                <w:szCs w:val="10"/>
                <w:color w:val="5D5D60"/>
              </w:rPr>
              <w:t>n</w:t>
            </w:r>
            <w:r>
              <w:rPr>
                <w:rFonts w:ascii="Arial" w:cs="Arial" w:eastAsia="Arial" w:hAnsi="Arial"/>
                <w:sz w:val="10"/>
                <w:szCs w:val="10"/>
                <w:color w:val="464446"/>
              </w:rPr>
              <w:t>g (o</w:t>
            </w:r>
            <w:r>
              <w:rPr>
                <w:rFonts w:ascii="Arial" w:cs="Arial" w:eastAsia="Arial" w:hAnsi="Arial"/>
                <w:sz w:val="10"/>
                <w:szCs w:val="10"/>
                <w:color w:val="1F1F23"/>
              </w:rPr>
              <w:t>nl</w:t>
            </w:r>
            <w:r>
              <w:rPr>
                <w:rFonts w:ascii="Arial" w:cs="Arial" w:eastAsia="Arial" w:hAnsi="Arial"/>
                <w:sz w:val="10"/>
                <w:szCs w:val="10"/>
                <w:color w:val="464446"/>
              </w:rPr>
              <w:t>y</w:t>
            </w:r>
            <w:r>
              <w:rPr>
                <w:rFonts w:ascii="Arial" w:cs="Arial" w:eastAsia="Arial" w:hAnsi="Arial"/>
                <w:sz w:val="10"/>
                <w:szCs w:val="10"/>
                <w:color w:val="5D5D60"/>
              </w:rPr>
              <w:t>)</w:t>
            </w:r>
            <w:r>
              <w:rPr>
                <w:rFonts w:ascii="Arial" w:cs="Arial" w:eastAsia="Arial" w:hAnsi="Arial"/>
                <w:sz w:val="10"/>
                <w:szCs w:val="10"/>
                <w:color w:val="464446"/>
              </w:rPr>
              <w:t xml:space="preserve"> ma</w:t>
            </w:r>
            <w:r>
              <w:rPr>
                <w:rFonts w:ascii="Arial" w:cs="Arial" w:eastAsia="Arial" w:hAnsi="Arial"/>
                <w:sz w:val="10"/>
                <w:szCs w:val="10"/>
                <w:color w:val="757775"/>
              </w:rPr>
              <w:t>i</w:t>
            </w:r>
            <w:r>
              <w:rPr>
                <w:rFonts w:ascii="Arial" w:cs="Arial" w:eastAsia="Arial" w:hAnsi="Arial"/>
                <w:sz w:val="10"/>
                <w:szCs w:val="10"/>
                <w:color w:val="5D5D60"/>
              </w:rPr>
              <w:t>nt</w:t>
            </w:r>
            <w:r>
              <w:rPr>
                <w:rFonts w:ascii="Arial" w:cs="Arial" w:eastAsia="Arial" w:hAnsi="Arial"/>
                <w:sz w:val="10"/>
                <w:szCs w:val="10"/>
                <w:color w:val="464446"/>
              </w:rPr>
              <w:t>e</w:t>
            </w:r>
            <w:r>
              <w:rPr>
                <w:rFonts w:ascii="Arial" w:cs="Arial" w:eastAsia="Arial" w:hAnsi="Arial"/>
                <w:sz w:val="10"/>
                <w:szCs w:val="10"/>
                <w:color w:val="1F1F23"/>
              </w:rPr>
              <w:t>n</w:t>
            </w:r>
            <w:r>
              <w:rPr>
                <w:rFonts w:ascii="Arial" w:cs="Arial" w:eastAsia="Arial" w:hAnsi="Arial"/>
                <w:sz w:val="10"/>
                <w:szCs w:val="10"/>
                <w:color w:val="464446"/>
              </w:rPr>
              <w:t>a</w:t>
            </w:r>
            <w:r>
              <w:rPr>
                <w:rFonts w:ascii="Arial" w:cs="Arial" w:eastAsia="Arial" w:hAnsi="Arial"/>
                <w:sz w:val="10"/>
                <w:szCs w:val="10"/>
                <w:color w:val="1F1F23"/>
              </w:rPr>
              <w:t>n</w:t>
            </w:r>
            <w:r>
              <w:rPr>
                <w:rFonts w:ascii="Arial" w:cs="Arial" w:eastAsia="Arial" w:hAnsi="Arial"/>
                <w:sz w:val="10"/>
                <w:szCs w:val="10"/>
                <w:color w:val="464446"/>
              </w:rPr>
              <w:t>ce expe</w:t>
            </w:r>
            <w:r>
              <w:rPr>
                <w:rFonts w:ascii="Arial" w:cs="Arial" w:eastAsia="Arial" w:hAnsi="Arial"/>
                <w:sz w:val="10"/>
                <w:szCs w:val="10"/>
                <w:color w:val="5D5D60"/>
              </w:rPr>
              <w:t>n</w:t>
            </w:r>
            <w:r>
              <w:rPr>
                <w:rFonts w:ascii="Arial" w:cs="Arial" w:eastAsia="Arial" w:hAnsi="Arial"/>
                <w:sz w:val="10"/>
                <w:szCs w:val="10"/>
                <w:color w:val="464446"/>
              </w:rPr>
              <w:t>ses</w:t>
            </w:r>
            <w:r>
              <w:rPr>
                <w:rFonts w:ascii="Arial" w:cs="Arial" w:eastAsia="Arial" w:hAnsi="Arial"/>
                <w:sz w:val="10"/>
                <w:szCs w:val="10"/>
                <w:color w:val="5D5D60"/>
              </w:rPr>
              <w:t>, i</w:t>
            </w:r>
            <w:r>
              <w:rPr>
                <w:rFonts w:ascii="Arial" w:cs="Arial" w:eastAsia="Arial" w:hAnsi="Arial"/>
                <w:sz w:val="10"/>
                <w:szCs w:val="10"/>
                <w:color w:val="1F1F23"/>
              </w:rPr>
              <w:t>n</w:t>
            </w:r>
            <w:r>
              <w:rPr>
                <w:rFonts w:ascii="Arial" w:cs="Arial" w:eastAsia="Arial" w:hAnsi="Arial"/>
                <w:sz w:val="10"/>
                <w:szCs w:val="10"/>
                <w:color w:val="5D5D60"/>
              </w:rPr>
              <w:t>clu</w:t>
            </w:r>
            <w:r>
              <w:rPr>
                <w:rFonts w:ascii="Arial" w:cs="Arial" w:eastAsia="Arial" w:hAnsi="Arial"/>
                <w:sz w:val="10"/>
                <w:szCs w:val="10"/>
                <w:color w:val="464446"/>
              </w:rPr>
              <w:t>s</w:t>
            </w:r>
            <w:r>
              <w:rPr>
                <w:rFonts w:ascii="Arial" w:cs="Arial" w:eastAsia="Arial" w:hAnsi="Arial"/>
                <w:sz w:val="10"/>
                <w:szCs w:val="10"/>
                <w:color w:val="5D5D60"/>
              </w:rPr>
              <w:t>iv</w:t>
            </w:r>
            <w:r>
              <w:rPr>
                <w:rFonts w:ascii="Arial" w:cs="Arial" w:eastAsia="Arial" w:hAnsi="Arial"/>
                <w:sz w:val="10"/>
                <w:szCs w:val="10"/>
                <w:color w:val="464446"/>
              </w:rPr>
              <w:t>e o</w:t>
            </w:r>
            <w:r>
              <w:rPr>
                <w:rFonts w:ascii="Arial" w:cs="Arial" w:eastAsia="Arial" w:hAnsi="Arial"/>
                <w:sz w:val="10"/>
                <w:szCs w:val="10"/>
                <w:color w:val="5D5D60"/>
              </w:rPr>
              <w:t>f</w:t>
            </w:r>
            <w:r>
              <w:rPr>
                <w:rFonts w:ascii="Arial" w:cs="Arial" w:eastAsia="Arial" w:hAnsi="Arial"/>
                <w:sz w:val="10"/>
                <w:szCs w:val="10"/>
                <w:color w:val="464446"/>
              </w:rPr>
              <w:t xml:space="preserve"> costs </w:t>
            </w:r>
            <w:r>
              <w:rPr>
                <w:rFonts w:ascii="Arial" w:cs="Arial" w:eastAsia="Arial" w:hAnsi="Arial"/>
                <w:sz w:val="10"/>
                <w:szCs w:val="10"/>
                <w:color w:val="1F1F23"/>
              </w:rPr>
              <w:t>r</w:t>
            </w:r>
            <w:r>
              <w:rPr>
                <w:rFonts w:ascii="Arial" w:cs="Arial" w:eastAsia="Arial" w:hAnsi="Arial"/>
                <w:sz w:val="10"/>
                <w:szCs w:val="10"/>
                <w:color w:val="464446"/>
              </w:rPr>
              <w:t>e</w:t>
            </w:r>
            <w:r>
              <w:rPr>
                <w:rFonts w:ascii="Arial" w:cs="Arial" w:eastAsia="Arial" w:hAnsi="Arial"/>
                <w:sz w:val="10"/>
                <w:szCs w:val="10"/>
                <w:color w:val="1F1F23"/>
              </w:rPr>
              <w:t>l</w:t>
            </w:r>
            <w:r>
              <w:rPr>
                <w:rFonts w:ascii="Arial" w:cs="Arial" w:eastAsia="Arial" w:hAnsi="Arial"/>
                <w:sz w:val="10"/>
                <w:szCs w:val="10"/>
                <w:color w:val="464446"/>
              </w:rPr>
              <w:t>a</w:t>
            </w:r>
            <w:r>
              <w:rPr>
                <w:rFonts w:ascii="Arial" w:cs="Arial" w:eastAsia="Arial" w:hAnsi="Arial"/>
                <w:sz w:val="10"/>
                <w:szCs w:val="10"/>
                <w:color w:val="1F1F23"/>
              </w:rPr>
              <w:t>t</w:t>
            </w:r>
            <w:r>
              <w:rPr>
                <w:rFonts w:ascii="Arial" w:cs="Arial" w:eastAsia="Arial" w:hAnsi="Arial"/>
                <w:sz w:val="10"/>
                <w:szCs w:val="10"/>
                <w:color w:val="464446"/>
              </w:rPr>
              <w:t>e</w:t>
            </w:r>
            <w:r>
              <w:rPr>
                <w:rFonts w:ascii="Arial" w:cs="Arial" w:eastAsia="Arial" w:hAnsi="Arial"/>
                <w:sz w:val="10"/>
                <w:szCs w:val="10"/>
                <w:color w:val="5D5D60"/>
              </w:rPr>
              <w:t>d</w:t>
            </w:r>
            <w:r>
              <w:rPr>
                <w:rFonts w:ascii="Arial" w:cs="Arial" w:eastAsia="Arial" w:hAnsi="Arial"/>
                <w:sz w:val="10"/>
                <w:szCs w:val="10"/>
                <w:color w:val="464446"/>
              </w:rPr>
              <w:t xml:space="preserve"> </w:t>
            </w:r>
            <w:r>
              <w:rPr>
                <w:rFonts w:ascii="Arial" w:cs="Arial" w:eastAsia="Arial" w:hAnsi="Arial"/>
                <w:sz w:val="10"/>
                <w:szCs w:val="10"/>
                <w:color w:val="1F1F23"/>
              </w:rPr>
              <w:t>t</w:t>
            </w:r>
            <w:r>
              <w:rPr>
                <w:rFonts w:ascii="Arial" w:cs="Arial" w:eastAsia="Arial" w:hAnsi="Arial"/>
                <w:sz w:val="10"/>
                <w:szCs w:val="10"/>
                <w:color w:val="464446"/>
              </w:rPr>
              <w:t>o</w:t>
            </w:r>
          </w:p>
        </w:tc>
        <w:tc>
          <w:tcPr>
            <w:tcW w:w="0" w:type="dxa"/>
            <w:vAlign w:val="bottom"/>
          </w:tcPr>
          <w:p>
            <w:pPr>
              <w:spacing w:after="0"/>
              <w:rPr>
                <w:sz w:val="1"/>
                <w:szCs w:val="1"/>
                <w:color w:val="auto"/>
              </w:rPr>
            </w:pPr>
          </w:p>
        </w:tc>
      </w:tr>
      <w:tr>
        <w:trPr>
          <w:trHeight w:val="100"/>
        </w:trPr>
        <w:tc>
          <w:tcPr>
            <w:tcW w:w="1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color w:val="464446"/>
              </w:rPr>
              <w:t>Office B</w:t>
            </w:r>
            <w:r>
              <w:rPr>
                <w:rFonts w:ascii="Arial" w:cs="Arial" w:eastAsia="Arial" w:hAnsi="Arial"/>
                <w:sz w:val="10"/>
                <w:szCs w:val="10"/>
                <w:color w:val="010101"/>
              </w:rPr>
              <w:t>l</w:t>
            </w:r>
            <w:r>
              <w:rPr>
                <w:rFonts w:ascii="Arial" w:cs="Arial" w:eastAsia="Arial" w:hAnsi="Arial"/>
                <w:sz w:val="10"/>
                <w:szCs w:val="10"/>
                <w:color w:val="313133"/>
              </w:rPr>
              <w:t>dg Maintenanc</w:t>
            </w:r>
            <w:r>
              <w:rPr>
                <w:rFonts w:ascii="Arial" w:cs="Arial" w:eastAsia="Arial" w:hAnsi="Arial"/>
                <w:sz w:val="10"/>
                <w:szCs w:val="10"/>
                <w:color w:val="5D5D60"/>
              </w:rPr>
              <w:t>e</w:t>
            </w:r>
          </w:p>
        </w:tc>
        <w:tc>
          <w:tcPr>
            <w:tcW w:w="12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220" w:type="dxa"/>
            <w:vAlign w:val="bottom"/>
            <w:vMerge w:val="restart"/>
          </w:tcPr>
          <w:p>
            <w:pPr>
              <w:ind w:left="10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0"/>
                <w:szCs w:val="10"/>
                <w:color w:val="1F1F23"/>
                <w:w w:val="99"/>
              </w:rPr>
              <w:t>1</w:t>
            </w:r>
            <w:r>
              <w:rPr>
                <w:rFonts w:ascii="Arial" w:cs="Arial" w:eastAsia="Arial" w:hAnsi="Arial"/>
                <w:sz w:val="10"/>
                <w:szCs w:val="10"/>
                <w:color w:val="464446"/>
                <w:w w:val="99"/>
              </w:rPr>
              <w:t>00</w:t>
            </w:r>
            <w:r>
              <w:rPr>
                <w:rFonts w:ascii="Arial" w:cs="Arial" w:eastAsia="Arial" w:hAnsi="Arial"/>
                <w:sz w:val="10"/>
                <w:szCs w:val="10"/>
                <w:color w:val="5D5D60"/>
                <w:w w:val="99"/>
              </w:rPr>
              <w:t>,</w:t>
            </w:r>
            <w:r>
              <w:rPr>
                <w:rFonts w:ascii="Arial" w:cs="Arial" w:eastAsia="Arial" w:hAnsi="Arial"/>
                <w:sz w:val="10"/>
                <w:szCs w:val="10"/>
                <w:color w:val="464446"/>
                <w:w w:val="99"/>
              </w:rPr>
              <w:t>000</w:t>
            </w:r>
          </w:p>
        </w:tc>
        <w:tc>
          <w:tcPr>
            <w:tcW w:w="200" w:type="dxa"/>
            <w:vAlign w:val="bottom"/>
            <w:vMerge w:val="restart"/>
          </w:tcPr>
          <w:p>
            <w:pPr>
              <w:ind w:left="8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0"/>
                <w:szCs w:val="10"/>
                <w:color w:val="313133"/>
                <w:w w:val="99"/>
              </w:rPr>
              <w:t>10</w:t>
            </w:r>
            <w:r>
              <w:rPr>
                <w:rFonts w:ascii="Arial" w:cs="Arial" w:eastAsia="Arial" w:hAnsi="Arial"/>
                <w:sz w:val="10"/>
                <w:szCs w:val="10"/>
                <w:color w:val="5D5D60"/>
                <w:w w:val="99"/>
              </w:rPr>
              <w:t>3,</w:t>
            </w:r>
            <w:r>
              <w:rPr>
                <w:rFonts w:ascii="Arial" w:cs="Arial" w:eastAsia="Arial" w:hAnsi="Arial"/>
                <w:sz w:val="10"/>
                <w:szCs w:val="10"/>
                <w:color w:val="464446"/>
                <w:w w:val="99"/>
              </w:rPr>
              <w:t>000</w:t>
            </w:r>
          </w:p>
        </w:tc>
        <w:tc>
          <w:tcPr>
            <w:tcW w:w="140" w:type="dxa"/>
            <w:vAlign w:val="bottom"/>
          </w:tcPr>
          <w:p>
            <w:pPr>
              <w:spacing w:after="0"/>
              <w:rPr>
                <w:sz w:val="8"/>
                <w:szCs w:val="8"/>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color w:val="464446"/>
              </w:rPr>
              <w:t>50</w:t>
            </w:r>
            <w:r>
              <w:rPr>
                <w:rFonts w:ascii="Arial" w:cs="Arial" w:eastAsia="Arial" w:hAnsi="Arial"/>
                <w:sz w:val="10"/>
                <w:szCs w:val="10"/>
                <w:color w:val="5D5D60"/>
              </w:rPr>
              <w:t>,</w:t>
            </w:r>
            <w:r>
              <w:rPr>
                <w:rFonts w:ascii="Arial" w:cs="Arial" w:eastAsia="Arial" w:hAnsi="Arial"/>
                <w:sz w:val="10"/>
                <w:szCs w:val="10"/>
                <w:color w:val="464446"/>
              </w:rPr>
              <w:t>000</w:t>
            </w:r>
          </w:p>
        </w:tc>
        <w:tc>
          <w:tcPr>
            <w:tcW w:w="140" w:type="dxa"/>
            <w:vAlign w:val="bottom"/>
          </w:tcPr>
          <w:p>
            <w:pPr>
              <w:spacing w:after="0"/>
              <w:rPr>
                <w:sz w:val="8"/>
                <w:szCs w:val="8"/>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color w:val="464446"/>
              </w:rPr>
              <w:t>50</w:t>
            </w:r>
            <w:r>
              <w:rPr>
                <w:rFonts w:ascii="Arial" w:cs="Arial" w:eastAsia="Arial" w:hAnsi="Arial"/>
                <w:sz w:val="10"/>
                <w:szCs w:val="10"/>
                <w:color w:val="757775"/>
              </w:rPr>
              <w:t>,</w:t>
            </w:r>
            <w:r>
              <w:rPr>
                <w:rFonts w:ascii="Arial" w:cs="Arial" w:eastAsia="Arial" w:hAnsi="Arial"/>
                <w:sz w:val="10"/>
                <w:szCs w:val="10"/>
                <w:color w:val="464446"/>
              </w:rPr>
              <w:t>000</w:t>
            </w:r>
          </w:p>
        </w:tc>
        <w:tc>
          <w:tcPr>
            <w:tcW w:w="66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464446"/>
                <w:w w:val="99"/>
              </w:rPr>
              <w:t>s</w:t>
            </w:r>
            <w:r>
              <w:rPr>
                <w:rFonts w:ascii="Arial" w:cs="Arial" w:eastAsia="Arial" w:hAnsi="Arial"/>
                <w:sz w:val="10"/>
                <w:szCs w:val="10"/>
                <w:color w:val="5D5D60"/>
                <w:w w:val="99"/>
              </w:rPr>
              <w:t>a</w:t>
            </w:r>
            <w:r>
              <w:rPr>
                <w:rFonts w:ascii="Arial" w:cs="Arial" w:eastAsia="Arial" w:hAnsi="Arial"/>
                <w:sz w:val="10"/>
                <w:szCs w:val="10"/>
                <w:color w:val="464446"/>
                <w:w w:val="99"/>
              </w:rPr>
              <w:t>fe</w:t>
            </w:r>
            <w:r>
              <w:rPr>
                <w:rFonts w:ascii="Arial" w:cs="Arial" w:eastAsia="Arial" w:hAnsi="Arial"/>
                <w:sz w:val="10"/>
                <w:szCs w:val="10"/>
                <w:color w:val="1F1F23"/>
                <w:w w:val="99"/>
              </w:rPr>
              <w:t>t</w:t>
            </w:r>
            <w:r>
              <w:rPr>
                <w:rFonts w:ascii="Arial" w:cs="Arial" w:eastAsia="Arial" w:hAnsi="Arial"/>
                <w:sz w:val="10"/>
                <w:szCs w:val="10"/>
                <w:color w:val="464446"/>
                <w:w w:val="99"/>
              </w:rPr>
              <w:t xml:space="preserve">y </w:t>
            </w:r>
            <w:r>
              <w:rPr>
                <w:rFonts w:ascii="Arial" w:cs="Arial" w:eastAsia="Arial" w:hAnsi="Arial"/>
                <w:sz w:val="10"/>
                <w:szCs w:val="10"/>
                <w:color w:val="1F1F23"/>
                <w:w w:val="99"/>
              </w:rPr>
              <w:t>r</w:t>
            </w:r>
            <w:r>
              <w:rPr>
                <w:rFonts w:ascii="Arial" w:cs="Arial" w:eastAsia="Arial" w:hAnsi="Arial"/>
                <w:sz w:val="10"/>
                <w:szCs w:val="10"/>
                <w:color w:val="464446"/>
                <w:w w:val="99"/>
              </w:rPr>
              <w:t>e</w:t>
            </w:r>
            <w:r>
              <w:rPr>
                <w:rFonts w:ascii="Arial" w:cs="Arial" w:eastAsia="Arial" w:hAnsi="Arial"/>
                <w:sz w:val="10"/>
                <w:szCs w:val="10"/>
                <w:color w:val="5D5D60"/>
                <w:w w:val="99"/>
              </w:rPr>
              <w:t>qui</w:t>
            </w:r>
            <w:r>
              <w:rPr>
                <w:rFonts w:ascii="Arial" w:cs="Arial" w:eastAsia="Arial" w:hAnsi="Arial"/>
                <w:sz w:val="10"/>
                <w:szCs w:val="10"/>
                <w:color w:val="1F1F23"/>
                <w:w w:val="99"/>
              </w:rPr>
              <w:t>r</w:t>
            </w:r>
            <w:r>
              <w:rPr>
                <w:rFonts w:ascii="Arial" w:cs="Arial" w:eastAsia="Arial" w:hAnsi="Arial"/>
                <w:sz w:val="10"/>
                <w:szCs w:val="10"/>
                <w:color w:val="464446"/>
                <w:w w:val="99"/>
              </w:rPr>
              <w:t>eme</w:t>
            </w:r>
            <w:r>
              <w:rPr>
                <w:rFonts w:ascii="Arial" w:cs="Arial" w:eastAsia="Arial" w:hAnsi="Arial"/>
                <w:sz w:val="10"/>
                <w:szCs w:val="10"/>
                <w:color w:val="1F1F23"/>
                <w:w w:val="99"/>
              </w:rPr>
              <w:t>nt</w:t>
            </w:r>
            <w:r>
              <w:rPr>
                <w:rFonts w:ascii="Arial" w:cs="Arial" w:eastAsia="Arial" w:hAnsi="Arial"/>
                <w:sz w:val="10"/>
                <w:szCs w:val="10"/>
                <w:color w:val="464446"/>
                <w:w w:val="99"/>
              </w:rPr>
              <w:t>s</w:t>
            </w:r>
            <w:r>
              <w:rPr>
                <w:rFonts w:ascii="Arial" w:cs="Arial" w:eastAsia="Arial" w:hAnsi="Arial"/>
                <w:sz w:val="10"/>
                <w:szCs w:val="10"/>
                <w:color w:val="5D5D60"/>
                <w:w w:val="99"/>
              </w:rPr>
              <w:t>,</w:t>
            </w:r>
          </w:p>
        </w:tc>
        <w:tc>
          <w:tcPr>
            <w:tcW w:w="0" w:type="dxa"/>
            <w:vAlign w:val="bottom"/>
          </w:tcPr>
          <w:p>
            <w:pPr>
              <w:spacing w:after="0"/>
              <w:rPr>
                <w:sz w:val="1"/>
                <w:szCs w:val="1"/>
                <w:color w:val="auto"/>
              </w:rPr>
            </w:pPr>
          </w:p>
        </w:tc>
      </w:tr>
      <w:tr>
        <w:trPr>
          <w:trHeight w:val="102"/>
        </w:trPr>
        <w:tc>
          <w:tcPr>
            <w:tcW w:w="140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5D5D60"/>
              </w:rPr>
              <w:t>i</w:t>
            </w:r>
            <w:r>
              <w:rPr>
                <w:rFonts w:ascii="Arial" w:cs="Arial" w:eastAsia="Arial" w:hAnsi="Arial"/>
                <w:sz w:val="10"/>
                <w:szCs w:val="10"/>
                <w:b w:val="1"/>
                <w:bCs w:val="1"/>
                <w:color w:val="1F1F23"/>
              </w:rPr>
              <w:t>n</w:t>
            </w:r>
            <w:r>
              <w:rPr>
                <w:rFonts w:ascii="Arial" w:cs="Arial" w:eastAsia="Arial" w:hAnsi="Arial"/>
                <w:sz w:val="10"/>
                <w:szCs w:val="10"/>
                <w:b w:val="1"/>
                <w:bCs w:val="1"/>
                <w:color w:val="464446"/>
              </w:rPr>
              <w:t>soectio</w:t>
            </w:r>
            <w:r>
              <w:rPr>
                <w:rFonts w:ascii="Arial" w:cs="Arial" w:eastAsia="Arial" w:hAnsi="Arial"/>
                <w:sz w:val="10"/>
                <w:szCs w:val="10"/>
                <w:b w:val="1"/>
                <w:bCs w:val="1"/>
                <w:color w:val="5D5D60"/>
              </w:rPr>
              <w:t>n</w:t>
            </w:r>
            <w:r>
              <w:rPr>
                <w:rFonts w:ascii="Arial" w:cs="Arial" w:eastAsia="Arial" w:hAnsi="Arial"/>
                <w:sz w:val="10"/>
                <w:szCs w:val="10"/>
                <w:b w:val="1"/>
                <w:bCs w:val="1"/>
                <w:color w:val="464446"/>
              </w:rPr>
              <w:t>s</w:t>
            </w:r>
            <w:r>
              <w:rPr>
                <w:rFonts w:ascii="Arial" w:cs="Arial" w:eastAsia="Arial" w:hAnsi="Arial"/>
                <w:sz w:val="10"/>
                <w:szCs w:val="10"/>
                <w:b w:val="1"/>
                <w:bCs w:val="1"/>
                <w:color w:val="5D5D60"/>
              </w:rPr>
              <w:t xml:space="preserve"> an</w:t>
            </w:r>
            <w:r>
              <w:rPr>
                <w:rFonts w:ascii="Arial" w:cs="Arial" w:eastAsia="Arial" w:hAnsi="Arial"/>
                <w:sz w:val="10"/>
                <w:szCs w:val="10"/>
                <w:b w:val="1"/>
                <w:bCs w:val="1"/>
                <w:color w:val="464446"/>
              </w:rPr>
              <w:t>d</w:t>
            </w:r>
            <w:r>
              <w:rPr>
                <w:rFonts w:ascii="Arial" w:cs="Arial" w:eastAsia="Arial" w:hAnsi="Arial"/>
                <w:sz w:val="10"/>
                <w:szCs w:val="10"/>
                <w:b w:val="1"/>
                <w:bCs w:val="1"/>
                <w:color w:val="5D5D60"/>
              </w:rPr>
              <w:t xml:space="preserve"> </w:t>
            </w:r>
            <w:r>
              <w:rPr>
                <w:rFonts w:ascii="Arial" w:cs="Arial" w:eastAsia="Arial" w:hAnsi="Arial"/>
                <w:sz w:val="10"/>
                <w:szCs w:val="10"/>
                <w:b w:val="1"/>
                <w:bCs w:val="1"/>
                <w:color w:val="313133"/>
              </w:rPr>
              <w:t>oermil</w:t>
            </w:r>
            <w:r>
              <w:rPr>
                <w:rFonts w:ascii="Arial" w:cs="Arial" w:eastAsia="Arial" w:hAnsi="Arial"/>
                <w:sz w:val="10"/>
                <w:szCs w:val="10"/>
                <w:b w:val="1"/>
                <w:bCs w:val="1"/>
                <w:color w:val="5D5D60"/>
              </w:rPr>
              <w:t xml:space="preserve"> s</w:t>
            </w:r>
          </w:p>
        </w:tc>
        <w:tc>
          <w:tcPr>
            <w:tcW w:w="0" w:type="dxa"/>
            <w:vAlign w:val="bottom"/>
          </w:tcPr>
          <w:p>
            <w:pPr>
              <w:spacing w:after="0"/>
              <w:rPr>
                <w:sz w:val="1"/>
                <w:szCs w:val="1"/>
                <w:color w:val="auto"/>
              </w:rPr>
            </w:pPr>
          </w:p>
        </w:tc>
      </w:tr>
      <w:tr>
        <w:trPr>
          <w:trHeight w:val="100"/>
        </w:trPr>
        <w:tc>
          <w:tcPr>
            <w:tcW w:w="1400" w:type="dxa"/>
            <w:vAlign w:val="bottom"/>
            <w:tcBorders>
              <w:left w:val="single" w:sz="8" w:color="auto"/>
              <w:bottom w:val="single" w:sz="8" w:color="auto"/>
              <w:right w:val="single" w:sz="8" w:color="auto"/>
            </w:tcBorders>
          </w:tcPr>
          <w:p>
            <w:pPr>
              <w:ind w:left="60"/>
              <w:spacing w:after="0" w:line="100" w:lineRule="exact"/>
              <w:rPr>
                <w:sz w:val="20"/>
                <w:szCs w:val="20"/>
                <w:color w:val="auto"/>
              </w:rPr>
            </w:pPr>
            <w:r>
              <w:rPr>
                <w:rFonts w:ascii="Arial" w:cs="Arial" w:eastAsia="Arial" w:hAnsi="Arial"/>
                <w:sz w:val="10"/>
                <w:szCs w:val="10"/>
                <w:color w:val="5D5D60"/>
              </w:rPr>
              <w:t>E</w:t>
            </w:r>
            <w:r>
              <w:rPr>
                <w:rFonts w:ascii="Arial" w:cs="Arial" w:eastAsia="Arial" w:hAnsi="Arial"/>
                <w:sz w:val="10"/>
                <w:szCs w:val="10"/>
                <w:color w:val="464446"/>
              </w:rPr>
              <w:t>xp</w:t>
            </w:r>
            <w:r>
              <w:rPr>
                <w:rFonts w:ascii="Arial" w:cs="Arial" w:eastAsia="Arial" w:hAnsi="Arial"/>
                <w:sz w:val="10"/>
                <w:szCs w:val="10"/>
                <w:color w:val="5D5D60"/>
              </w:rPr>
              <w:t>e</w:t>
            </w:r>
            <w:r>
              <w:rPr>
                <w:rFonts w:ascii="Arial" w:cs="Arial" w:eastAsia="Arial" w:hAnsi="Arial"/>
                <w:sz w:val="10"/>
                <w:szCs w:val="10"/>
                <w:color w:val="464446"/>
              </w:rPr>
              <w:t>ns</w:t>
            </w:r>
            <w:r>
              <w:rPr>
                <w:rFonts w:ascii="Arial" w:cs="Arial" w:eastAsia="Arial" w:hAnsi="Arial"/>
                <w:sz w:val="10"/>
                <w:szCs w:val="10"/>
                <w:color w:val="5D5D60"/>
              </w:rPr>
              <w:t>e</w:t>
            </w: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1F1F23"/>
              </w:rPr>
              <w:t>ln</w:t>
            </w:r>
            <w:r>
              <w:rPr>
                <w:rFonts w:ascii="Arial" w:cs="Arial" w:eastAsia="Arial" w:hAnsi="Arial"/>
                <w:sz w:val="10"/>
                <w:szCs w:val="10"/>
                <w:b w:val="1"/>
                <w:bCs w:val="1"/>
                <w:color w:val="5D5D60"/>
              </w:rPr>
              <w:t>.s</w:t>
            </w:r>
            <w:r>
              <w:rPr>
                <w:rFonts w:ascii="Arial" w:cs="Arial" w:eastAsia="Arial" w:hAnsi="Arial"/>
                <w:sz w:val="10"/>
                <w:szCs w:val="10"/>
                <w:b w:val="1"/>
                <w:bCs w:val="1"/>
                <w:color w:val="464446"/>
              </w:rPr>
              <w:t>uranc</w:t>
            </w:r>
            <w:r>
              <w:rPr>
                <w:rFonts w:ascii="Arial" w:cs="Arial" w:eastAsia="Arial" w:hAnsi="Arial"/>
                <w:sz w:val="10"/>
                <w:szCs w:val="10"/>
                <w:b w:val="1"/>
                <w:bCs w:val="1"/>
                <w:color w:val="5D5D60"/>
              </w:rPr>
              <w:t>e</w:t>
            </w: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1F1F23"/>
              </w:rPr>
              <w:t>1</w:t>
            </w:r>
            <w:r>
              <w:rPr>
                <w:rFonts w:ascii="Arial" w:cs="Arial" w:eastAsia="Arial" w:hAnsi="Arial"/>
                <w:sz w:val="10"/>
                <w:szCs w:val="10"/>
                <w:color w:val="464446"/>
              </w:rPr>
              <w:t>20</w:t>
            </w:r>
            <w:r>
              <w:rPr>
                <w:rFonts w:ascii="Arial" w:cs="Arial" w:eastAsia="Arial" w:hAnsi="Arial"/>
                <w:sz w:val="10"/>
                <w:szCs w:val="10"/>
                <w:color w:val="5D5D60"/>
              </w:rPr>
              <w:t>,</w:t>
            </w:r>
            <w:r>
              <w:rPr>
                <w:rFonts w:ascii="Arial" w:cs="Arial" w:eastAsia="Arial" w:hAnsi="Arial"/>
                <w:sz w:val="10"/>
                <w:szCs w:val="10"/>
                <w:color w:val="464446"/>
              </w:rPr>
              <w:t>000</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464446"/>
              </w:rPr>
              <w:t>20</w:t>
            </w:r>
            <w:r>
              <w:rPr>
                <w:rFonts w:ascii="Arial" w:cs="Arial" w:eastAsia="Arial" w:hAnsi="Arial"/>
                <w:sz w:val="10"/>
                <w:szCs w:val="10"/>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w w:val="97"/>
              </w:rPr>
              <w:t>2</w:t>
            </w:r>
            <w:r>
              <w:rPr>
                <w:rFonts w:ascii="Arial" w:cs="Arial" w:eastAsia="Arial" w:hAnsi="Arial"/>
                <w:sz w:val="10"/>
                <w:szCs w:val="10"/>
                <w:color w:val="5D5D60"/>
                <w:w w:val="97"/>
              </w:rPr>
              <w:t>4,</w:t>
            </w:r>
            <w:r>
              <w:rPr>
                <w:rFonts w:ascii="Arial" w:cs="Arial" w:eastAsia="Arial" w:hAnsi="Arial"/>
                <w:sz w:val="10"/>
                <w:szCs w:val="10"/>
                <w:color w:val="464446"/>
                <w:w w:val="97"/>
              </w:rPr>
              <w:t>000</w:t>
            </w:r>
          </w:p>
        </w:tc>
        <w:tc>
          <w:tcPr>
            <w:tcW w:w="200" w:type="dxa"/>
            <w:vAlign w:val="bottom"/>
          </w:tcPr>
          <w:p>
            <w:pPr>
              <w:ind w:left="10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rPr>
              <w:t>24</w:t>
            </w:r>
            <w:r>
              <w:rPr>
                <w:rFonts w:ascii="Arial" w:cs="Arial" w:eastAsia="Arial" w:hAnsi="Arial"/>
                <w:sz w:val="10"/>
                <w:szCs w:val="10"/>
                <w:color w:val="5D5D60"/>
              </w:rPr>
              <w:t>,</w:t>
            </w:r>
            <w:r>
              <w:rPr>
                <w:rFonts w:ascii="Arial" w:cs="Arial" w:eastAsia="Arial" w:hAnsi="Arial"/>
                <w:sz w:val="10"/>
                <w:szCs w:val="10"/>
                <w:color w:val="464446"/>
              </w:rPr>
              <w:t>720</w:t>
            </w:r>
          </w:p>
        </w:tc>
        <w:tc>
          <w:tcPr>
            <w:tcW w:w="140" w:type="dxa"/>
            <w:vAlign w:val="bottom"/>
            <w:vMerge w:val="restart"/>
          </w:tcPr>
          <w:p>
            <w:pPr>
              <w:spacing w:after="0"/>
              <w:rPr>
                <w:sz w:val="20"/>
                <w:szCs w:val="20"/>
                <w:color w:val="auto"/>
              </w:rPr>
            </w:pPr>
            <w:r>
              <w:rPr>
                <w:rFonts w:ascii="Arial" w:cs="Arial" w:eastAsia="Arial" w:hAnsi="Arial"/>
                <w:sz w:val="16"/>
                <w:szCs w:val="16"/>
                <w:b w:val="1"/>
                <w:bCs w:val="1"/>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2</w:t>
            </w:r>
            <w:r>
              <w:rPr>
                <w:rFonts w:ascii="Arial" w:cs="Arial" w:eastAsia="Arial" w:hAnsi="Arial"/>
                <w:sz w:val="10"/>
                <w:szCs w:val="10"/>
                <w:color w:val="5D5D60"/>
              </w:rPr>
              <w:t>,</w:t>
            </w:r>
            <w:r>
              <w:rPr>
                <w:rFonts w:ascii="Arial" w:cs="Arial" w:eastAsia="Arial" w:hAnsi="Arial"/>
                <w:sz w:val="10"/>
                <w:szCs w:val="10"/>
                <w:color w:val="464446"/>
              </w:rPr>
              <w:t>000</w:t>
            </w:r>
          </w:p>
        </w:tc>
        <w:tc>
          <w:tcPr>
            <w:tcW w:w="140" w:type="dxa"/>
            <w:vAlign w:val="bottom"/>
            <w:vMerge w:val="restart"/>
          </w:tcPr>
          <w:p>
            <w:pPr>
              <w:ind w:left="60"/>
              <w:spacing w:after="0"/>
              <w:rPr>
                <w:sz w:val="20"/>
                <w:szCs w:val="20"/>
                <w:color w:val="auto"/>
              </w:rPr>
            </w:pPr>
            <w:r>
              <w:rPr>
                <w:rFonts w:ascii="Arial" w:cs="Arial" w:eastAsia="Arial" w:hAnsi="Arial"/>
                <w:sz w:val="15"/>
                <w:szCs w:val="15"/>
                <w:b w:val="1"/>
                <w:bCs w:val="1"/>
                <w:color w:val="464446"/>
                <w:w w:val="71"/>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757775"/>
              </w:rPr>
              <w:t>1</w:t>
            </w:r>
            <w:r>
              <w:rPr>
                <w:rFonts w:ascii="Arial" w:cs="Arial" w:eastAsia="Arial" w:hAnsi="Arial"/>
                <w:sz w:val="10"/>
                <w:szCs w:val="10"/>
                <w:color w:val="464446"/>
              </w:rPr>
              <w:t>2</w:t>
            </w:r>
            <w:r>
              <w:rPr>
                <w:rFonts w:ascii="Arial" w:cs="Arial" w:eastAsia="Arial" w:hAnsi="Arial"/>
                <w:sz w:val="10"/>
                <w:szCs w:val="10"/>
                <w:color w:val="5D5D60"/>
              </w:rPr>
              <w:t>,</w:t>
            </w:r>
            <w:r>
              <w:rPr>
                <w:rFonts w:ascii="Arial" w:cs="Arial" w:eastAsia="Arial" w:hAnsi="Arial"/>
                <w:sz w:val="10"/>
                <w:szCs w:val="10"/>
                <w:color w:val="464446"/>
              </w:rPr>
              <w:t>000</w:t>
            </w:r>
          </w:p>
        </w:tc>
        <w:tc>
          <w:tcPr>
            <w:tcW w:w="66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ind w:left="1040"/>
              <w:spacing w:after="0"/>
              <w:rPr>
                <w:sz w:val="20"/>
                <w:szCs w:val="20"/>
                <w:color w:val="auto"/>
              </w:rPr>
            </w:pPr>
            <w:r>
              <w:rPr>
                <w:rFonts w:ascii="Arial" w:cs="Arial" w:eastAsia="Arial" w:hAnsi="Arial"/>
                <w:sz w:val="10"/>
                <w:szCs w:val="10"/>
                <w:color w:val="313133"/>
              </w:rPr>
              <w:t>Ins</w:t>
            </w:r>
            <w:r>
              <w:rPr>
                <w:rFonts w:ascii="Arial" w:cs="Arial" w:eastAsia="Arial" w:hAnsi="Arial"/>
                <w:sz w:val="10"/>
                <w:szCs w:val="10"/>
                <w:color w:val="5D5D60"/>
              </w:rPr>
              <w:t>u</w:t>
            </w:r>
            <w:r>
              <w:rPr>
                <w:rFonts w:ascii="Arial" w:cs="Arial" w:eastAsia="Arial" w:hAnsi="Arial"/>
                <w:sz w:val="10"/>
                <w:szCs w:val="10"/>
                <w:color w:val="464446"/>
              </w:rPr>
              <w:t>ra</w:t>
            </w:r>
            <w:r>
              <w:rPr>
                <w:rFonts w:ascii="Arial" w:cs="Arial" w:eastAsia="Arial" w:hAnsi="Arial"/>
                <w:sz w:val="10"/>
                <w:szCs w:val="10"/>
                <w:color w:val="1F1F23"/>
              </w:rPr>
              <w:t>n</w:t>
            </w:r>
            <w:r>
              <w:rPr>
                <w:rFonts w:ascii="Arial" w:cs="Arial" w:eastAsia="Arial" w:hAnsi="Arial"/>
                <w:sz w:val="10"/>
                <w:szCs w:val="10"/>
                <w:color w:val="464446"/>
              </w:rPr>
              <w:t>ce cove</w:t>
            </w:r>
            <w:r>
              <w:rPr>
                <w:rFonts w:ascii="Arial" w:cs="Arial" w:eastAsia="Arial" w:hAnsi="Arial"/>
                <w:sz w:val="10"/>
                <w:szCs w:val="10"/>
                <w:color w:val="313133"/>
              </w:rPr>
              <w:t xml:space="preserve"> </w:t>
            </w:r>
            <w:r>
              <w:rPr>
                <w:rFonts w:ascii="Arial" w:cs="Arial" w:eastAsia="Arial" w:hAnsi="Arial"/>
                <w:sz w:val="10"/>
                <w:szCs w:val="10"/>
                <w:color w:val="1F1F23"/>
              </w:rPr>
              <w:t>r</w:t>
            </w:r>
            <w:r>
              <w:rPr>
                <w:rFonts w:ascii="Arial" w:cs="Arial" w:eastAsia="Arial" w:hAnsi="Arial"/>
                <w:sz w:val="10"/>
                <w:szCs w:val="10"/>
                <w:color w:val="464446"/>
              </w:rPr>
              <w:t>s t</w:t>
            </w:r>
            <w:r>
              <w:rPr>
                <w:rFonts w:ascii="Arial" w:cs="Arial" w:eastAsia="Arial" w:hAnsi="Arial"/>
                <w:sz w:val="10"/>
                <w:szCs w:val="10"/>
                <w:color w:val="1F1F23"/>
              </w:rPr>
              <w:t>h</w:t>
            </w:r>
            <w:r>
              <w:rPr>
                <w:rFonts w:ascii="Arial" w:cs="Arial" w:eastAsia="Arial" w:hAnsi="Arial"/>
                <w:sz w:val="10"/>
                <w:szCs w:val="10"/>
                <w:color w:val="464446"/>
              </w:rPr>
              <w:t>e va</w:t>
            </w:r>
            <w:r>
              <w:rPr>
                <w:rFonts w:ascii="Arial" w:cs="Arial" w:eastAsia="Arial" w:hAnsi="Arial"/>
                <w:sz w:val="10"/>
                <w:szCs w:val="10"/>
                <w:color w:val="1F1F23"/>
              </w:rPr>
              <w:t>lu</w:t>
            </w:r>
            <w:r>
              <w:rPr>
                <w:rFonts w:ascii="Arial" w:cs="Arial" w:eastAsia="Arial" w:hAnsi="Arial"/>
                <w:sz w:val="10"/>
                <w:szCs w:val="10"/>
                <w:color w:val="464446"/>
              </w:rPr>
              <w:t>e of o</w:t>
            </w:r>
            <w:r>
              <w:rPr>
                <w:rFonts w:ascii="Arial" w:cs="Arial" w:eastAsia="Arial" w:hAnsi="Arial"/>
                <w:sz w:val="10"/>
                <w:szCs w:val="10"/>
                <w:color w:val="5D5D60"/>
              </w:rPr>
              <w:t>ur</w:t>
            </w:r>
            <w:r>
              <w:rPr>
                <w:rFonts w:ascii="Arial" w:cs="Arial" w:eastAsia="Arial" w:hAnsi="Arial"/>
                <w:sz w:val="10"/>
                <w:szCs w:val="10"/>
                <w:color w:val="313133"/>
              </w:rPr>
              <w:t xml:space="preserve"> Inve</w:t>
            </w:r>
            <w:r>
              <w:rPr>
                <w:rFonts w:ascii="Arial" w:cs="Arial" w:eastAsia="Arial" w:hAnsi="Arial"/>
                <w:sz w:val="10"/>
                <w:szCs w:val="10"/>
                <w:color w:val="5D5D60"/>
              </w:rPr>
              <w:t>nt</w:t>
            </w:r>
            <w:r>
              <w:rPr>
                <w:rFonts w:ascii="Arial" w:cs="Arial" w:eastAsia="Arial" w:hAnsi="Arial"/>
                <w:sz w:val="10"/>
                <w:szCs w:val="10"/>
                <w:color w:val="464446"/>
              </w:rPr>
              <w:t>ory</w:t>
            </w:r>
            <w:r>
              <w:rPr>
                <w:rFonts w:ascii="Arial" w:cs="Arial" w:eastAsia="Arial" w:hAnsi="Arial"/>
                <w:sz w:val="10"/>
                <w:szCs w:val="10"/>
                <w:color w:val="313133"/>
              </w:rPr>
              <w:t xml:space="preserve"> </w:t>
            </w:r>
            <w:r>
              <w:rPr>
                <w:rFonts w:ascii="Arial" w:cs="Arial" w:eastAsia="Arial" w:hAnsi="Arial"/>
                <w:sz w:val="10"/>
                <w:szCs w:val="10"/>
                <w:color w:val="1F1F23"/>
              </w:rPr>
              <w:t>h</w:t>
            </w:r>
            <w:r>
              <w:rPr>
                <w:rFonts w:ascii="Arial" w:cs="Arial" w:eastAsia="Arial" w:hAnsi="Arial"/>
                <w:sz w:val="10"/>
                <w:szCs w:val="10"/>
                <w:color w:val="464446"/>
              </w:rPr>
              <w:t>e</w:t>
            </w:r>
            <w:r>
              <w:rPr>
                <w:rFonts w:ascii="Arial" w:cs="Arial" w:eastAsia="Arial" w:hAnsi="Arial"/>
                <w:sz w:val="10"/>
                <w:szCs w:val="10"/>
                <w:color w:val="1F1F23"/>
              </w:rPr>
              <w:t>ld</w:t>
            </w:r>
            <w:r>
              <w:rPr>
                <w:rFonts w:ascii="Arial" w:cs="Arial" w:eastAsia="Arial" w:hAnsi="Arial"/>
                <w:sz w:val="10"/>
                <w:szCs w:val="10"/>
                <w:color w:val="313133"/>
              </w:rPr>
              <w:t xml:space="preserve"> </w:t>
            </w:r>
            <w:r>
              <w:rPr>
                <w:rFonts w:ascii="Arial" w:cs="Arial" w:eastAsia="Arial" w:hAnsi="Arial"/>
                <w:sz w:val="10"/>
                <w:szCs w:val="10"/>
                <w:color w:val="464446"/>
              </w:rPr>
              <w:t>o</w:t>
            </w:r>
            <w:r>
              <w:rPr>
                <w:rFonts w:ascii="Arial" w:cs="Arial" w:eastAsia="Arial" w:hAnsi="Arial"/>
                <w:sz w:val="10"/>
                <w:szCs w:val="10"/>
                <w:color w:val="1F1F23"/>
              </w:rPr>
              <w:t>n</w:t>
            </w:r>
            <w:r>
              <w:rPr>
                <w:rFonts w:ascii="Arial" w:cs="Arial" w:eastAsia="Arial" w:hAnsi="Arial"/>
                <w:sz w:val="10"/>
                <w:szCs w:val="10"/>
                <w:color w:val="313133"/>
              </w:rPr>
              <w:t xml:space="preserve"> </w:t>
            </w:r>
            <w:r>
              <w:rPr>
                <w:rFonts w:ascii="Arial" w:cs="Arial" w:eastAsia="Arial" w:hAnsi="Arial"/>
                <w:sz w:val="10"/>
                <w:szCs w:val="10"/>
                <w:color w:val="464446"/>
              </w:rPr>
              <w:t>si</w:t>
            </w:r>
            <w:r>
              <w:rPr>
                <w:rFonts w:ascii="Arial" w:cs="Arial" w:eastAsia="Arial" w:hAnsi="Arial"/>
                <w:sz w:val="10"/>
                <w:szCs w:val="10"/>
                <w:color w:val="5D5D60"/>
              </w:rPr>
              <w:t>t</w:t>
            </w:r>
            <w:r>
              <w:rPr>
                <w:rFonts w:ascii="Arial" w:cs="Arial" w:eastAsia="Arial" w:hAnsi="Arial"/>
                <w:sz w:val="10"/>
                <w:szCs w:val="10"/>
                <w:color w:val="464446"/>
              </w:rPr>
              <w:t>e</w:t>
            </w:r>
            <w:r>
              <w:rPr>
                <w:rFonts w:ascii="Arial" w:cs="Arial" w:eastAsia="Arial" w:hAnsi="Arial"/>
                <w:sz w:val="10"/>
                <w:szCs w:val="10"/>
                <w:color w:val="313133"/>
              </w:rPr>
              <w:t xml:space="preserve"> </w:t>
            </w:r>
            <w:r>
              <w:rPr>
                <w:rFonts w:ascii="Arial" w:cs="Arial" w:eastAsia="Arial" w:hAnsi="Arial"/>
                <w:sz w:val="10"/>
                <w:szCs w:val="10"/>
                <w:color w:val="5D5D60"/>
              </w:rPr>
              <w:t>plu</w:t>
            </w:r>
            <w:r>
              <w:rPr>
                <w:rFonts w:ascii="Arial" w:cs="Arial" w:eastAsia="Arial" w:hAnsi="Arial"/>
                <w:sz w:val="10"/>
                <w:szCs w:val="10"/>
                <w:color w:val="464446"/>
              </w:rPr>
              <w:t>s</w:t>
            </w:r>
            <w:r>
              <w:rPr>
                <w:rFonts w:ascii="Arial" w:cs="Arial" w:eastAsia="Arial" w:hAnsi="Arial"/>
                <w:sz w:val="10"/>
                <w:szCs w:val="10"/>
                <w:color w:val="313133"/>
              </w:rPr>
              <w:t xml:space="preserve"> </w:t>
            </w:r>
            <w:r>
              <w:rPr>
                <w:rFonts w:ascii="Arial" w:cs="Arial" w:eastAsia="Arial" w:hAnsi="Arial"/>
                <w:sz w:val="10"/>
                <w:szCs w:val="10"/>
                <w:color w:val="5D5D60"/>
              </w:rPr>
              <w:t>t</w:t>
            </w:r>
            <w:r>
              <w:rPr>
                <w:rFonts w:ascii="Arial" w:cs="Arial" w:eastAsia="Arial" w:hAnsi="Arial"/>
                <w:sz w:val="10"/>
                <w:szCs w:val="10"/>
                <w:color w:val="1F1F23"/>
              </w:rPr>
              <w:t>h</w:t>
            </w:r>
            <w:r>
              <w:rPr>
                <w:rFonts w:ascii="Arial" w:cs="Arial" w:eastAsia="Arial" w:hAnsi="Arial"/>
                <w:sz w:val="10"/>
                <w:szCs w:val="10"/>
                <w:color w:val="464446"/>
              </w:rPr>
              <w:t>e</w:t>
            </w:r>
          </w:p>
        </w:tc>
        <w:tc>
          <w:tcPr>
            <w:tcW w:w="0" w:type="dxa"/>
            <w:vAlign w:val="bottom"/>
          </w:tcPr>
          <w:p>
            <w:pPr>
              <w:spacing w:after="0"/>
              <w:rPr>
                <w:sz w:val="1"/>
                <w:szCs w:val="1"/>
                <w:color w:val="auto"/>
              </w:rPr>
            </w:pPr>
          </w:p>
        </w:tc>
      </w:tr>
      <w:tr>
        <w:trPr>
          <w:trHeight w:val="112"/>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ind w:left="1040"/>
              <w:spacing w:after="0" w:line="113" w:lineRule="exact"/>
              <w:rPr>
                <w:sz w:val="20"/>
                <w:szCs w:val="20"/>
                <w:color w:val="auto"/>
              </w:rPr>
            </w:pPr>
            <w:r>
              <w:rPr>
                <w:rFonts w:ascii="Arial" w:cs="Arial" w:eastAsia="Arial" w:hAnsi="Arial"/>
                <w:sz w:val="10"/>
                <w:szCs w:val="10"/>
                <w:color w:val="5D5D60"/>
              </w:rPr>
              <w:t>p</w:t>
            </w:r>
            <w:r>
              <w:rPr>
                <w:rFonts w:ascii="Arial" w:cs="Arial" w:eastAsia="Arial" w:hAnsi="Arial"/>
                <w:sz w:val="10"/>
                <w:szCs w:val="10"/>
                <w:color w:val="464446"/>
              </w:rPr>
              <w:t>ro</w:t>
            </w:r>
            <w:r>
              <w:rPr>
                <w:rFonts w:ascii="Arial" w:cs="Arial" w:eastAsia="Arial" w:hAnsi="Arial"/>
                <w:sz w:val="10"/>
                <w:szCs w:val="10"/>
                <w:color w:val="5D5D60"/>
              </w:rPr>
              <w:t>p</w:t>
            </w:r>
            <w:r>
              <w:rPr>
                <w:rFonts w:ascii="Arial" w:cs="Arial" w:eastAsia="Arial" w:hAnsi="Arial"/>
                <w:sz w:val="10"/>
                <w:szCs w:val="10"/>
                <w:color w:val="464446"/>
              </w:rPr>
              <w:t>e</w:t>
            </w:r>
            <w:r>
              <w:rPr>
                <w:rFonts w:ascii="Arial" w:cs="Arial" w:eastAsia="Arial" w:hAnsi="Arial"/>
                <w:sz w:val="10"/>
                <w:szCs w:val="10"/>
                <w:color w:val="5D5D60"/>
              </w:rPr>
              <w:t>r</w:t>
            </w:r>
            <w:r>
              <w:rPr>
                <w:rFonts w:ascii="Arial" w:cs="Arial" w:eastAsia="Arial" w:hAnsi="Arial"/>
                <w:sz w:val="10"/>
                <w:szCs w:val="10"/>
                <w:color w:val="1F1F23"/>
              </w:rPr>
              <w:t>t</w:t>
            </w:r>
            <w:r>
              <w:rPr>
                <w:rFonts w:ascii="Arial" w:cs="Arial" w:eastAsia="Arial" w:hAnsi="Arial"/>
                <w:sz w:val="10"/>
                <w:szCs w:val="10"/>
                <w:color w:val="464446"/>
              </w:rPr>
              <w:t>y</w:t>
            </w:r>
          </w:p>
        </w:tc>
        <w:tc>
          <w:tcPr>
            <w:tcW w:w="0" w:type="dxa"/>
            <w:vAlign w:val="bottom"/>
          </w:tcPr>
          <w:p>
            <w:pPr>
              <w:spacing w:after="0"/>
              <w:rPr>
                <w:sz w:val="1"/>
                <w:szCs w:val="1"/>
                <w:color w:val="auto"/>
              </w:rPr>
            </w:pPr>
          </w:p>
        </w:tc>
      </w:tr>
      <w:tr>
        <w:trPr>
          <w:trHeight w:val="20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Wate</w:t>
            </w:r>
            <w:r>
              <w:rPr>
                <w:rFonts w:ascii="Arial" w:cs="Arial" w:eastAsia="Arial" w:hAnsi="Arial"/>
                <w:sz w:val="10"/>
                <w:szCs w:val="10"/>
                <w:color w:val="1F1F23"/>
              </w:rPr>
              <w:t>r</w:t>
            </w:r>
          </w:p>
        </w:tc>
        <w:tc>
          <w:tcPr>
            <w:tcW w:w="12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313133"/>
              </w:rPr>
              <w:t>1</w:t>
            </w:r>
            <w:r>
              <w:rPr>
                <w:rFonts w:ascii="Arial" w:cs="Arial" w:eastAsia="Arial" w:hAnsi="Arial"/>
                <w:sz w:val="10"/>
                <w:szCs w:val="10"/>
                <w:color w:val="5D5D60"/>
              </w:rPr>
              <w:t>32,</w:t>
            </w:r>
            <w:r>
              <w:rPr>
                <w:rFonts w:ascii="Arial" w:cs="Arial" w:eastAsia="Arial" w:hAnsi="Arial"/>
                <w:sz w:val="10"/>
                <w:szCs w:val="10"/>
                <w:color w:val="464446"/>
              </w:rPr>
              <w:t>347</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5D5D60"/>
              </w:rPr>
              <w:t>2</w:t>
            </w:r>
            <w:r>
              <w:rPr>
                <w:rFonts w:ascii="Arial" w:cs="Arial" w:eastAsia="Arial" w:hAnsi="Arial"/>
                <w:sz w:val="10"/>
                <w:szCs w:val="10"/>
                <w:color w:val="464446"/>
              </w:rPr>
              <w:t>0</w:t>
            </w:r>
            <w:r>
              <w:rPr>
                <w:rFonts w:ascii="Arial" w:cs="Arial" w:eastAsia="Arial" w:hAnsi="Arial"/>
                <w:sz w:val="10"/>
                <w:szCs w:val="10"/>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w w:val="97"/>
              </w:rPr>
              <w:t>26,</w:t>
            </w:r>
            <w:r>
              <w:rPr>
                <w:rFonts w:ascii="Arial" w:cs="Arial" w:eastAsia="Arial" w:hAnsi="Arial"/>
                <w:sz w:val="10"/>
                <w:szCs w:val="10"/>
                <w:color w:val="313133"/>
                <w:w w:val="97"/>
              </w:rPr>
              <w:t>469</w:t>
            </w:r>
          </w:p>
        </w:tc>
        <w:tc>
          <w:tcPr>
            <w:tcW w:w="200" w:type="dxa"/>
            <w:vAlign w:val="bottom"/>
          </w:tcPr>
          <w:p>
            <w:pPr>
              <w:ind w:left="10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rPr>
              <w:t>27,</w:t>
            </w:r>
            <w:r>
              <w:rPr>
                <w:rFonts w:ascii="Arial" w:cs="Arial" w:eastAsia="Arial" w:hAnsi="Arial"/>
                <w:sz w:val="10"/>
                <w:szCs w:val="10"/>
                <w:color w:val="464446"/>
              </w:rPr>
              <w:t>263</w:t>
            </w:r>
          </w:p>
        </w:tc>
        <w:tc>
          <w:tcPr>
            <w:tcW w:w="14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54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3,2</w:t>
            </w:r>
            <w:r>
              <w:rPr>
                <w:rFonts w:ascii="Arial" w:cs="Arial" w:eastAsia="Arial" w:hAnsi="Arial"/>
                <w:sz w:val="10"/>
                <w:szCs w:val="10"/>
                <w:color w:val="5D5D60"/>
              </w:rPr>
              <w:t>3</w:t>
            </w:r>
            <w:r>
              <w:rPr>
                <w:rFonts w:ascii="Arial" w:cs="Arial" w:eastAsia="Arial" w:hAnsi="Arial"/>
                <w:sz w:val="10"/>
                <w:szCs w:val="10"/>
                <w:color w:val="464446"/>
              </w:rPr>
              <w:t>5</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464446"/>
                <w:w w:val="71"/>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3</w:t>
            </w:r>
            <w:r>
              <w:rPr>
                <w:rFonts w:ascii="Arial" w:cs="Arial" w:eastAsia="Arial" w:hAnsi="Arial"/>
                <w:sz w:val="10"/>
                <w:szCs w:val="10"/>
                <w:color w:val="5D5D60"/>
              </w:rPr>
              <w:t>,235</w:t>
            </w:r>
          </w:p>
        </w:tc>
        <w:tc>
          <w:tcPr>
            <w:tcW w:w="66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jc w:val="center"/>
              <w:ind w:left="1190"/>
              <w:spacing w:after="0"/>
              <w:rPr>
                <w:sz w:val="20"/>
                <w:szCs w:val="20"/>
                <w:color w:val="auto"/>
              </w:rPr>
            </w:pPr>
            <w:r>
              <w:rPr>
                <w:rFonts w:ascii="Arial" w:cs="Arial" w:eastAsia="Arial" w:hAnsi="Arial"/>
                <w:sz w:val="10"/>
                <w:szCs w:val="10"/>
                <w:color w:val="1F1F23"/>
              </w:rPr>
              <w:t>T</w:t>
            </w:r>
            <w:r>
              <w:rPr>
                <w:rFonts w:ascii="Arial" w:cs="Arial" w:eastAsia="Arial" w:hAnsi="Arial"/>
                <w:sz w:val="10"/>
                <w:szCs w:val="10"/>
                <w:color w:val="5D5D60"/>
              </w:rPr>
              <w:t>h</w:t>
            </w:r>
            <w:r>
              <w:rPr>
                <w:rFonts w:ascii="Arial" w:cs="Arial" w:eastAsia="Arial" w:hAnsi="Arial"/>
                <w:sz w:val="10"/>
                <w:szCs w:val="10"/>
                <w:color w:val="464446"/>
              </w:rPr>
              <w:t>e</w:t>
            </w:r>
            <w:r>
              <w:rPr>
                <w:rFonts w:ascii="Arial" w:cs="Arial" w:eastAsia="Arial" w:hAnsi="Arial"/>
                <w:sz w:val="10"/>
                <w:szCs w:val="10"/>
                <w:color w:val="1F1F23"/>
              </w:rPr>
              <w:t xml:space="preserve"> </w:t>
            </w:r>
            <w:r>
              <w:rPr>
                <w:rFonts w:ascii="Arial" w:cs="Arial" w:eastAsia="Arial" w:hAnsi="Arial"/>
                <w:sz w:val="10"/>
                <w:szCs w:val="10"/>
                <w:color w:val="313133"/>
              </w:rPr>
              <w:t>Plan</w:t>
            </w:r>
            <w:r>
              <w:rPr>
                <w:rFonts w:ascii="Arial" w:cs="Arial" w:eastAsia="Arial" w:hAnsi="Arial"/>
                <w:sz w:val="10"/>
                <w:szCs w:val="10"/>
                <w:color w:val="010101"/>
              </w:rPr>
              <w:t>t</w:t>
            </w:r>
            <w:r>
              <w:rPr>
                <w:rFonts w:ascii="Arial" w:cs="Arial" w:eastAsia="Arial" w:hAnsi="Arial"/>
                <w:sz w:val="10"/>
                <w:szCs w:val="10"/>
                <w:color w:val="1F1F23"/>
              </w:rPr>
              <w:t xml:space="preserve"> </w:t>
            </w:r>
            <w:r>
              <w:rPr>
                <w:rFonts w:ascii="Arial" w:cs="Arial" w:eastAsia="Arial" w:hAnsi="Arial"/>
                <w:sz w:val="10"/>
                <w:szCs w:val="10"/>
                <w:color w:val="464446"/>
              </w:rPr>
              <w:t>co</w:t>
            </w:r>
            <w:r>
              <w:rPr>
                <w:rFonts w:ascii="Arial" w:cs="Arial" w:eastAsia="Arial" w:hAnsi="Arial"/>
                <w:sz w:val="10"/>
                <w:szCs w:val="10"/>
                <w:color w:val="5D5D60"/>
              </w:rPr>
              <w:t>n</w:t>
            </w:r>
            <w:r>
              <w:rPr>
                <w:rFonts w:ascii="Arial" w:cs="Arial" w:eastAsia="Arial" w:hAnsi="Arial"/>
                <w:sz w:val="10"/>
                <w:szCs w:val="10"/>
                <w:color w:val="464446"/>
              </w:rPr>
              <w:t>s</w:t>
            </w:r>
            <w:r>
              <w:rPr>
                <w:rFonts w:ascii="Arial" w:cs="Arial" w:eastAsia="Arial" w:hAnsi="Arial"/>
                <w:sz w:val="10"/>
                <w:szCs w:val="10"/>
                <w:color w:val="1F1F23"/>
              </w:rPr>
              <w:t>u</w:t>
            </w:r>
            <w:r>
              <w:rPr>
                <w:rFonts w:ascii="Arial" w:cs="Arial" w:eastAsia="Arial" w:hAnsi="Arial"/>
                <w:sz w:val="10"/>
                <w:szCs w:val="10"/>
                <w:color w:val="464446"/>
              </w:rPr>
              <w:t>mes</w:t>
            </w:r>
            <w:r>
              <w:rPr>
                <w:rFonts w:ascii="Arial" w:cs="Arial" w:eastAsia="Arial" w:hAnsi="Arial"/>
                <w:sz w:val="10"/>
                <w:szCs w:val="10"/>
                <w:color w:val="1F1F23"/>
              </w:rPr>
              <w:t xml:space="preserve"> </w:t>
            </w:r>
            <w:r>
              <w:rPr>
                <w:rFonts w:ascii="Arial" w:cs="Arial" w:eastAsia="Arial" w:hAnsi="Arial"/>
                <w:sz w:val="10"/>
                <w:szCs w:val="10"/>
                <w:color w:val="010101"/>
              </w:rPr>
              <w:t>t</w:t>
            </w:r>
            <w:r>
              <w:rPr>
                <w:rFonts w:ascii="Arial" w:cs="Arial" w:eastAsia="Arial" w:hAnsi="Arial"/>
                <w:sz w:val="10"/>
                <w:szCs w:val="10"/>
                <w:color w:val="5D5D60"/>
              </w:rPr>
              <w:t>h</w:t>
            </w:r>
            <w:r>
              <w:rPr>
                <w:rFonts w:ascii="Arial" w:cs="Arial" w:eastAsia="Arial" w:hAnsi="Arial"/>
                <w:sz w:val="10"/>
                <w:szCs w:val="10"/>
                <w:color w:val="464446"/>
              </w:rPr>
              <w:t>e m</w:t>
            </w:r>
            <w:r>
              <w:rPr>
                <w:rFonts w:ascii="Arial" w:cs="Arial" w:eastAsia="Arial" w:hAnsi="Arial"/>
                <w:sz w:val="10"/>
                <w:szCs w:val="10"/>
                <w:color w:val="5D5D60"/>
              </w:rPr>
              <w:t>aj</w:t>
            </w:r>
            <w:r>
              <w:rPr>
                <w:rFonts w:ascii="Arial" w:cs="Arial" w:eastAsia="Arial" w:hAnsi="Arial"/>
                <w:sz w:val="10"/>
                <w:szCs w:val="10"/>
                <w:color w:val="464446"/>
              </w:rPr>
              <w:t>o</w:t>
            </w:r>
            <w:r>
              <w:rPr>
                <w:rFonts w:ascii="Arial" w:cs="Arial" w:eastAsia="Arial" w:hAnsi="Arial"/>
                <w:sz w:val="10"/>
                <w:szCs w:val="10"/>
                <w:color w:val="5D5D60"/>
              </w:rPr>
              <w:t>rit</w:t>
            </w:r>
            <w:r>
              <w:rPr>
                <w:rFonts w:ascii="Arial" w:cs="Arial" w:eastAsia="Arial" w:hAnsi="Arial"/>
                <w:sz w:val="10"/>
                <w:szCs w:val="10"/>
                <w:color w:val="464446"/>
              </w:rPr>
              <w:t>y of</w:t>
            </w:r>
            <w:r>
              <w:rPr>
                <w:rFonts w:ascii="Arial" w:cs="Arial" w:eastAsia="Arial" w:hAnsi="Arial"/>
                <w:sz w:val="10"/>
                <w:szCs w:val="10"/>
                <w:color w:val="1F1F23"/>
              </w:rPr>
              <w:t xml:space="preserve"> </w:t>
            </w:r>
            <w:r>
              <w:rPr>
                <w:rFonts w:ascii="Arial" w:cs="Arial" w:eastAsia="Arial" w:hAnsi="Arial"/>
                <w:sz w:val="10"/>
                <w:szCs w:val="10"/>
                <w:color w:val="5D5D60"/>
              </w:rPr>
              <w:t>t</w:t>
            </w:r>
            <w:r>
              <w:rPr>
                <w:rFonts w:ascii="Arial" w:cs="Arial" w:eastAsia="Arial" w:hAnsi="Arial"/>
                <w:sz w:val="10"/>
                <w:szCs w:val="10"/>
                <w:color w:val="1F1F23"/>
              </w:rPr>
              <w:t>h</w:t>
            </w:r>
            <w:r>
              <w:rPr>
                <w:rFonts w:ascii="Arial" w:cs="Arial" w:eastAsia="Arial" w:hAnsi="Arial"/>
                <w:sz w:val="10"/>
                <w:szCs w:val="10"/>
                <w:color w:val="464446"/>
              </w:rPr>
              <w:t>e wa</w:t>
            </w:r>
            <w:r>
              <w:rPr>
                <w:rFonts w:ascii="Arial" w:cs="Arial" w:eastAsia="Arial" w:hAnsi="Arial"/>
                <w:sz w:val="10"/>
                <w:szCs w:val="10"/>
                <w:color w:val="1F1F23"/>
              </w:rPr>
              <w:t xml:space="preserve"> </w:t>
            </w:r>
            <w:r>
              <w:rPr>
                <w:rFonts w:ascii="Arial" w:cs="Arial" w:eastAsia="Arial" w:hAnsi="Arial"/>
                <w:sz w:val="10"/>
                <w:szCs w:val="10"/>
                <w:color w:val="5D5D60"/>
              </w:rPr>
              <w:t>t</w:t>
            </w:r>
            <w:r>
              <w:rPr>
                <w:rFonts w:ascii="Arial" w:cs="Arial" w:eastAsia="Arial" w:hAnsi="Arial"/>
                <w:sz w:val="10"/>
                <w:szCs w:val="10"/>
                <w:color w:val="464446"/>
              </w:rPr>
              <w:t>e</w:t>
            </w:r>
            <w:r>
              <w:rPr>
                <w:rFonts w:ascii="Arial" w:cs="Arial" w:eastAsia="Arial" w:hAnsi="Arial"/>
                <w:sz w:val="10"/>
                <w:szCs w:val="10"/>
                <w:color w:val="1F1F23"/>
              </w:rPr>
              <w:t xml:space="preserve">r </w:t>
            </w:r>
            <w:r>
              <w:rPr>
                <w:rFonts w:ascii="Arial" w:cs="Arial" w:eastAsia="Arial" w:hAnsi="Arial"/>
                <w:sz w:val="10"/>
                <w:szCs w:val="10"/>
                <w:color w:val="5D5D60"/>
              </w:rPr>
              <w:t>u</w:t>
            </w:r>
            <w:r>
              <w:rPr>
                <w:rFonts w:ascii="Arial" w:cs="Arial" w:eastAsia="Arial" w:hAnsi="Arial"/>
                <w:sz w:val="10"/>
                <w:szCs w:val="10"/>
                <w:color w:val="464446"/>
              </w:rPr>
              <w:t>sage o</w:t>
            </w:r>
            <w:r>
              <w:rPr>
                <w:rFonts w:ascii="Arial" w:cs="Arial" w:eastAsia="Arial" w:hAnsi="Arial"/>
                <w:sz w:val="10"/>
                <w:szCs w:val="10"/>
                <w:color w:val="5D5D60"/>
              </w:rPr>
              <w:t>n</w:t>
            </w:r>
            <w:r>
              <w:rPr>
                <w:rFonts w:ascii="Arial" w:cs="Arial" w:eastAsia="Arial" w:hAnsi="Arial"/>
                <w:sz w:val="10"/>
                <w:szCs w:val="10"/>
                <w:color w:val="1F1F23"/>
              </w:rPr>
              <w:t xml:space="preserve"> </w:t>
            </w:r>
            <w:r>
              <w:rPr>
                <w:rFonts w:ascii="Arial" w:cs="Arial" w:eastAsia="Arial" w:hAnsi="Arial"/>
                <w:sz w:val="10"/>
                <w:szCs w:val="10"/>
                <w:color w:val="464446"/>
              </w:rPr>
              <w:t>s</w:t>
            </w:r>
            <w:r>
              <w:rPr>
                <w:rFonts w:ascii="Arial" w:cs="Arial" w:eastAsia="Arial" w:hAnsi="Arial"/>
                <w:sz w:val="10"/>
                <w:szCs w:val="10"/>
                <w:color w:val="5D5D60"/>
              </w:rPr>
              <w:t>it</w:t>
            </w:r>
            <w:r>
              <w:rPr>
                <w:rFonts w:ascii="Arial" w:cs="Arial" w:eastAsia="Arial" w:hAnsi="Arial"/>
                <w:sz w:val="10"/>
                <w:szCs w:val="10"/>
                <w:color w:val="464446"/>
              </w:rPr>
              <w:t>e</w:t>
            </w:r>
          </w:p>
        </w:tc>
        <w:tc>
          <w:tcPr>
            <w:tcW w:w="0" w:type="dxa"/>
            <w:vAlign w:val="bottom"/>
          </w:tcPr>
          <w:p>
            <w:pPr>
              <w:spacing w:after="0"/>
              <w:rPr>
                <w:sz w:val="1"/>
                <w:szCs w:val="1"/>
                <w:color w:val="auto"/>
              </w:rPr>
            </w:pPr>
          </w:p>
        </w:tc>
      </w:tr>
      <w:tr>
        <w:trPr>
          <w:trHeight w:val="29"/>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Natu</w:t>
            </w:r>
            <w:r>
              <w:rPr>
                <w:rFonts w:ascii="Arial" w:cs="Arial" w:eastAsia="Arial" w:hAnsi="Arial"/>
                <w:sz w:val="10"/>
                <w:szCs w:val="10"/>
                <w:color w:val="1F1F23"/>
              </w:rPr>
              <w:t>r</w:t>
            </w:r>
            <w:r>
              <w:rPr>
                <w:rFonts w:ascii="Arial" w:cs="Arial" w:eastAsia="Arial" w:hAnsi="Arial"/>
                <w:sz w:val="10"/>
                <w:szCs w:val="10"/>
                <w:color w:val="464446"/>
              </w:rPr>
              <w:t xml:space="preserve"> </w:t>
            </w:r>
            <w:r>
              <w:rPr>
                <w:rFonts w:ascii="Arial" w:cs="Arial" w:eastAsia="Arial" w:hAnsi="Arial"/>
                <w:sz w:val="10"/>
                <w:szCs w:val="10"/>
                <w:color w:val="5D5D60"/>
              </w:rPr>
              <w:t>al</w:t>
            </w:r>
            <w:r>
              <w:rPr>
                <w:rFonts w:ascii="Arial" w:cs="Arial" w:eastAsia="Arial" w:hAnsi="Arial"/>
                <w:sz w:val="10"/>
                <w:szCs w:val="10"/>
                <w:color w:val="464446"/>
              </w:rPr>
              <w:t xml:space="preserve"> G</w:t>
            </w:r>
            <w:r>
              <w:rPr>
                <w:rFonts w:ascii="Arial" w:cs="Arial" w:eastAsia="Arial" w:hAnsi="Arial"/>
                <w:sz w:val="10"/>
                <w:szCs w:val="10"/>
                <w:color w:val="5D5D60"/>
              </w:rPr>
              <w:t>a</w:t>
            </w:r>
            <w:r>
              <w:rPr>
                <w:rFonts w:ascii="Arial" w:cs="Arial" w:eastAsia="Arial" w:hAnsi="Arial"/>
                <w:sz w:val="10"/>
                <w:szCs w:val="10"/>
                <w:color w:val="464446"/>
              </w:rPr>
              <w:t>s</w:t>
            </w:r>
          </w:p>
        </w:tc>
        <w:tc>
          <w:tcPr>
            <w:tcW w:w="12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464446"/>
              </w:rPr>
              <w:t>97</w:t>
            </w:r>
            <w:r>
              <w:rPr>
                <w:rFonts w:ascii="Arial" w:cs="Arial" w:eastAsia="Arial" w:hAnsi="Arial"/>
                <w:sz w:val="10"/>
                <w:szCs w:val="10"/>
                <w:color w:val="5D5D60"/>
              </w:rPr>
              <w:t>,</w:t>
            </w:r>
            <w:r>
              <w:rPr>
                <w:rFonts w:ascii="Arial" w:cs="Arial" w:eastAsia="Arial" w:hAnsi="Arial"/>
                <w:sz w:val="10"/>
                <w:szCs w:val="10"/>
                <w:color w:val="464446"/>
              </w:rPr>
              <w:t>239</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b w:val="1"/>
                <w:bCs w:val="1"/>
                <w:color w:val="5D5D60"/>
              </w:rPr>
              <w:t>5</w:t>
            </w:r>
            <w:r>
              <w:rPr>
                <w:rFonts w:ascii="Arial" w:cs="Arial" w:eastAsia="Arial" w:hAnsi="Arial"/>
                <w:sz w:val="10"/>
                <w:szCs w:val="10"/>
                <w:b w:val="1"/>
                <w:bCs w:val="1"/>
                <w:color w:val="464446"/>
              </w:rPr>
              <w:t>0</w:t>
            </w:r>
            <w:r>
              <w:rPr>
                <w:rFonts w:ascii="Arial" w:cs="Arial" w:eastAsia="Arial" w:hAnsi="Arial"/>
                <w:sz w:val="10"/>
                <w:szCs w:val="10"/>
                <w:b w:val="1"/>
                <w:bCs w:val="1"/>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w w:val="97"/>
              </w:rPr>
              <w:t>48</w:t>
            </w:r>
            <w:r>
              <w:rPr>
                <w:rFonts w:ascii="Arial" w:cs="Arial" w:eastAsia="Arial" w:hAnsi="Arial"/>
                <w:sz w:val="10"/>
                <w:szCs w:val="10"/>
                <w:color w:val="5D5D60"/>
                <w:w w:val="97"/>
              </w:rPr>
              <w:t>,</w:t>
            </w:r>
            <w:r>
              <w:rPr>
                <w:rFonts w:ascii="Arial" w:cs="Arial" w:eastAsia="Arial" w:hAnsi="Arial"/>
                <w:sz w:val="10"/>
                <w:szCs w:val="10"/>
                <w:color w:val="464446"/>
                <w:w w:val="97"/>
              </w:rPr>
              <w:t>620</w:t>
            </w:r>
          </w:p>
        </w:tc>
        <w:tc>
          <w:tcPr>
            <w:tcW w:w="200" w:type="dxa"/>
            <w:vAlign w:val="bottom"/>
          </w:tcPr>
          <w:p>
            <w:pPr>
              <w:ind w:left="8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w w:val="97"/>
              </w:rPr>
              <w:t>5</w:t>
            </w:r>
            <w:r>
              <w:rPr>
                <w:rFonts w:ascii="Arial" w:cs="Arial" w:eastAsia="Arial" w:hAnsi="Arial"/>
                <w:sz w:val="10"/>
                <w:szCs w:val="10"/>
                <w:color w:val="464446"/>
                <w:w w:val="97"/>
              </w:rPr>
              <w:t>0,Q78</w:t>
            </w:r>
          </w:p>
        </w:tc>
        <w:tc>
          <w:tcPr>
            <w:tcW w:w="14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54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464446"/>
              </w:rPr>
              <w:t>24</w:t>
            </w:r>
            <w:r>
              <w:rPr>
                <w:rFonts w:ascii="Arial" w:cs="Arial" w:eastAsia="Arial" w:hAnsi="Arial"/>
                <w:sz w:val="10"/>
                <w:szCs w:val="10"/>
                <w:color w:val="5D5D60"/>
              </w:rPr>
              <w:t>,</w:t>
            </w:r>
            <w:r>
              <w:rPr>
                <w:rFonts w:ascii="Arial" w:cs="Arial" w:eastAsia="Arial" w:hAnsi="Arial"/>
                <w:sz w:val="10"/>
                <w:szCs w:val="10"/>
                <w:color w:val="464446"/>
              </w:rPr>
              <w:t>3</w:t>
            </w:r>
            <w:r>
              <w:rPr>
                <w:rFonts w:ascii="Arial" w:cs="Arial" w:eastAsia="Arial" w:hAnsi="Arial"/>
                <w:sz w:val="10"/>
                <w:szCs w:val="10"/>
                <w:color w:val="1F1F23"/>
              </w:rPr>
              <w:t>1</w:t>
            </w:r>
            <w:r>
              <w:rPr>
                <w:rFonts w:ascii="Arial" w:cs="Arial" w:eastAsia="Arial" w:hAnsi="Arial"/>
                <w:sz w:val="10"/>
                <w:szCs w:val="10"/>
                <w:color w:val="464446"/>
              </w:rPr>
              <w:t>0</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464446"/>
                <w:w w:val="71"/>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24</w:t>
            </w:r>
            <w:r>
              <w:rPr>
                <w:rFonts w:ascii="Arial" w:cs="Arial" w:eastAsia="Arial" w:hAnsi="Arial"/>
                <w:sz w:val="10"/>
                <w:szCs w:val="10"/>
                <w:color w:val="5D5D60"/>
              </w:rPr>
              <w:t>,</w:t>
            </w:r>
            <w:r>
              <w:rPr>
                <w:rFonts w:ascii="Arial" w:cs="Arial" w:eastAsia="Arial" w:hAnsi="Arial"/>
                <w:sz w:val="10"/>
                <w:szCs w:val="10"/>
                <w:color w:val="464446"/>
              </w:rPr>
              <w:t>3</w:t>
            </w:r>
            <w:r>
              <w:rPr>
                <w:rFonts w:ascii="Arial" w:cs="Arial" w:eastAsia="Arial" w:hAnsi="Arial"/>
                <w:sz w:val="10"/>
                <w:szCs w:val="10"/>
                <w:color w:val="1F1F23"/>
              </w:rPr>
              <w:t>1</w:t>
            </w:r>
            <w:r>
              <w:rPr>
                <w:rFonts w:ascii="Arial" w:cs="Arial" w:eastAsia="Arial" w:hAnsi="Arial"/>
                <w:sz w:val="10"/>
                <w:szCs w:val="10"/>
                <w:color w:val="464446"/>
              </w:rPr>
              <w:t>0</w:t>
            </w:r>
          </w:p>
        </w:tc>
        <w:tc>
          <w:tcPr>
            <w:tcW w:w="66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313133"/>
                <w:w w:val="99"/>
              </w:rPr>
              <w:t xml:space="preserve">Plant Is </w:t>
            </w:r>
            <w:r>
              <w:rPr>
                <w:rFonts w:ascii="Arial" w:cs="Arial" w:eastAsia="Arial" w:hAnsi="Arial"/>
                <w:sz w:val="10"/>
                <w:szCs w:val="10"/>
                <w:color w:val="1F1F23"/>
                <w:w w:val="99"/>
              </w:rPr>
              <w:t>n</w:t>
            </w:r>
            <w:r>
              <w:rPr>
                <w:rFonts w:ascii="Arial" w:cs="Arial" w:eastAsia="Arial" w:hAnsi="Arial"/>
                <w:sz w:val="10"/>
                <w:szCs w:val="10"/>
                <w:color w:val="464446"/>
                <w:w w:val="99"/>
              </w:rPr>
              <w:t>o</w:t>
            </w:r>
            <w:r>
              <w:rPr>
                <w:rFonts w:ascii="Arial" w:cs="Arial" w:eastAsia="Arial" w:hAnsi="Arial"/>
                <w:sz w:val="10"/>
                <w:szCs w:val="10"/>
                <w:color w:val="1F1F23"/>
                <w:w w:val="99"/>
              </w:rPr>
              <w:t>t h</w:t>
            </w:r>
            <w:r>
              <w:rPr>
                <w:rFonts w:ascii="Arial" w:cs="Arial" w:eastAsia="Arial" w:hAnsi="Arial"/>
                <w:sz w:val="10"/>
                <w:szCs w:val="10"/>
                <w:color w:val="464446"/>
                <w:w w:val="99"/>
              </w:rPr>
              <w:t>ea</w:t>
            </w:r>
            <w:r>
              <w:rPr>
                <w:rFonts w:ascii="Arial" w:cs="Arial" w:eastAsia="Arial" w:hAnsi="Arial"/>
                <w:sz w:val="10"/>
                <w:szCs w:val="10"/>
                <w:color w:val="1F1F23"/>
                <w:w w:val="99"/>
              </w:rPr>
              <w:t>t</w:t>
            </w:r>
            <w:r>
              <w:rPr>
                <w:rFonts w:ascii="Arial" w:cs="Arial" w:eastAsia="Arial" w:hAnsi="Arial"/>
                <w:sz w:val="10"/>
                <w:szCs w:val="10"/>
                <w:color w:val="464446"/>
                <w:w w:val="99"/>
              </w:rPr>
              <w:t>e</w:t>
            </w:r>
            <w:r>
              <w:rPr>
                <w:rFonts w:ascii="Arial" w:cs="Arial" w:eastAsia="Arial" w:hAnsi="Arial"/>
                <w:sz w:val="10"/>
                <w:szCs w:val="10"/>
                <w:color w:val="5D5D60"/>
                <w:w w:val="99"/>
              </w:rPr>
              <w:t>d</w:t>
            </w:r>
            <w:r>
              <w:rPr>
                <w:rFonts w:ascii="Arial" w:cs="Arial" w:eastAsia="Arial" w:hAnsi="Arial"/>
                <w:sz w:val="10"/>
                <w:szCs w:val="10"/>
                <w:color w:val="757775"/>
                <w:w w:val="99"/>
              </w:rPr>
              <w:t>,</w:t>
            </w:r>
            <w:r>
              <w:rPr>
                <w:rFonts w:ascii="Arial" w:cs="Arial" w:eastAsia="Arial" w:hAnsi="Arial"/>
                <w:sz w:val="10"/>
                <w:szCs w:val="10"/>
                <w:color w:val="313133"/>
                <w:w w:val="99"/>
              </w:rPr>
              <w:t xml:space="preserve"> </w:t>
            </w:r>
            <w:r>
              <w:rPr>
                <w:rFonts w:ascii="Arial" w:cs="Arial" w:eastAsia="Arial" w:hAnsi="Arial"/>
                <w:sz w:val="10"/>
                <w:szCs w:val="10"/>
                <w:color w:val="464446"/>
                <w:w w:val="99"/>
              </w:rPr>
              <w:t>some</w:t>
            </w:r>
            <w:r>
              <w:rPr>
                <w:rFonts w:ascii="Arial" w:cs="Arial" w:eastAsia="Arial" w:hAnsi="Arial"/>
                <w:sz w:val="10"/>
                <w:szCs w:val="10"/>
                <w:color w:val="313133"/>
                <w:w w:val="99"/>
              </w:rPr>
              <w:t xml:space="preserve"> </w:t>
            </w:r>
            <w:r>
              <w:rPr>
                <w:rFonts w:ascii="Arial" w:cs="Arial" w:eastAsia="Arial" w:hAnsi="Arial"/>
                <w:sz w:val="10"/>
                <w:szCs w:val="10"/>
                <w:color w:val="1F1F23"/>
                <w:w w:val="99"/>
              </w:rPr>
              <w:t>u</w:t>
            </w:r>
            <w:r>
              <w:rPr>
                <w:rFonts w:ascii="Arial" w:cs="Arial" w:eastAsia="Arial" w:hAnsi="Arial"/>
                <w:sz w:val="10"/>
                <w:szCs w:val="10"/>
                <w:color w:val="464446"/>
                <w:w w:val="99"/>
              </w:rPr>
              <w:t>sage</w:t>
            </w:r>
            <w:r>
              <w:rPr>
                <w:rFonts w:ascii="Arial" w:cs="Arial" w:eastAsia="Arial" w:hAnsi="Arial"/>
                <w:sz w:val="10"/>
                <w:szCs w:val="10"/>
                <w:color w:val="313133"/>
                <w:w w:val="99"/>
              </w:rPr>
              <w:t xml:space="preserve"> for </w:t>
            </w:r>
            <w:r>
              <w:rPr>
                <w:rFonts w:ascii="Arial" w:cs="Arial" w:eastAsia="Arial" w:hAnsi="Arial"/>
                <w:sz w:val="10"/>
                <w:szCs w:val="10"/>
                <w:color w:val="464446"/>
                <w:w w:val="99"/>
              </w:rPr>
              <w:t>seed</w:t>
            </w:r>
            <w:r>
              <w:rPr>
                <w:rFonts w:ascii="Arial" w:cs="Arial" w:eastAsia="Arial" w:hAnsi="Arial"/>
                <w:sz w:val="10"/>
                <w:szCs w:val="10"/>
                <w:color w:val="313133"/>
                <w:w w:val="99"/>
              </w:rPr>
              <w:t xml:space="preserve"> </w:t>
            </w:r>
            <w:r>
              <w:rPr>
                <w:rFonts w:ascii="Arial" w:cs="Arial" w:eastAsia="Arial" w:hAnsi="Arial"/>
                <w:sz w:val="10"/>
                <w:szCs w:val="10"/>
                <w:color w:val="5D5D60"/>
                <w:w w:val="99"/>
              </w:rPr>
              <w:t>dri</w:t>
            </w:r>
            <w:r>
              <w:rPr>
                <w:rFonts w:ascii="Arial" w:cs="Arial" w:eastAsia="Arial" w:hAnsi="Arial"/>
                <w:sz w:val="10"/>
                <w:szCs w:val="10"/>
                <w:color w:val="464446"/>
                <w:w w:val="99"/>
              </w:rPr>
              <w:t>e</w:t>
            </w:r>
            <w:r>
              <w:rPr>
                <w:rFonts w:ascii="Arial" w:cs="Arial" w:eastAsia="Arial" w:hAnsi="Arial"/>
                <w:sz w:val="10"/>
                <w:szCs w:val="10"/>
                <w:color w:val="5D5D60"/>
                <w:w w:val="99"/>
              </w:rPr>
              <w:t>rs</w:t>
            </w:r>
            <w:r>
              <w:rPr>
                <w:rFonts w:ascii="Arial" w:cs="Arial" w:eastAsia="Arial" w:hAnsi="Arial"/>
                <w:sz w:val="10"/>
                <w:szCs w:val="10"/>
                <w:color w:val="313133"/>
                <w:w w:val="99"/>
              </w:rPr>
              <w:t xml:space="preserve"> </w:t>
            </w:r>
            <w:r>
              <w:rPr>
                <w:rFonts w:ascii="Arial" w:cs="Arial" w:eastAsia="Arial" w:hAnsi="Arial"/>
                <w:sz w:val="10"/>
                <w:szCs w:val="10"/>
                <w:color w:val="464446"/>
                <w:w w:val="99"/>
              </w:rPr>
              <w:t>o</w:t>
            </w:r>
            <w:r>
              <w:rPr>
                <w:rFonts w:ascii="Arial" w:cs="Arial" w:eastAsia="Arial" w:hAnsi="Arial"/>
                <w:sz w:val="10"/>
                <w:szCs w:val="10"/>
                <w:color w:val="5D5D60"/>
                <w:w w:val="99"/>
              </w:rPr>
              <w:t>n</w:t>
            </w:r>
            <w:r>
              <w:rPr>
                <w:rFonts w:ascii="Arial" w:cs="Arial" w:eastAsia="Arial" w:hAnsi="Arial"/>
                <w:sz w:val="10"/>
                <w:szCs w:val="10"/>
                <w:color w:val="1F1F23"/>
                <w:w w:val="99"/>
              </w:rPr>
              <w:t>l</w:t>
            </w:r>
            <w:r>
              <w:rPr>
                <w:rFonts w:ascii="Arial" w:cs="Arial" w:eastAsia="Arial" w:hAnsi="Arial"/>
                <w:sz w:val="10"/>
                <w:szCs w:val="10"/>
                <w:color w:val="464446"/>
                <w:w w:val="99"/>
              </w:rPr>
              <w:t>y</w:t>
            </w:r>
            <w:r>
              <w:rPr>
                <w:rFonts w:ascii="Arial" w:cs="Arial" w:eastAsia="Arial" w:hAnsi="Arial"/>
                <w:sz w:val="10"/>
                <w:szCs w:val="10"/>
                <w:color w:val="5D5D60"/>
                <w:w w:val="99"/>
              </w:rPr>
              <w:t>,</w:t>
            </w:r>
            <w:r>
              <w:rPr>
                <w:rFonts w:ascii="Arial" w:cs="Arial" w:eastAsia="Arial" w:hAnsi="Arial"/>
                <w:sz w:val="10"/>
                <w:szCs w:val="10"/>
                <w:color w:val="313133"/>
                <w:w w:val="99"/>
              </w:rPr>
              <w:t xml:space="preserve"> </w:t>
            </w:r>
            <w:r>
              <w:rPr>
                <w:rFonts w:ascii="Arial" w:cs="Arial" w:eastAsia="Arial" w:hAnsi="Arial"/>
                <w:sz w:val="10"/>
                <w:szCs w:val="10"/>
                <w:color w:val="1F1F23"/>
                <w:w w:val="99"/>
              </w:rPr>
              <w:t>t</w:t>
            </w:r>
            <w:r>
              <w:rPr>
                <w:rFonts w:ascii="Arial" w:cs="Arial" w:eastAsia="Arial" w:hAnsi="Arial"/>
                <w:sz w:val="10"/>
                <w:szCs w:val="10"/>
                <w:color w:val="5D5D60"/>
                <w:w w:val="99"/>
              </w:rPr>
              <w:t>h</w:t>
            </w:r>
            <w:r>
              <w:rPr>
                <w:rFonts w:ascii="Arial" w:cs="Arial" w:eastAsia="Arial" w:hAnsi="Arial"/>
                <w:sz w:val="10"/>
                <w:szCs w:val="10"/>
                <w:color w:val="464446"/>
                <w:w w:val="99"/>
              </w:rPr>
              <w:t>e</w:t>
            </w:r>
            <w:r>
              <w:rPr>
                <w:rFonts w:ascii="Arial" w:cs="Arial" w:eastAsia="Arial" w:hAnsi="Arial"/>
                <w:sz w:val="10"/>
                <w:szCs w:val="10"/>
                <w:color w:val="313133"/>
                <w:w w:val="99"/>
              </w:rPr>
              <w:t xml:space="preserve"> </w:t>
            </w:r>
            <w:r>
              <w:rPr>
                <w:rFonts w:ascii="Arial" w:cs="Arial" w:eastAsia="Arial" w:hAnsi="Arial"/>
                <w:sz w:val="10"/>
                <w:szCs w:val="10"/>
                <w:color w:val="1F1F23"/>
                <w:w w:val="99"/>
              </w:rPr>
              <w:t>r</w:t>
            </w:r>
            <w:r>
              <w:rPr>
                <w:rFonts w:ascii="Arial" w:cs="Arial" w:eastAsia="Arial" w:hAnsi="Arial"/>
                <w:sz w:val="10"/>
                <w:szCs w:val="10"/>
                <w:color w:val="464446"/>
                <w:w w:val="99"/>
              </w:rPr>
              <w:t>es</w:t>
            </w:r>
            <w:r>
              <w:rPr>
                <w:rFonts w:ascii="Arial" w:cs="Arial" w:eastAsia="Arial" w:hAnsi="Arial"/>
                <w:sz w:val="10"/>
                <w:szCs w:val="10"/>
                <w:color w:val="1F1F23"/>
                <w:w w:val="99"/>
              </w:rPr>
              <w:t>t</w:t>
            </w:r>
            <w:r>
              <w:rPr>
                <w:rFonts w:ascii="Arial" w:cs="Arial" w:eastAsia="Arial" w:hAnsi="Arial"/>
                <w:sz w:val="10"/>
                <w:szCs w:val="10"/>
                <w:color w:val="313133"/>
                <w:w w:val="99"/>
              </w:rPr>
              <w:t xml:space="preserve"> Is </w:t>
            </w:r>
            <w:r>
              <w:rPr>
                <w:rFonts w:ascii="Arial" w:cs="Arial" w:eastAsia="Arial" w:hAnsi="Arial"/>
                <w:sz w:val="10"/>
                <w:szCs w:val="10"/>
                <w:color w:val="464446"/>
                <w:w w:val="99"/>
              </w:rPr>
              <w:t>office</w:t>
            </w:r>
            <w:r>
              <w:rPr>
                <w:rFonts w:ascii="Arial" w:cs="Arial" w:eastAsia="Arial" w:hAnsi="Arial"/>
                <w:sz w:val="10"/>
                <w:szCs w:val="10"/>
                <w:color w:val="313133"/>
                <w:w w:val="99"/>
              </w:rPr>
              <w:t xml:space="preserve"> </w:t>
            </w:r>
            <w:r>
              <w:rPr>
                <w:rFonts w:ascii="Arial" w:cs="Arial" w:eastAsia="Arial" w:hAnsi="Arial"/>
                <w:sz w:val="10"/>
                <w:szCs w:val="10"/>
                <w:color w:val="5D5D60"/>
                <w:w w:val="99"/>
              </w:rPr>
              <w:t>h</w:t>
            </w:r>
            <w:r>
              <w:rPr>
                <w:rFonts w:ascii="Arial" w:cs="Arial" w:eastAsia="Arial" w:hAnsi="Arial"/>
                <w:sz w:val="10"/>
                <w:szCs w:val="10"/>
                <w:color w:val="464446"/>
                <w:w w:val="99"/>
              </w:rPr>
              <w:t>ea</w:t>
            </w:r>
            <w:r>
              <w:rPr>
                <w:rFonts w:ascii="Arial" w:cs="Arial" w:eastAsia="Arial" w:hAnsi="Arial"/>
                <w:sz w:val="10"/>
                <w:szCs w:val="10"/>
                <w:color w:val="5D5D60"/>
                <w:w w:val="99"/>
              </w:rPr>
              <w:t>t</w:t>
            </w:r>
            <w:r>
              <w:rPr>
                <w:rFonts w:ascii="Arial" w:cs="Arial" w:eastAsia="Arial" w:hAnsi="Arial"/>
                <w:sz w:val="10"/>
                <w:szCs w:val="10"/>
                <w:color w:val="313133"/>
                <w:w w:val="99"/>
              </w:rPr>
              <w:t>i</w:t>
            </w:r>
            <w:r>
              <w:rPr>
                <w:rFonts w:ascii="Arial" w:cs="Arial" w:eastAsia="Arial" w:hAnsi="Arial"/>
                <w:sz w:val="10"/>
                <w:szCs w:val="10"/>
                <w:color w:val="5D5D60"/>
                <w:w w:val="99"/>
              </w:rPr>
              <w:t>n</w:t>
            </w:r>
            <w:r>
              <w:rPr>
                <w:rFonts w:ascii="Arial" w:cs="Arial" w:eastAsia="Arial" w:hAnsi="Arial"/>
                <w:sz w:val="10"/>
                <w:szCs w:val="10"/>
                <w:color w:val="464446"/>
                <w:w w:val="99"/>
              </w:rPr>
              <w:t>g</w:t>
            </w:r>
          </w:p>
        </w:tc>
        <w:tc>
          <w:tcPr>
            <w:tcW w:w="0" w:type="dxa"/>
            <w:vAlign w:val="bottom"/>
          </w:tcPr>
          <w:p>
            <w:pPr>
              <w:spacing w:after="0"/>
              <w:rPr>
                <w:sz w:val="1"/>
                <w:szCs w:val="1"/>
                <w:color w:val="auto"/>
              </w:rPr>
            </w:pPr>
          </w:p>
        </w:tc>
      </w:tr>
      <w:tr>
        <w:trPr>
          <w:trHeight w:val="29"/>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MR Asso</w:t>
            </w:r>
            <w:r>
              <w:rPr>
                <w:rFonts w:ascii="Arial" w:cs="Arial" w:eastAsia="Arial" w:hAnsi="Arial"/>
                <w:sz w:val="10"/>
                <w:szCs w:val="10"/>
                <w:color w:val="5D5D60"/>
              </w:rPr>
              <w:t>ci</w:t>
            </w:r>
            <w:r>
              <w:rPr>
                <w:rFonts w:ascii="Arial" w:cs="Arial" w:eastAsia="Arial" w:hAnsi="Arial"/>
                <w:sz w:val="10"/>
                <w:szCs w:val="10"/>
                <w:color w:val="464446"/>
              </w:rPr>
              <w:t xml:space="preserve">at </w:t>
            </w:r>
            <w:r>
              <w:rPr>
                <w:rFonts w:ascii="Arial" w:cs="Arial" w:eastAsia="Arial" w:hAnsi="Arial"/>
                <w:sz w:val="10"/>
                <w:szCs w:val="10"/>
                <w:color w:val="1F1F23"/>
              </w:rPr>
              <w:t>i</w:t>
            </w:r>
            <w:r>
              <w:rPr>
                <w:rFonts w:ascii="Arial" w:cs="Arial" w:eastAsia="Arial" w:hAnsi="Arial"/>
                <w:sz w:val="10"/>
                <w:szCs w:val="10"/>
                <w:color w:val="464446"/>
              </w:rPr>
              <w:t>o</w:t>
            </w:r>
            <w:r>
              <w:rPr>
                <w:rFonts w:ascii="Arial" w:cs="Arial" w:eastAsia="Arial" w:hAnsi="Arial"/>
                <w:sz w:val="10"/>
                <w:szCs w:val="10"/>
                <w:color w:val="1F1F23"/>
              </w:rPr>
              <w:t>n</w:t>
            </w:r>
            <w:r>
              <w:rPr>
                <w:rFonts w:ascii="Arial" w:cs="Arial" w:eastAsia="Arial" w:hAnsi="Arial"/>
                <w:sz w:val="10"/>
                <w:szCs w:val="10"/>
                <w:color w:val="464446"/>
              </w:rPr>
              <w:t xml:space="preserve"> D</w:t>
            </w:r>
            <w:r>
              <w:rPr>
                <w:rFonts w:ascii="Arial" w:cs="Arial" w:eastAsia="Arial" w:hAnsi="Arial"/>
                <w:sz w:val="10"/>
                <w:szCs w:val="10"/>
                <w:color w:val="1F1F23"/>
              </w:rPr>
              <w:t>u</w:t>
            </w:r>
            <w:r>
              <w:rPr>
                <w:rFonts w:ascii="Arial" w:cs="Arial" w:eastAsia="Arial" w:hAnsi="Arial"/>
                <w:sz w:val="10"/>
                <w:szCs w:val="10"/>
                <w:color w:val="464446"/>
              </w:rPr>
              <w:t>e</w:t>
            </w:r>
            <w:r>
              <w:rPr>
                <w:rFonts w:ascii="Arial" w:cs="Arial" w:eastAsia="Arial" w:hAnsi="Arial"/>
                <w:sz w:val="10"/>
                <w:szCs w:val="10"/>
                <w:color w:val="5D5D60"/>
              </w:rPr>
              <w:t>s</w:t>
            </w:r>
          </w:p>
        </w:tc>
        <w:tc>
          <w:tcPr>
            <w:tcW w:w="12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4</w:t>
            </w:r>
            <w:r>
              <w:rPr>
                <w:rFonts w:ascii="Arial" w:cs="Arial" w:eastAsia="Arial" w:hAnsi="Arial"/>
                <w:sz w:val="10"/>
                <w:szCs w:val="10"/>
                <w:color w:val="5D5D60"/>
              </w:rPr>
              <w:t>2,</w:t>
            </w:r>
            <w:r>
              <w:rPr>
                <w:rFonts w:ascii="Arial" w:cs="Arial" w:eastAsia="Arial" w:hAnsi="Arial"/>
                <w:sz w:val="10"/>
                <w:szCs w:val="10"/>
                <w:color w:val="464446"/>
              </w:rPr>
              <w:t>08</w:t>
            </w:r>
            <w:r>
              <w:rPr>
                <w:rFonts w:ascii="Arial" w:cs="Arial" w:eastAsia="Arial" w:hAnsi="Arial"/>
                <w:sz w:val="10"/>
                <w:szCs w:val="10"/>
                <w:color w:val="5D5D60"/>
              </w:rPr>
              <w:t>1</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5D5D60"/>
              </w:rPr>
              <w:t>5</w:t>
            </w:r>
            <w:r>
              <w:rPr>
                <w:rFonts w:ascii="Arial" w:cs="Arial" w:eastAsia="Arial" w:hAnsi="Arial"/>
                <w:sz w:val="10"/>
                <w:szCs w:val="10"/>
                <w:color w:val="464446"/>
              </w:rPr>
              <w:t>0</w:t>
            </w:r>
            <w:r>
              <w:rPr>
                <w:rFonts w:ascii="Arial" w:cs="Arial" w:eastAsia="Arial" w:hAnsi="Arial"/>
                <w:sz w:val="10"/>
                <w:szCs w:val="10"/>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w w:val="97"/>
              </w:rPr>
              <w:t>2</w:t>
            </w:r>
            <w:r>
              <w:rPr>
                <w:rFonts w:ascii="Arial" w:cs="Arial" w:eastAsia="Arial" w:hAnsi="Arial"/>
                <w:sz w:val="10"/>
                <w:szCs w:val="10"/>
                <w:color w:val="1F1F23"/>
                <w:w w:val="97"/>
              </w:rPr>
              <w:t>1</w:t>
            </w:r>
            <w:r>
              <w:rPr>
                <w:rFonts w:ascii="Arial" w:cs="Arial" w:eastAsia="Arial" w:hAnsi="Arial"/>
                <w:sz w:val="10"/>
                <w:szCs w:val="10"/>
                <w:color w:val="5D5D60"/>
                <w:w w:val="97"/>
              </w:rPr>
              <w:t>,0</w:t>
            </w:r>
            <w:r>
              <w:rPr>
                <w:rFonts w:ascii="Arial" w:cs="Arial" w:eastAsia="Arial" w:hAnsi="Arial"/>
                <w:sz w:val="10"/>
                <w:szCs w:val="10"/>
                <w:color w:val="464446"/>
                <w:w w:val="97"/>
              </w:rPr>
              <w:t>4</w:t>
            </w:r>
            <w:r>
              <w:rPr>
                <w:rFonts w:ascii="Arial" w:cs="Arial" w:eastAsia="Arial" w:hAnsi="Arial"/>
                <w:sz w:val="10"/>
                <w:szCs w:val="10"/>
                <w:color w:val="5D5D60"/>
                <w:w w:val="97"/>
              </w:rPr>
              <w:t>1</w:t>
            </w:r>
          </w:p>
        </w:tc>
        <w:tc>
          <w:tcPr>
            <w:tcW w:w="680" w:type="dxa"/>
            <w:vAlign w:val="bottom"/>
            <w:tcBorders>
              <w:right w:val="single" w:sz="8" w:color="auto"/>
            </w:tcBorders>
            <w:gridSpan w:val="2"/>
          </w:tcPr>
          <w:p>
            <w:pPr>
              <w:ind w:left="100"/>
              <w:spacing w:after="0"/>
              <w:rPr>
                <w:sz w:val="20"/>
                <w:szCs w:val="20"/>
                <w:color w:val="auto"/>
              </w:rPr>
            </w:pPr>
            <w:r>
              <w:rPr>
                <w:rFonts w:ascii="Arial" w:cs="Arial" w:eastAsia="Arial" w:hAnsi="Arial"/>
                <w:sz w:val="10"/>
                <w:szCs w:val="10"/>
                <w:color w:val="464446"/>
              </w:rPr>
              <w:t xml:space="preserve">$  </w:t>
            </w:r>
            <w:r>
              <w:rPr>
                <w:rFonts w:ascii="Arial" w:cs="Arial" w:eastAsia="Arial" w:hAnsi="Arial"/>
                <w:sz w:val="10"/>
                <w:szCs w:val="10"/>
                <w:color w:val="5D5D60"/>
              </w:rPr>
              <w:t>2</w:t>
            </w:r>
            <w:r>
              <w:rPr>
                <w:rFonts w:ascii="Arial" w:cs="Arial" w:eastAsia="Arial" w:hAnsi="Arial"/>
                <w:sz w:val="10"/>
                <w:szCs w:val="10"/>
                <w:color w:val="313133"/>
              </w:rPr>
              <w:t>1</w:t>
            </w:r>
            <w:r>
              <w:rPr>
                <w:rFonts w:ascii="Arial" w:cs="Arial" w:eastAsia="Arial" w:hAnsi="Arial"/>
                <w:sz w:val="10"/>
                <w:szCs w:val="10"/>
                <w:color w:val="5D5D60"/>
              </w:rPr>
              <w:t>,</w:t>
            </w:r>
            <w:r>
              <w:rPr>
                <w:rFonts w:ascii="Arial" w:cs="Arial" w:eastAsia="Arial" w:hAnsi="Arial"/>
                <w:sz w:val="10"/>
                <w:szCs w:val="10"/>
                <w:color w:val="464446"/>
              </w:rPr>
              <w:t>672</w:t>
            </w:r>
          </w:p>
        </w:tc>
        <w:tc>
          <w:tcPr>
            <w:tcW w:w="140" w:type="dxa"/>
            <w:vAlign w:val="bottom"/>
          </w:tcPr>
          <w:p>
            <w:pPr>
              <w:spacing w:after="0"/>
              <w:rPr>
                <w:sz w:val="20"/>
                <w:szCs w:val="20"/>
                <w:color w:val="auto"/>
              </w:rPr>
            </w:pPr>
            <w:r>
              <w:rPr>
                <w:rFonts w:ascii="Arial" w:cs="Arial" w:eastAsia="Arial" w:hAnsi="Arial"/>
                <w:sz w:val="16"/>
                <w:szCs w:val="16"/>
                <w:b w:val="1"/>
                <w:bCs w:val="1"/>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0</w:t>
            </w:r>
            <w:r>
              <w:rPr>
                <w:rFonts w:ascii="Arial" w:cs="Arial" w:eastAsia="Arial" w:hAnsi="Arial"/>
                <w:sz w:val="10"/>
                <w:szCs w:val="10"/>
                <w:color w:val="5D5D60"/>
              </w:rPr>
              <w:t>,</w:t>
            </w:r>
            <w:r>
              <w:rPr>
                <w:rFonts w:ascii="Arial" w:cs="Arial" w:eastAsia="Arial" w:hAnsi="Arial"/>
                <w:sz w:val="10"/>
                <w:szCs w:val="10"/>
                <w:color w:val="464446"/>
              </w:rPr>
              <w:t>520</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464446"/>
                <w:w w:val="71"/>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0</w:t>
            </w:r>
            <w:r>
              <w:rPr>
                <w:rFonts w:ascii="Arial" w:cs="Arial" w:eastAsia="Arial" w:hAnsi="Arial"/>
                <w:sz w:val="10"/>
                <w:szCs w:val="10"/>
                <w:color w:val="5D5D60"/>
              </w:rPr>
              <w:t>,52</w:t>
            </w:r>
            <w:r>
              <w:rPr>
                <w:rFonts w:ascii="Arial" w:cs="Arial" w:eastAsia="Arial" w:hAnsi="Arial"/>
                <w:sz w:val="10"/>
                <w:szCs w:val="10"/>
                <w:color w:val="464446"/>
              </w:rPr>
              <w:t>0</w:t>
            </w:r>
          </w:p>
        </w:tc>
        <w:tc>
          <w:tcPr>
            <w:tcW w:w="66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jc w:val="center"/>
              <w:ind w:left="1190"/>
              <w:spacing w:after="0"/>
              <w:rPr>
                <w:sz w:val="20"/>
                <w:szCs w:val="20"/>
                <w:color w:val="auto"/>
              </w:rPr>
            </w:pPr>
            <w:r>
              <w:rPr>
                <w:rFonts w:ascii="Arial" w:cs="Arial" w:eastAsia="Arial" w:hAnsi="Arial"/>
                <w:sz w:val="10"/>
                <w:szCs w:val="10"/>
                <w:color w:val="1F1F23"/>
                <w:w w:val="99"/>
              </w:rPr>
              <w:t>E</w:t>
            </w:r>
            <w:r>
              <w:rPr>
                <w:rFonts w:ascii="Arial" w:cs="Arial" w:eastAsia="Arial" w:hAnsi="Arial"/>
                <w:sz w:val="10"/>
                <w:szCs w:val="10"/>
                <w:color w:val="464446"/>
                <w:w w:val="99"/>
              </w:rPr>
              <w:t>ve</w:t>
            </w:r>
            <w:r>
              <w:rPr>
                <w:rFonts w:ascii="Arial" w:cs="Arial" w:eastAsia="Arial" w:hAnsi="Arial"/>
                <w:sz w:val="10"/>
                <w:szCs w:val="10"/>
                <w:color w:val="5D5D60"/>
                <w:w w:val="99"/>
              </w:rPr>
              <w:t>n</w:t>
            </w:r>
            <w:r>
              <w:rPr>
                <w:rFonts w:ascii="Arial" w:cs="Arial" w:eastAsia="Arial" w:hAnsi="Arial"/>
                <w:sz w:val="10"/>
                <w:szCs w:val="10"/>
                <w:color w:val="464446"/>
                <w:w w:val="99"/>
              </w:rPr>
              <w:t>ly spl</w:t>
            </w:r>
            <w:r>
              <w:rPr>
                <w:rFonts w:ascii="Arial" w:cs="Arial" w:eastAsia="Arial" w:hAnsi="Arial"/>
                <w:sz w:val="10"/>
                <w:szCs w:val="10"/>
                <w:color w:val="1F1F23"/>
                <w:w w:val="99"/>
              </w:rPr>
              <w:t>i</w:t>
            </w:r>
            <w:r>
              <w:rPr>
                <w:rFonts w:ascii="Arial" w:cs="Arial" w:eastAsia="Arial" w:hAnsi="Arial"/>
                <w:sz w:val="10"/>
                <w:szCs w:val="10"/>
                <w:color w:val="010101"/>
                <w:w w:val="99"/>
              </w:rPr>
              <w:t>t</w:t>
            </w:r>
            <w:r>
              <w:rPr>
                <w:rFonts w:ascii="Arial" w:cs="Arial" w:eastAsia="Arial" w:hAnsi="Arial"/>
                <w:sz w:val="10"/>
                <w:szCs w:val="10"/>
                <w:color w:val="1F1F23"/>
                <w:w w:val="99"/>
              </w:rPr>
              <w:t xml:space="preserve"> b</w:t>
            </w:r>
            <w:r>
              <w:rPr>
                <w:rFonts w:ascii="Arial" w:cs="Arial" w:eastAsia="Arial" w:hAnsi="Arial"/>
                <w:sz w:val="10"/>
                <w:szCs w:val="10"/>
                <w:color w:val="464446"/>
                <w:w w:val="99"/>
              </w:rPr>
              <w:t>e</w:t>
            </w:r>
            <w:r>
              <w:rPr>
                <w:rFonts w:ascii="Arial" w:cs="Arial" w:eastAsia="Arial" w:hAnsi="Arial"/>
                <w:sz w:val="10"/>
                <w:szCs w:val="10"/>
                <w:color w:val="1F1F23"/>
                <w:w w:val="99"/>
              </w:rPr>
              <w:t>t</w:t>
            </w:r>
            <w:r>
              <w:rPr>
                <w:rFonts w:ascii="Arial" w:cs="Arial" w:eastAsia="Arial" w:hAnsi="Arial"/>
                <w:sz w:val="10"/>
                <w:szCs w:val="10"/>
                <w:color w:val="464446"/>
                <w:w w:val="99"/>
              </w:rPr>
              <w:t>wee</w:t>
            </w:r>
            <w:r>
              <w:rPr>
                <w:rFonts w:ascii="Arial" w:cs="Arial" w:eastAsia="Arial" w:hAnsi="Arial"/>
                <w:sz w:val="10"/>
                <w:szCs w:val="10"/>
                <w:color w:val="5D5D60"/>
                <w:w w:val="99"/>
              </w:rPr>
              <w:t>n</w:t>
            </w:r>
            <w:r>
              <w:rPr>
                <w:rFonts w:ascii="Arial" w:cs="Arial" w:eastAsia="Arial" w:hAnsi="Arial"/>
                <w:sz w:val="10"/>
                <w:szCs w:val="10"/>
                <w:color w:val="1F1F23"/>
                <w:w w:val="99"/>
              </w:rPr>
              <w:t xml:space="preserve"> </w:t>
            </w:r>
            <w:r>
              <w:rPr>
                <w:rFonts w:ascii="Arial" w:cs="Arial" w:eastAsia="Arial" w:hAnsi="Arial"/>
                <w:sz w:val="10"/>
                <w:szCs w:val="10"/>
                <w:color w:val="464446"/>
                <w:w w:val="99"/>
              </w:rPr>
              <w:t>offi</w:t>
            </w:r>
            <w:r>
              <w:rPr>
                <w:rFonts w:ascii="Arial" w:cs="Arial" w:eastAsia="Arial" w:hAnsi="Arial"/>
                <w:sz w:val="10"/>
                <w:szCs w:val="10"/>
                <w:color w:val="5D5D60"/>
                <w:w w:val="99"/>
              </w:rPr>
              <w:t>c</w:t>
            </w:r>
            <w:r>
              <w:rPr>
                <w:rFonts w:ascii="Arial" w:cs="Arial" w:eastAsia="Arial" w:hAnsi="Arial"/>
                <w:sz w:val="10"/>
                <w:szCs w:val="10"/>
                <w:color w:val="464446"/>
                <w:w w:val="99"/>
              </w:rPr>
              <w:t>e a</w:t>
            </w:r>
            <w:r>
              <w:rPr>
                <w:rFonts w:ascii="Arial" w:cs="Arial" w:eastAsia="Arial" w:hAnsi="Arial"/>
                <w:sz w:val="10"/>
                <w:szCs w:val="10"/>
                <w:color w:val="1F1F23"/>
                <w:w w:val="99"/>
              </w:rPr>
              <w:t xml:space="preserve">nd </w:t>
            </w:r>
            <w:r>
              <w:rPr>
                <w:rFonts w:ascii="Arial" w:cs="Arial" w:eastAsia="Arial" w:hAnsi="Arial"/>
                <w:sz w:val="10"/>
                <w:szCs w:val="10"/>
                <w:color w:val="464446"/>
                <w:w w:val="99"/>
              </w:rPr>
              <w:t>pla</w:t>
            </w:r>
            <w:r>
              <w:rPr>
                <w:rFonts w:ascii="Arial" w:cs="Arial" w:eastAsia="Arial" w:hAnsi="Arial"/>
                <w:sz w:val="10"/>
                <w:szCs w:val="10"/>
                <w:color w:val="1F1F23"/>
                <w:w w:val="99"/>
              </w:rPr>
              <w:t>n</w:t>
            </w:r>
            <w:r>
              <w:rPr>
                <w:rFonts w:ascii="Arial" w:cs="Arial" w:eastAsia="Arial" w:hAnsi="Arial"/>
                <w:sz w:val="10"/>
                <w:szCs w:val="10"/>
                <w:color w:val="010101"/>
                <w:w w:val="99"/>
              </w:rPr>
              <w:t>t</w:t>
            </w:r>
            <w:r>
              <w:rPr>
                <w:rFonts w:ascii="Arial" w:cs="Arial" w:eastAsia="Arial" w:hAnsi="Arial"/>
                <w:sz w:val="10"/>
                <w:szCs w:val="10"/>
                <w:color w:val="1F1F23"/>
                <w:w w:val="99"/>
              </w:rPr>
              <w:t xml:space="preserve"> </w:t>
            </w:r>
            <w:r>
              <w:rPr>
                <w:rFonts w:ascii="Arial" w:cs="Arial" w:eastAsia="Arial" w:hAnsi="Arial"/>
                <w:sz w:val="10"/>
                <w:szCs w:val="10"/>
                <w:color w:val="464446"/>
                <w:w w:val="99"/>
              </w:rPr>
              <w:t>give</w:t>
            </w:r>
            <w:r>
              <w:rPr>
                <w:rFonts w:ascii="Arial" w:cs="Arial" w:eastAsia="Arial" w:hAnsi="Arial"/>
                <w:sz w:val="10"/>
                <w:szCs w:val="10"/>
                <w:color w:val="1F1F23"/>
                <w:w w:val="99"/>
              </w:rPr>
              <w:t xml:space="preserve"> n </w:t>
            </w:r>
            <w:r>
              <w:rPr>
                <w:rFonts w:ascii="Arial" w:cs="Arial" w:eastAsia="Arial" w:hAnsi="Arial"/>
                <w:sz w:val="10"/>
                <w:szCs w:val="10"/>
                <w:color w:val="5D5D60"/>
                <w:w w:val="99"/>
              </w:rPr>
              <w:t>land</w:t>
            </w:r>
            <w:r>
              <w:rPr>
                <w:rFonts w:ascii="Arial" w:cs="Arial" w:eastAsia="Arial" w:hAnsi="Arial"/>
                <w:sz w:val="10"/>
                <w:szCs w:val="10"/>
                <w:color w:val="1F1F23"/>
                <w:w w:val="99"/>
              </w:rPr>
              <w:t xml:space="preserve"> u</w:t>
            </w:r>
            <w:r>
              <w:rPr>
                <w:rFonts w:ascii="Arial" w:cs="Arial" w:eastAsia="Arial" w:hAnsi="Arial"/>
                <w:sz w:val="10"/>
                <w:szCs w:val="10"/>
                <w:color w:val="464446"/>
                <w:w w:val="99"/>
              </w:rPr>
              <w:t>sa</w:t>
            </w:r>
            <w:r>
              <w:rPr>
                <w:rFonts w:ascii="Arial" w:cs="Arial" w:eastAsia="Arial" w:hAnsi="Arial"/>
                <w:sz w:val="10"/>
                <w:szCs w:val="10"/>
                <w:color w:val="5D5D60"/>
                <w:w w:val="99"/>
              </w:rPr>
              <w:t>g</w:t>
            </w:r>
            <w:r>
              <w:rPr>
                <w:rFonts w:ascii="Arial" w:cs="Arial" w:eastAsia="Arial" w:hAnsi="Arial"/>
                <w:sz w:val="10"/>
                <w:szCs w:val="10"/>
                <w:color w:val="464446"/>
                <w:w w:val="99"/>
              </w:rPr>
              <w:t>e</w:t>
            </w:r>
          </w:p>
        </w:tc>
        <w:tc>
          <w:tcPr>
            <w:tcW w:w="0" w:type="dxa"/>
            <w:vAlign w:val="bottom"/>
          </w:tcPr>
          <w:p>
            <w:pPr>
              <w:spacing w:after="0"/>
              <w:rPr>
                <w:sz w:val="1"/>
                <w:szCs w:val="1"/>
                <w:color w:val="auto"/>
              </w:rPr>
            </w:pPr>
          </w:p>
        </w:tc>
      </w:tr>
      <w:tr>
        <w:trPr>
          <w:trHeight w:val="29"/>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 xml:space="preserve">Property </w:t>
            </w:r>
            <w:r>
              <w:rPr>
                <w:rFonts w:ascii="Arial" w:cs="Arial" w:eastAsia="Arial" w:hAnsi="Arial"/>
                <w:sz w:val="10"/>
                <w:szCs w:val="10"/>
                <w:b w:val="1"/>
                <w:bCs w:val="1"/>
                <w:color w:val="5D5D60"/>
              </w:rPr>
              <w:t>Ta</w:t>
            </w:r>
            <w:r>
              <w:rPr>
                <w:rFonts w:ascii="Arial" w:cs="Arial" w:eastAsia="Arial" w:hAnsi="Arial"/>
                <w:sz w:val="10"/>
                <w:szCs w:val="10"/>
                <w:b w:val="1"/>
                <w:bCs w:val="1"/>
                <w:color w:val="464446"/>
              </w:rPr>
              <w:t>x</w:t>
            </w:r>
          </w:p>
        </w:tc>
        <w:tc>
          <w:tcPr>
            <w:tcW w:w="120" w:type="dxa"/>
            <w:vAlign w:val="bottom"/>
          </w:tcPr>
          <w:p>
            <w:pPr>
              <w:spacing w:after="0"/>
              <w:rPr>
                <w:sz w:val="20"/>
                <w:szCs w:val="20"/>
                <w:color w:val="auto"/>
              </w:rPr>
            </w:pPr>
            <w:r>
              <w:rPr>
                <w:rFonts w:ascii="Arial" w:cs="Arial" w:eastAsia="Arial" w:hAnsi="Arial"/>
                <w:sz w:val="17"/>
                <w:szCs w:val="17"/>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618</w:t>
            </w:r>
            <w:r>
              <w:rPr>
                <w:rFonts w:ascii="Arial" w:cs="Arial" w:eastAsia="Arial" w:hAnsi="Arial"/>
                <w:sz w:val="10"/>
                <w:szCs w:val="10"/>
                <w:color w:val="5D5D60"/>
              </w:rPr>
              <w:t>,</w:t>
            </w:r>
            <w:r>
              <w:rPr>
                <w:rFonts w:ascii="Arial" w:cs="Arial" w:eastAsia="Arial" w:hAnsi="Arial"/>
                <w:sz w:val="10"/>
                <w:szCs w:val="10"/>
                <w:color w:val="464446"/>
              </w:rPr>
              <w:t>0</w:t>
            </w:r>
            <w:r>
              <w:rPr>
                <w:rFonts w:ascii="Arial" w:cs="Arial" w:eastAsia="Arial" w:hAnsi="Arial"/>
                <w:sz w:val="10"/>
                <w:szCs w:val="10"/>
                <w:color w:val="5D5D60"/>
              </w:rPr>
              <w:t>1</w:t>
            </w:r>
            <w:r>
              <w:rPr>
                <w:rFonts w:ascii="Arial" w:cs="Arial" w:eastAsia="Arial" w:hAnsi="Arial"/>
                <w:sz w:val="10"/>
                <w:szCs w:val="10"/>
                <w:color w:val="464446"/>
              </w:rPr>
              <w:t>2</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5D5D60"/>
              </w:rPr>
              <w:t>5</w:t>
            </w:r>
            <w:r>
              <w:rPr>
                <w:rFonts w:ascii="Arial" w:cs="Arial" w:eastAsia="Arial" w:hAnsi="Arial"/>
                <w:sz w:val="10"/>
                <w:szCs w:val="10"/>
                <w:color w:val="464446"/>
              </w:rPr>
              <w:t>0</w:t>
            </w:r>
            <w:r>
              <w:rPr>
                <w:rFonts w:ascii="Arial" w:cs="Arial" w:eastAsia="Arial" w:hAnsi="Arial"/>
                <w:sz w:val="10"/>
                <w:szCs w:val="10"/>
                <w:color w:val="5D5D60"/>
              </w:rPr>
              <w:t>%</w:t>
            </w:r>
          </w:p>
        </w:tc>
        <w:tc>
          <w:tcPr>
            <w:tcW w:w="220" w:type="dxa"/>
            <w:vAlign w:val="bottom"/>
          </w:tcPr>
          <w:p>
            <w:pPr>
              <w:ind w:left="10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50"/>
              <w:spacing w:after="0"/>
              <w:rPr>
                <w:sz w:val="20"/>
                <w:szCs w:val="20"/>
                <w:color w:val="auto"/>
              </w:rPr>
            </w:pPr>
            <w:r>
              <w:rPr>
                <w:rFonts w:ascii="Arial" w:cs="Arial" w:eastAsia="Arial" w:hAnsi="Arial"/>
                <w:sz w:val="10"/>
                <w:szCs w:val="10"/>
                <w:color w:val="464446"/>
                <w:w w:val="99"/>
              </w:rPr>
              <w:t>309</w:t>
            </w:r>
            <w:r>
              <w:rPr>
                <w:rFonts w:ascii="Arial" w:cs="Arial" w:eastAsia="Arial" w:hAnsi="Arial"/>
                <w:sz w:val="10"/>
                <w:szCs w:val="10"/>
                <w:color w:val="5D5D60"/>
                <w:w w:val="99"/>
              </w:rPr>
              <w:t>,</w:t>
            </w:r>
            <w:r>
              <w:rPr>
                <w:rFonts w:ascii="Arial" w:cs="Arial" w:eastAsia="Arial" w:hAnsi="Arial"/>
                <w:sz w:val="10"/>
                <w:szCs w:val="10"/>
                <w:color w:val="464446"/>
                <w:w w:val="99"/>
              </w:rPr>
              <w:t>006</w:t>
            </w:r>
          </w:p>
        </w:tc>
        <w:tc>
          <w:tcPr>
            <w:tcW w:w="680" w:type="dxa"/>
            <w:vAlign w:val="bottom"/>
            <w:tcBorders>
              <w:right w:val="single" w:sz="8" w:color="auto"/>
            </w:tcBorders>
            <w:gridSpan w:val="2"/>
          </w:tcPr>
          <w:p>
            <w:pPr>
              <w:ind w:left="80"/>
              <w:spacing w:after="0"/>
              <w:rPr>
                <w:sz w:val="20"/>
                <w:szCs w:val="20"/>
                <w:color w:val="auto"/>
              </w:rPr>
            </w:pPr>
            <w:r>
              <w:rPr>
                <w:rFonts w:ascii="Arial" w:cs="Arial" w:eastAsia="Arial" w:hAnsi="Arial"/>
                <w:sz w:val="10"/>
                <w:szCs w:val="10"/>
                <w:color w:val="464446"/>
              </w:rPr>
              <w:t xml:space="preserve">$  </w:t>
            </w:r>
            <w:r>
              <w:rPr>
                <w:rFonts w:ascii="Arial" w:cs="Arial" w:eastAsia="Arial" w:hAnsi="Arial"/>
                <w:sz w:val="10"/>
                <w:szCs w:val="10"/>
                <w:color w:val="5D5D60"/>
              </w:rPr>
              <w:t>3</w:t>
            </w:r>
            <w:r>
              <w:rPr>
                <w:rFonts w:ascii="Arial" w:cs="Arial" w:eastAsia="Arial" w:hAnsi="Arial"/>
                <w:sz w:val="10"/>
                <w:szCs w:val="10"/>
                <w:color w:val="1F1F23"/>
              </w:rPr>
              <w:t>1</w:t>
            </w:r>
            <w:r>
              <w:rPr>
                <w:rFonts w:ascii="Arial" w:cs="Arial" w:eastAsia="Arial" w:hAnsi="Arial"/>
                <w:sz w:val="10"/>
                <w:szCs w:val="10"/>
                <w:color w:val="464446"/>
              </w:rPr>
              <w:t>8</w:t>
            </w:r>
            <w:r>
              <w:rPr>
                <w:rFonts w:ascii="Arial" w:cs="Arial" w:eastAsia="Arial" w:hAnsi="Arial"/>
                <w:sz w:val="10"/>
                <w:szCs w:val="10"/>
                <w:color w:val="5D5D60"/>
              </w:rPr>
              <w:t>,</w:t>
            </w:r>
            <w:r>
              <w:rPr>
                <w:rFonts w:ascii="Arial" w:cs="Arial" w:eastAsia="Arial" w:hAnsi="Arial"/>
                <w:sz w:val="10"/>
                <w:szCs w:val="10"/>
                <w:color w:val="464446"/>
              </w:rPr>
              <w:t>276</w:t>
            </w:r>
          </w:p>
        </w:tc>
        <w:tc>
          <w:tcPr>
            <w:tcW w:w="140" w:type="dxa"/>
            <w:vAlign w:val="bottom"/>
          </w:tcPr>
          <w:p>
            <w:pPr>
              <w:spacing w:after="0"/>
              <w:rPr>
                <w:sz w:val="20"/>
                <w:szCs w:val="20"/>
                <w:color w:val="auto"/>
              </w:rPr>
            </w:pPr>
            <w:r>
              <w:rPr>
                <w:rFonts w:ascii="Arial" w:cs="Arial" w:eastAsia="Arial" w:hAnsi="Arial"/>
                <w:sz w:val="17"/>
                <w:szCs w:val="17"/>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757775"/>
              </w:rPr>
              <w:t>1</w:t>
            </w:r>
            <w:r>
              <w:rPr>
                <w:rFonts w:ascii="Arial" w:cs="Arial" w:eastAsia="Arial" w:hAnsi="Arial"/>
                <w:sz w:val="10"/>
                <w:szCs w:val="10"/>
                <w:color w:val="464446"/>
              </w:rPr>
              <w:t>54</w:t>
            </w:r>
            <w:r>
              <w:rPr>
                <w:rFonts w:ascii="Arial" w:cs="Arial" w:eastAsia="Arial" w:hAnsi="Arial"/>
                <w:sz w:val="10"/>
                <w:szCs w:val="10"/>
                <w:color w:val="5D5D60"/>
              </w:rPr>
              <w:t>,5</w:t>
            </w:r>
            <w:r>
              <w:rPr>
                <w:rFonts w:ascii="Arial" w:cs="Arial" w:eastAsia="Arial" w:hAnsi="Arial"/>
                <w:sz w:val="10"/>
                <w:szCs w:val="10"/>
                <w:color w:val="464446"/>
              </w:rPr>
              <w:t>03</w:t>
            </w:r>
          </w:p>
        </w:tc>
        <w:tc>
          <w:tcPr>
            <w:tcW w:w="140" w:type="dxa"/>
            <w:vAlign w:val="bottom"/>
          </w:tcPr>
          <w:p>
            <w:pPr>
              <w:ind w:left="60"/>
              <w:spacing w:after="0"/>
              <w:rPr>
                <w:sz w:val="20"/>
                <w:szCs w:val="20"/>
                <w:color w:val="auto"/>
              </w:rPr>
            </w:pPr>
            <w:r>
              <w:rPr>
                <w:rFonts w:ascii="Arial" w:cs="Arial" w:eastAsia="Arial" w:hAnsi="Arial"/>
                <w:sz w:val="17"/>
                <w:szCs w:val="17"/>
                <w:color w:val="464446"/>
                <w:w w:val="70"/>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5D5D60"/>
              </w:rPr>
              <w:t>1</w:t>
            </w:r>
            <w:r>
              <w:rPr>
                <w:rFonts w:ascii="Arial" w:cs="Arial" w:eastAsia="Arial" w:hAnsi="Arial"/>
                <w:sz w:val="10"/>
                <w:szCs w:val="10"/>
                <w:color w:val="464446"/>
              </w:rPr>
              <w:t>54</w:t>
            </w:r>
            <w:r>
              <w:rPr>
                <w:rFonts w:ascii="Arial" w:cs="Arial" w:eastAsia="Arial" w:hAnsi="Arial"/>
                <w:sz w:val="10"/>
                <w:szCs w:val="10"/>
                <w:color w:val="5D5D60"/>
              </w:rPr>
              <w:t>,</w:t>
            </w:r>
            <w:r>
              <w:rPr>
                <w:rFonts w:ascii="Arial" w:cs="Arial" w:eastAsia="Arial" w:hAnsi="Arial"/>
                <w:sz w:val="10"/>
                <w:szCs w:val="10"/>
                <w:color w:val="464446"/>
              </w:rPr>
              <w:t>503</w:t>
            </w:r>
          </w:p>
        </w:tc>
        <w:tc>
          <w:tcPr>
            <w:tcW w:w="6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jc w:val="center"/>
              <w:ind w:left="1190"/>
              <w:spacing w:after="0"/>
              <w:rPr>
                <w:sz w:val="20"/>
                <w:szCs w:val="20"/>
                <w:color w:val="auto"/>
              </w:rPr>
            </w:pPr>
            <w:r>
              <w:rPr>
                <w:rFonts w:ascii="Arial" w:cs="Arial" w:eastAsia="Arial" w:hAnsi="Arial"/>
                <w:sz w:val="10"/>
                <w:szCs w:val="10"/>
                <w:color w:val="1F1F23"/>
                <w:w w:val="99"/>
              </w:rPr>
              <w:t>Ev</w:t>
            </w:r>
            <w:r>
              <w:rPr>
                <w:rFonts w:ascii="Arial" w:cs="Arial" w:eastAsia="Arial" w:hAnsi="Arial"/>
                <w:sz w:val="10"/>
                <w:szCs w:val="10"/>
                <w:color w:val="464446"/>
                <w:w w:val="99"/>
              </w:rPr>
              <w:t>e</w:t>
            </w:r>
            <w:r>
              <w:rPr>
                <w:rFonts w:ascii="Arial" w:cs="Arial" w:eastAsia="Arial" w:hAnsi="Arial"/>
                <w:sz w:val="10"/>
                <w:szCs w:val="10"/>
                <w:color w:val="5D5D60"/>
                <w:w w:val="99"/>
              </w:rPr>
              <w:t>nly</w:t>
            </w:r>
            <w:r>
              <w:rPr>
                <w:rFonts w:ascii="Arial" w:cs="Arial" w:eastAsia="Arial" w:hAnsi="Arial"/>
                <w:sz w:val="10"/>
                <w:szCs w:val="10"/>
                <w:color w:val="1F1F23"/>
                <w:w w:val="99"/>
              </w:rPr>
              <w:t xml:space="preserve"> </w:t>
            </w:r>
            <w:r>
              <w:rPr>
                <w:rFonts w:ascii="Arial" w:cs="Arial" w:eastAsia="Arial" w:hAnsi="Arial"/>
                <w:sz w:val="10"/>
                <w:szCs w:val="10"/>
                <w:color w:val="464446"/>
                <w:w w:val="99"/>
              </w:rPr>
              <w:t>s</w:t>
            </w:r>
            <w:r>
              <w:rPr>
                <w:rFonts w:ascii="Arial" w:cs="Arial" w:eastAsia="Arial" w:hAnsi="Arial"/>
                <w:sz w:val="10"/>
                <w:szCs w:val="10"/>
                <w:color w:val="5D5D60"/>
                <w:w w:val="99"/>
              </w:rPr>
              <w:t>p</w:t>
            </w:r>
            <w:r>
              <w:rPr>
                <w:rFonts w:ascii="Arial" w:cs="Arial" w:eastAsia="Arial" w:hAnsi="Arial"/>
                <w:sz w:val="10"/>
                <w:szCs w:val="10"/>
                <w:color w:val="464446"/>
                <w:w w:val="99"/>
              </w:rPr>
              <w:t>li</w:t>
            </w:r>
            <w:r>
              <w:rPr>
                <w:rFonts w:ascii="Arial" w:cs="Arial" w:eastAsia="Arial" w:hAnsi="Arial"/>
                <w:sz w:val="10"/>
                <w:szCs w:val="10"/>
                <w:color w:val="1F1F23"/>
                <w:w w:val="99"/>
              </w:rPr>
              <w:t xml:space="preserve">t </w:t>
            </w:r>
            <w:r>
              <w:rPr>
                <w:rFonts w:ascii="Arial" w:cs="Arial" w:eastAsia="Arial" w:hAnsi="Arial"/>
                <w:sz w:val="10"/>
                <w:szCs w:val="10"/>
                <w:color w:val="464446"/>
                <w:w w:val="99"/>
              </w:rPr>
              <w:t>betwee</w:t>
            </w:r>
            <w:r>
              <w:rPr>
                <w:rFonts w:ascii="Arial" w:cs="Arial" w:eastAsia="Arial" w:hAnsi="Arial"/>
                <w:sz w:val="10"/>
                <w:szCs w:val="10"/>
                <w:color w:val="5D5D60"/>
                <w:w w:val="99"/>
              </w:rPr>
              <w:t>n</w:t>
            </w:r>
            <w:r>
              <w:rPr>
                <w:rFonts w:ascii="Arial" w:cs="Arial" w:eastAsia="Arial" w:hAnsi="Arial"/>
                <w:sz w:val="10"/>
                <w:szCs w:val="10"/>
                <w:color w:val="1F1F23"/>
                <w:w w:val="99"/>
              </w:rPr>
              <w:t xml:space="preserve"> </w:t>
            </w:r>
            <w:r>
              <w:rPr>
                <w:rFonts w:ascii="Arial" w:cs="Arial" w:eastAsia="Arial" w:hAnsi="Arial"/>
                <w:sz w:val="10"/>
                <w:szCs w:val="10"/>
                <w:color w:val="464446"/>
                <w:w w:val="99"/>
              </w:rPr>
              <w:t>office a</w:t>
            </w:r>
            <w:r>
              <w:rPr>
                <w:rFonts w:ascii="Arial" w:cs="Arial" w:eastAsia="Arial" w:hAnsi="Arial"/>
                <w:sz w:val="10"/>
                <w:szCs w:val="10"/>
                <w:color w:val="1F1F23"/>
                <w:w w:val="99"/>
              </w:rPr>
              <w:t xml:space="preserve">nd </w:t>
            </w:r>
            <w:r>
              <w:rPr>
                <w:rFonts w:ascii="Arial" w:cs="Arial" w:eastAsia="Arial" w:hAnsi="Arial"/>
                <w:sz w:val="10"/>
                <w:szCs w:val="10"/>
                <w:color w:val="464446"/>
                <w:w w:val="99"/>
              </w:rPr>
              <w:t>pla</w:t>
            </w:r>
            <w:r>
              <w:rPr>
                <w:rFonts w:ascii="Arial" w:cs="Arial" w:eastAsia="Arial" w:hAnsi="Arial"/>
                <w:sz w:val="10"/>
                <w:szCs w:val="10"/>
                <w:color w:val="1F1F23"/>
                <w:w w:val="99"/>
              </w:rPr>
              <w:t xml:space="preserve">nt </w:t>
            </w:r>
            <w:r>
              <w:rPr>
                <w:rFonts w:ascii="Arial" w:cs="Arial" w:eastAsia="Arial" w:hAnsi="Arial"/>
                <w:sz w:val="10"/>
                <w:szCs w:val="10"/>
                <w:color w:val="464446"/>
                <w:w w:val="99"/>
              </w:rPr>
              <w:t>give</w:t>
            </w:r>
            <w:r>
              <w:rPr>
                <w:rFonts w:ascii="Arial" w:cs="Arial" w:eastAsia="Arial" w:hAnsi="Arial"/>
                <w:sz w:val="10"/>
                <w:szCs w:val="10"/>
                <w:color w:val="1F1F23"/>
                <w:w w:val="99"/>
              </w:rPr>
              <w:t xml:space="preserve"> n </w:t>
            </w:r>
            <w:r>
              <w:rPr>
                <w:rFonts w:ascii="Arial" w:cs="Arial" w:eastAsia="Arial" w:hAnsi="Arial"/>
                <w:sz w:val="10"/>
                <w:szCs w:val="10"/>
                <w:color w:val="5D5D60"/>
                <w:w w:val="99"/>
              </w:rPr>
              <w:t>l</w:t>
            </w:r>
            <w:r>
              <w:rPr>
                <w:rFonts w:ascii="Arial" w:cs="Arial" w:eastAsia="Arial" w:hAnsi="Arial"/>
                <w:sz w:val="10"/>
                <w:szCs w:val="10"/>
                <w:color w:val="464446"/>
                <w:w w:val="99"/>
              </w:rPr>
              <w:t>a</w:t>
            </w:r>
            <w:r>
              <w:rPr>
                <w:rFonts w:ascii="Arial" w:cs="Arial" w:eastAsia="Arial" w:hAnsi="Arial"/>
                <w:sz w:val="10"/>
                <w:szCs w:val="10"/>
                <w:color w:val="5D5D60"/>
                <w:w w:val="99"/>
              </w:rPr>
              <w:t>nd</w:t>
            </w:r>
            <w:r>
              <w:rPr>
                <w:rFonts w:ascii="Arial" w:cs="Arial" w:eastAsia="Arial" w:hAnsi="Arial"/>
                <w:sz w:val="10"/>
                <w:szCs w:val="10"/>
                <w:color w:val="1F1F23"/>
                <w:w w:val="99"/>
              </w:rPr>
              <w:t xml:space="preserve"> u</w:t>
            </w:r>
            <w:r>
              <w:rPr>
                <w:rFonts w:ascii="Arial" w:cs="Arial" w:eastAsia="Arial" w:hAnsi="Arial"/>
                <w:sz w:val="10"/>
                <w:szCs w:val="10"/>
                <w:color w:val="464446"/>
                <w:w w:val="99"/>
              </w:rPr>
              <w:t>sage</w:t>
            </w:r>
          </w:p>
        </w:tc>
        <w:tc>
          <w:tcPr>
            <w:tcW w:w="0" w:type="dxa"/>
            <w:vAlign w:val="bottom"/>
          </w:tcPr>
          <w:p>
            <w:pPr>
              <w:spacing w:after="0"/>
              <w:rPr>
                <w:sz w:val="1"/>
                <w:szCs w:val="1"/>
                <w:color w:val="auto"/>
              </w:rPr>
            </w:pPr>
          </w:p>
        </w:tc>
      </w:tr>
      <w:tr>
        <w:trPr>
          <w:trHeight w:val="25"/>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T</w:t>
            </w:r>
            <w:r>
              <w:rPr>
                <w:rFonts w:ascii="Arial" w:cs="Arial" w:eastAsia="Arial" w:hAnsi="Arial"/>
                <w:sz w:val="10"/>
                <w:szCs w:val="10"/>
                <w:color w:val="1F1F23"/>
              </w:rPr>
              <w:t>r</w:t>
            </w:r>
            <w:r>
              <w:rPr>
                <w:rFonts w:ascii="Arial" w:cs="Arial" w:eastAsia="Arial" w:hAnsi="Arial"/>
                <w:sz w:val="10"/>
                <w:szCs w:val="10"/>
                <w:color w:val="464446"/>
              </w:rPr>
              <w:t>as</w:t>
            </w:r>
            <w:r>
              <w:rPr>
                <w:rFonts w:ascii="Arial" w:cs="Arial" w:eastAsia="Arial" w:hAnsi="Arial"/>
                <w:sz w:val="10"/>
                <w:szCs w:val="10"/>
                <w:color w:val="1F1F23"/>
              </w:rPr>
              <w:t>h</w:t>
            </w:r>
            <w:r>
              <w:rPr>
                <w:rFonts w:ascii="Arial" w:cs="Arial" w:eastAsia="Arial" w:hAnsi="Arial"/>
                <w:sz w:val="10"/>
                <w:szCs w:val="10"/>
                <w:color w:val="464446"/>
              </w:rPr>
              <w:t xml:space="preserve"> Recy</w:t>
            </w:r>
            <w:r>
              <w:rPr>
                <w:rFonts w:ascii="Arial" w:cs="Arial" w:eastAsia="Arial" w:hAnsi="Arial"/>
                <w:sz w:val="10"/>
                <w:szCs w:val="10"/>
                <w:color w:val="5D5D60"/>
              </w:rPr>
              <w:t>cl</w:t>
            </w:r>
            <w:r>
              <w:rPr>
                <w:rFonts w:ascii="Arial" w:cs="Arial" w:eastAsia="Arial" w:hAnsi="Arial"/>
                <w:sz w:val="10"/>
                <w:szCs w:val="10"/>
                <w:color w:val="757775"/>
              </w:rPr>
              <w:t>i</w:t>
            </w:r>
            <w:r>
              <w:rPr>
                <w:rFonts w:ascii="Arial" w:cs="Arial" w:eastAsia="Arial" w:hAnsi="Arial"/>
                <w:sz w:val="10"/>
                <w:szCs w:val="10"/>
                <w:color w:val="1F1F23"/>
              </w:rPr>
              <w:t>n</w:t>
            </w:r>
            <w:r>
              <w:rPr>
                <w:rFonts w:ascii="Arial" w:cs="Arial" w:eastAsia="Arial" w:hAnsi="Arial"/>
                <w:sz w:val="10"/>
                <w:szCs w:val="10"/>
                <w:color w:val="464446"/>
              </w:rPr>
              <w:t>g</w:t>
            </w:r>
          </w:p>
        </w:tc>
        <w:tc>
          <w:tcPr>
            <w:tcW w:w="120" w:type="dxa"/>
            <w:vAlign w:val="bottom"/>
            <w:vMerge w:val="restart"/>
          </w:tcPr>
          <w:p>
            <w:pPr>
              <w:spacing w:after="0"/>
              <w:rPr>
                <w:sz w:val="20"/>
                <w:szCs w:val="20"/>
                <w:color w:val="auto"/>
              </w:rPr>
            </w:pPr>
            <w:r>
              <w:rPr>
                <w:rFonts w:ascii="Arial" w:cs="Arial" w:eastAsia="Arial" w:hAnsi="Arial"/>
                <w:sz w:val="17"/>
                <w:szCs w:val="17"/>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6</w:t>
            </w:r>
            <w:r>
              <w:rPr>
                <w:rFonts w:ascii="Arial" w:cs="Arial" w:eastAsia="Arial" w:hAnsi="Arial"/>
                <w:sz w:val="10"/>
                <w:szCs w:val="10"/>
                <w:color w:val="5D5D60"/>
              </w:rPr>
              <w:t>4,</w:t>
            </w:r>
            <w:r>
              <w:rPr>
                <w:rFonts w:ascii="Arial" w:cs="Arial" w:eastAsia="Arial" w:hAnsi="Arial"/>
                <w:sz w:val="10"/>
                <w:szCs w:val="10"/>
                <w:color w:val="464446"/>
              </w:rPr>
              <w:t>723</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313133"/>
              </w:rPr>
              <w:t>10</w:t>
            </w:r>
            <w:r>
              <w:rPr>
                <w:rFonts w:ascii="Arial" w:cs="Arial" w:eastAsia="Arial" w:hAnsi="Arial"/>
                <w:sz w:val="10"/>
                <w:szCs w:val="10"/>
                <w:color w:val="5D5D60"/>
              </w:rPr>
              <w:t>%</w:t>
            </w:r>
          </w:p>
        </w:tc>
        <w:tc>
          <w:tcPr>
            <w:tcW w:w="220" w:type="dxa"/>
            <w:vAlign w:val="bottom"/>
          </w:tcPr>
          <w:p>
            <w:pPr>
              <w:ind w:left="160"/>
              <w:spacing w:after="0"/>
              <w:rPr>
                <w:sz w:val="20"/>
                <w:szCs w:val="20"/>
                <w:color w:val="auto"/>
              </w:rPr>
            </w:pPr>
            <w:r>
              <w:rPr>
                <w:rFonts w:ascii="Arial" w:cs="Arial" w:eastAsia="Arial" w:hAnsi="Arial"/>
                <w:sz w:val="10"/>
                <w:szCs w:val="10"/>
                <w:color w:val="464446"/>
                <w:w w:val="71"/>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rPr>
              <w:t>6,</w:t>
            </w:r>
            <w:r>
              <w:rPr>
                <w:rFonts w:ascii="Arial" w:cs="Arial" w:eastAsia="Arial" w:hAnsi="Arial"/>
                <w:sz w:val="10"/>
                <w:szCs w:val="10"/>
                <w:color w:val="313133"/>
              </w:rPr>
              <w:t>472</w:t>
            </w:r>
          </w:p>
        </w:tc>
        <w:tc>
          <w:tcPr>
            <w:tcW w:w="200" w:type="dxa"/>
            <w:vAlign w:val="bottom"/>
          </w:tcPr>
          <w:p>
            <w:pPr>
              <w:ind w:left="12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5D5D60"/>
                <w:w w:val="95"/>
              </w:rPr>
              <w:t>6,</w:t>
            </w:r>
            <w:r>
              <w:rPr>
                <w:rFonts w:ascii="Arial" w:cs="Arial" w:eastAsia="Arial" w:hAnsi="Arial"/>
                <w:sz w:val="10"/>
                <w:szCs w:val="10"/>
                <w:color w:val="464446"/>
                <w:w w:val="95"/>
              </w:rPr>
              <w:t>666</w:t>
            </w:r>
          </w:p>
        </w:tc>
        <w:tc>
          <w:tcPr>
            <w:tcW w:w="140" w:type="dxa"/>
            <w:vAlign w:val="bottom"/>
            <w:vMerge w:val="restart"/>
          </w:tcPr>
          <w:p>
            <w:pPr>
              <w:spacing w:after="0"/>
              <w:rPr>
                <w:sz w:val="20"/>
                <w:szCs w:val="20"/>
                <w:color w:val="auto"/>
              </w:rPr>
            </w:pPr>
            <w:r>
              <w:rPr>
                <w:rFonts w:ascii="Arial" w:cs="Arial" w:eastAsia="Arial" w:hAnsi="Arial"/>
                <w:sz w:val="17"/>
                <w:szCs w:val="17"/>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3,236</w:t>
            </w:r>
          </w:p>
        </w:tc>
        <w:tc>
          <w:tcPr>
            <w:tcW w:w="140" w:type="dxa"/>
            <w:vAlign w:val="bottom"/>
            <w:vMerge w:val="restart"/>
          </w:tcPr>
          <w:p>
            <w:pPr>
              <w:ind w:left="60"/>
              <w:spacing w:after="0"/>
              <w:rPr>
                <w:sz w:val="20"/>
                <w:szCs w:val="20"/>
                <w:color w:val="auto"/>
              </w:rPr>
            </w:pPr>
            <w:r>
              <w:rPr>
                <w:rFonts w:ascii="Arial" w:cs="Arial" w:eastAsia="Arial" w:hAnsi="Arial"/>
                <w:sz w:val="17"/>
                <w:szCs w:val="17"/>
                <w:color w:val="464446"/>
                <w:w w:val="70"/>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3</w:t>
            </w:r>
            <w:r>
              <w:rPr>
                <w:rFonts w:ascii="Arial" w:cs="Arial" w:eastAsia="Arial" w:hAnsi="Arial"/>
                <w:sz w:val="10"/>
                <w:szCs w:val="10"/>
                <w:color w:val="5D5D60"/>
              </w:rPr>
              <w:t>,23</w:t>
            </w:r>
            <w:r>
              <w:rPr>
                <w:rFonts w:ascii="Arial" w:cs="Arial" w:eastAsia="Arial" w:hAnsi="Arial"/>
                <w:sz w:val="10"/>
                <w:szCs w:val="10"/>
                <w:color w:val="464446"/>
              </w:rPr>
              <w:t>6</w:t>
            </w:r>
          </w:p>
        </w:tc>
        <w:tc>
          <w:tcPr>
            <w:tcW w:w="66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ind w:left="1220"/>
              <w:spacing w:after="0"/>
              <w:rPr>
                <w:sz w:val="20"/>
                <w:szCs w:val="20"/>
                <w:color w:val="auto"/>
              </w:rPr>
            </w:pPr>
            <w:r>
              <w:rPr>
                <w:rFonts w:ascii="Arial" w:cs="Arial" w:eastAsia="Arial" w:hAnsi="Arial"/>
                <w:sz w:val="10"/>
                <w:szCs w:val="10"/>
                <w:color w:val="313133"/>
              </w:rPr>
              <w:t>P</w:t>
            </w:r>
            <w:r>
              <w:rPr>
                <w:rFonts w:ascii="Arial" w:cs="Arial" w:eastAsia="Arial" w:hAnsi="Arial"/>
                <w:sz w:val="10"/>
                <w:szCs w:val="10"/>
                <w:color w:val="5D5D60"/>
              </w:rPr>
              <w:t>lant is</w:t>
            </w:r>
            <w:r>
              <w:rPr>
                <w:rFonts w:ascii="Arial" w:cs="Arial" w:eastAsia="Arial" w:hAnsi="Arial"/>
                <w:sz w:val="10"/>
                <w:szCs w:val="10"/>
                <w:color w:val="313133"/>
              </w:rPr>
              <w:t xml:space="preserve"> </w:t>
            </w:r>
            <w:r>
              <w:rPr>
                <w:rFonts w:ascii="Arial" w:cs="Arial" w:eastAsia="Arial" w:hAnsi="Arial"/>
                <w:sz w:val="10"/>
                <w:szCs w:val="10"/>
                <w:color w:val="464446"/>
              </w:rPr>
              <w:t>respo</w:t>
            </w:r>
            <w:r>
              <w:rPr>
                <w:rFonts w:ascii="Arial" w:cs="Arial" w:eastAsia="Arial" w:hAnsi="Arial"/>
                <w:sz w:val="10"/>
                <w:szCs w:val="10"/>
                <w:color w:val="1F1F23"/>
              </w:rPr>
              <w:t>n</w:t>
            </w:r>
            <w:r>
              <w:rPr>
                <w:rFonts w:ascii="Arial" w:cs="Arial" w:eastAsia="Arial" w:hAnsi="Arial"/>
                <w:sz w:val="10"/>
                <w:szCs w:val="10"/>
                <w:color w:val="464446"/>
              </w:rPr>
              <w:t>s</w:t>
            </w:r>
            <w:r>
              <w:rPr>
                <w:rFonts w:ascii="Arial" w:cs="Arial" w:eastAsia="Arial" w:hAnsi="Arial"/>
                <w:sz w:val="10"/>
                <w:szCs w:val="10"/>
                <w:color w:val="5D5D60"/>
              </w:rPr>
              <w:t>i</w:t>
            </w:r>
            <w:r>
              <w:rPr>
                <w:rFonts w:ascii="Arial" w:cs="Arial" w:eastAsia="Arial" w:hAnsi="Arial"/>
                <w:sz w:val="10"/>
                <w:szCs w:val="10"/>
                <w:color w:val="1F1F23"/>
              </w:rPr>
              <w:t>bl</w:t>
            </w:r>
            <w:r>
              <w:rPr>
                <w:rFonts w:ascii="Arial" w:cs="Arial" w:eastAsia="Arial" w:hAnsi="Arial"/>
                <w:sz w:val="10"/>
                <w:szCs w:val="10"/>
                <w:color w:val="464446"/>
              </w:rPr>
              <w:t>e for m</w:t>
            </w:r>
            <w:r>
              <w:rPr>
                <w:rFonts w:ascii="Arial" w:cs="Arial" w:eastAsia="Arial" w:hAnsi="Arial"/>
                <w:sz w:val="10"/>
                <w:szCs w:val="10"/>
                <w:color w:val="5D5D60"/>
              </w:rPr>
              <w:t>ajo</w:t>
            </w:r>
            <w:r>
              <w:rPr>
                <w:rFonts w:ascii="Arial" w:cs="Arial" w:eastAsia="Arial" w:hAnsi="Arial"/>
                <w:sz w:val="10"/>
                <w:szCs w:val="10"/>
                <w:color w:val="313133"/>
              </w:rPr>
              <w:t>r</w:t>
            </w:r>
            <w:r>
              <w:rPr>
                <w:rFonts w:ascii="Arial" w:cs="Arial" w:eastAsia="Arial" w:hAnsi="Arial"/>
                <w:sz w:val="10"/>
                <w:szCs w:val="10"/>
                <w:color w:val="5D5D60"/>
              </w:rPr>
              <w:t>i</w:t>
            </w:r>
            <w:r>
              <w:rPr>
                <w:rFonts w:ascii="Arial" w:cs="Arial" w:eastAsia="Arial" w:hAnsi="Arial"/>
                <w:sz w:val="10"/>
                <w:szCs w:val="10"/>
                <w:color w:val="1F1F23"/>
              </w:rPr>
              <w:t>t</w:t>
            </w:r>
            <w:r>
              <w:rPr>
                <w:rFonts w:ascii="Arial" w:cs="Arial" w:eastAsia="Arial" w:hAnsi="Arial"/>
                <w:sz w:val="10"/>
                <w:szCs w:val="10"/>
                <w:color w:val="464446"/>
              </w:rPr>
              <w:t>y of</w:t>
            </w:r>
            <w:r>
              <w:rPr>
                <w:rFonts w:ascii="Arial" w:cs="Arial" w:eastAsia="Arial" w:hAnsi="Arial"/>
                <w:sz w:val="10"/>
                <w:szCs w:val="10"/>
                <w:color w:val="313133"/>
              </w:rPr>
              <w:t xml:space="preserve"> </w:t>
            </w:r>
            <w:r>
              <w:rPr>
                <w:rFonts w:ascii="Arial" w:cs="Arial" w:eastAsia="Arial" w:hAnsi="Arial"/>
                <w:sz w:val="10"/>
                <w:szCs w:val="10"/>
                <w:color w:val="5D5D60"/>
              </w:rPr>
              <w:t>t</w:t>
            </w:r>
            <w:r>
              <w:rPr>
                <w:rFonts w:ascii="Arial" w:cs="Arial" w:eastAsia="Arial" w:hAnsi="Arial"/>
                <w:sz w:val="10"/>
                <w:szCs w:val="10"/>
                <w:color w:val="313133"/>
              </w:rPr>
              <w:t>ras</w:t>
            </w:r>
            <w:r>
              <w:rPr>
                <w:rFonts w:ascii="Arial" w:cs="Arial" w:eastAsia="Arial" w:hAnsi="Arial"/>
                <w:sz w:val="10"/>
                <w:szCs w:val="10"/>
                <w:color w:val="5D5D60"/>
              </w:rPr>
              <w:t>h</w:t>
            </w:r>
            <w:r>
              <w:rPr>
                <w:rFonts w:ascii="Arial" w:cs="Arial" w:eastAsia="Arial" w:hAnsi="Arial"/>
                <w:sz w:val="10"/>
                <w:szCs w:val="10"/>
                <w:color w:val="313133"/>
              </w:rPr>
              <w:t xml:space="preserve"> </w:t>
            </w:r>
            <w:r>
              <w:rPr>
                <w:rFonts w:ascii="Arial" w:cs="Arial" w:eastAsia="Arial" w:hAnsi="Arial"/>
                <w:sz w:val="10"/>
                <w:szCs w:val="10"/>
                <w:color w:val="464446"/>
              </w:rPr>
              <w:t>a</w:t>
            </w:r>
            <w:r>
              <w:rPr>
                <w:rFonts w:ascii="Arial" w:cs="Arial" w:eastAsia="Arial" w:hAnsi="Arial"/>
                <w:sz w:val="10"/>
                <w:szCs w:val="10"/>
                <w:color w:val="1F1F23"/>
              </w:rPr>
              <w:t>nd r</w:t>
            </w:r>
            <w:r>
              <w:rPr>
                <w:rFonts w:ascii="Arial" w:cs="Arial" w:eastAsia="Arial" w:hAnsi="Arial"/>
                <w:sz w:val="10"/>
                <w:szCs w:val="10"/>
                <w:color w:val="464446"/>
              </w:rPr>
              <w:t>e</w:t>
            </w:r>
            <w:r>
              <w:rPr>
                <w:rFonts w:ascii="Arial" w:cs="Arial" w:eastAsia="Arial" w:hAnsi="Arial"/>
                <w:sz w:val="10"/>
                <w:szCs w:val="10"/>
                <w:color w:val="5D5D60"/>
              </w:rPr>
              <w:t>c</w:t>
            </w:r>
            <w:r>
              <w:rPr>
                <w:rFonts w:ascii="Arial" w:cs="Arial" w:eastAsia="Arial" w:hAnsi="Arial"/>
                <w:sz w:val="10"/>
                <w:szCs w:val="10"/>
                <w:color w:val="464446"/>
              </w:rPr>
              <w:t>y</w:t>
            </w:r>
            <w:r>
              <w:rPr>
                <w:rFonts w:ascii="Arial" w:cs="Arial" w:eastAsia="Arial" w:hAnsi="Arial"/>
                <w:sz w:val="10"/>
                <w:szCs w:val="10"/>
                <w:color w:val="5D5D60"/>
              </w:rPr>
              <w:t>cli</w:t>
            </w:r>
            <w:r>
              <w:rPr>
                <w:rFonts w:ascii="Arial" w:cs="Arial" w:eastAsia="Arial" w:hAnsi="Arial"/>
                <w:sz w:val="10"/>
                <w:szCs w:val="10"/>
                <w:color w:val="1F1F23"/>
              </w:rPr>
              <w:t>n</w:t>
            </w:r>
            <w:r>
              <w:rPr>
                <w:rFonts w:ascii="Arial" w:cs="Arial" w:eastAsia="Arial" w:hAnsi="Arial"/>
                <w:sz w:val="10"/>
                <w:szCs w:val="10"/>
                <w:color w:val="464446"/>
              </w:rPr>
              <w:t>g</w:t>
            </w:r>
          </w:p>
        </w:tc>
        <w:tc>
          <w:tcPr>
            <w:tcW w:w="0" w:type="dxa"/>
            <w:vAlign w:val="bottom"/>
          </w:tcPr>
          <w:p>
            <w:pPr>
              <w:spacing w:after="0"/>
              <w:rPr>
                <w:sz w:val="1"/>
                <w:szCs w:val="1"/>
                <w:color w:val="auto"/>
              </w:rPr>
            </w:pPr>
          </w:p>
        </w:tc>
      </w:tr>
      <w:tr>
        <w:trPr>
          <w:trHeight w:val="120"/>
        </w:trPr>
        <w:tc>
          <w:tcPr>
            <w:tcW w:w="1400" w:type="dxa"/>
            <w:vAlign w:val="bottom"/>
            <w:tcBorders>
              <w:left w:val="single" w:sz="8" w:color="auto"/>
              <w:right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ind w:left="1220"/>
              <w:spacing w:after="0"/>
              <w:rPr>
                <w:sz w:val="20"/>
                <w:szCs w:val="20"/>
                <w:color w:val="auto"/>
              </w:rPr>
            </w:pPr>
            <w:r>
              <w:rPr>
                <w:rFonts w:ascii="Arial" w:cs="Arial" w:eastAsia="Arial" w:hAnsi="Arial"/>
                <w:sz w:val="10"/>
                <w:szCs w:val="10"/>
                <w:color w:val="464446"/>
              </w:rPr>
              <w:t>ge</w:t>
            </w:r>
            <w:r>
              <w:rPr>
                <w:rFonts w:ascii="Arial" w:cs="Arial" w:eastAsia="Arial" w:hAnsi="Arial"/>
                <w:sz w:val="10"/>
                <w:szCs w:val="10"/>
                <w:color w:val="5D5D60"/>
              </w:rPr>
              <w:t>n</w:t>
            </w:r>
            <w:r>
              <w:rPr>
                <w:rFonts w:ascii="Arial" w:cs="Arial" w:eastAsia="Arial" w:hAnsi="Arial"/>
                <w:sz w:val="10"/>
                <w:szCs w:val="10"/>
                <w:color w:val="464446"/>
              </w:rPr>
              <w:t>e</w:t>
            </w:r>
            <w:r>
              <w:rPr>
                <w:rFonts w:ascii="Arial" w:cs="Arial" w:eastAsia="Arial" w:hAnsi="Arial"/>
                <w:sz w:val="10"/>
                <w:szCs w:val="10"/>
                <w:color w:val="5D5D60"/>
              </w:rPr>
              <w:t>r</w:t>
            </w:r>
            <w:r>
              <w:rPr>
                <w:rFonts w:ascii="Arial" w:cs="Arial" w:eastAsia="Arial" w:hAnsi="Arial"/>
                <w:sz w:val="10"/>
                <w:szCs w:val="10"/>
                <w:color w:val="464446"/>
              </w:rPr>
              <w:t>a</w:t>
            </w:r>
            <w:r>
              <w:rPr>
                <w:rFonts w:ascii="Arial" w:cs="Arial" w:eastAsia="Arial" w:hAnsi="Arial"/>
                <w:sz w:val="10"/>
                <w:szCs w:val="10"/>
                <w:color w:val="1F1F23"/>
              </w:rPr>
              <w:t>t</w:t>
            </w:r>
            <w:r>
              <w:rPr>
                <w:rFonts w:ascii="Arial" w:cs="Arial" w:eastAsia="Arial" w:hAnsi="Arial"/>
                <w:sz w:val="10"/>
                <w:szCs w:val="10"/>
                <w:color w:val="464446"/>
              </w:rPr>
              <w:t>e</w:t>
            </w:r>
            <w:r>
              <w:rPr>
                <w:rFonts w:ascii="Arial" w:cs="Arial" w:eastAsia="Arial" w:hAnsi="Arial"/>
                <w:sz w:val="10"/>
                <w:szCs w:val="10"/>
                <w:color w:val="5D5D60"/>
              </w:rPr>
              <w:t>d</w:t>
            </w:r>
          </w:p>
        </w:tc>
        <w:tc>
          <w:tcPr>
            <w:tcW w:w="0" w:type="dxa"/>
            <w:vAlign w:val="bottom"/>
          </w:tcPr>
          <w:p>
            <w:pPr>
              <w:spacing w:after="0"/>
              <w:rPr>
                <w:sz w:val="1"/>
                <w:szCs w:val="1"/>
                <w:color w:val="auto"/>
              </w:rPr>
            </w:pPr>
          </w:p>
        </w:tc>
      </w:tr>
      <w:tr>
        <w:trPr>
          <w:trHeight w:val="29"/>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Housek</w:t>
            </w:r>
            <w:r>
              <w:rPr>
                <w:rFonts w:ascii="Arial" w:cs="Arial" w:eastAsia="Arial" w:hAnsi="Arial"/>
                <w:sz w:val="10"/>
                <w:szCs w:val="10"/>
                <w:color w:val="5D5D60"/>
              </w:rPr>
              <w:t>ee</w:t>
            </w:r>
            <w:r>
              <w:rPr>
                <w:rFonts w:ascii="Arial" w:cs="Arial" w:eastAsia="Arial" w:hAnsi="Arial"/>
                <w:sz w:val="10"/>
                <w:szCs w:val="10"/>
                <w:color w:val="464446"/>
              </w:rPr>
              <w:t>p</w:t>
            </w:r>
            <w:r>
              <w:rPr>
                <w:rFonts w:ascii="Arial" w:cs="Arial" w:eastAsia="Arial" w:hAnsi="Arial"/>
                <w:sz w:val="10"/>
                <w:szCs w:val="10"/>
                <w:color w:val="5D5D60"/>
              </w:rPr>
              <w:t>i</w:t>
            </w:r>
            <w:r>
              <w:rPr>
                <w:rFonts w:ascii="Arial" w:cs="Arial" w:eastAsia="Arial" w:hAnsi="Arial"/>
                <w:sz w:val="10"/>
                <w:szCs w:val="10"/>
                <w:color w:val="313133"/>
              </w:rPr>
              <w:t>ng</w:t>
            </w:r>
          </w:p>
        </w:tc>
        <w:tc>
          <w:tcPr>
            <w:tcW w:w="120" w:type="dxa"/>
            <w:vAlign w:val="bottom"/>
          </w:tcPr>
          <w:p>
            <w:pPr>
              <w:spacing w:after="0"/>
              <w:rPr>
                <w:sz w:val="20"/>
                <w:szCs w:val="20"/>
                <w:color w:val="auto"/>
              </w:rPr>
            </w:pPr>
            <w:r>
              <w:rPr>
                <w:rFonts w:ascii="Arial" w:cs="Arial" w:eastAsia="Arial" w:hAnsi="Arial"/>
                <w:sz w:val="17"/>
                <w:szCs w:val="17"/>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313133"/>
              </w:rPr>
              <w:t>17</w:t>
            </w:r>
            <w:r>
              <w:rPr>
                <w:rFonts w:ascii="Arial" w:cs="Arial" w:eastAsia="Arial" w:hAnsi="Arial"/>
                <w:sz w:val="10"/>
                <w:szCs w:val="10"/>
                <w:color w:val="5D5D60"/>
              </w:rPr>
              <w:t>4,</w:t>
            </w:r>
            <w:r>
              <w:rPr>
                <w:rFonts w:ascii="Arial" w:cs="Arial" w:eastAsia="Arial" w:hAnsi="Arial"/>
                <w:sz w:val="10"/>
                <w:szCs w:val="10"/>
                <w:color w:val="464446"/>
              </w:rPr>
              <w:t>552</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464446"/>
              </w:rPr>
              <w:t>60</w:t>
            </w:r>
            <w:r>
              <w:rPr>
                <w:rFonts w:ascii="Arial" w:cs="Arial" w:eastAsia="Arial" w:hAnsi="Arial"/>
                <w:sz w:val="10"/>
                <w:szCs w:val="10"/>
                <w:color w:val="5D5D60"/>
              </w:rPr>
              <w:t>%</w:t>
            </w:r>
          </w:p>
        </w:tc>
        <w:tc>
          <w:tcPr>
            <w:tcW w:w="220" w:type="dxa"/>
            <w:vAlign w:val="bottom"/>
          </w:tcPr>
          <w:p>
            <w:pPr>
              <w:ind w:left="10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50"/>
              <w:spacing w:after="0"/>
              <w:rPr>
                <w:sz w:val="20"/>
                <w:szCs w:val="20"/>
                <w:color w:val="auto"/>
              </w:rPr>
            </w:pPr>
            <w:r>
              <w:rPr>
                <w:rFonts w:ascii="Arial" w:cs="Arial" w:eastAsia="Arial" w:hAnsi="Arial"/>
                <w:sz w:val="10"/>
                <w:szCs w:val="10"/>
                <w:color w:val="1F1F23"/>
                <w:w w:val="99"/>
              </w:rPr>
              <w:t>1</w:t>
            </w:r>
            <w:r>
              <w:rPr>
                <w:rFonts w:ascii="Arial" w:cs="Arial" w:eastAsia="Arial" w:hAnsi="Arial"/>
                <w:sz w:val="10"/>
                <w:szCs w:val="10"/>
                <w:color w:val="464446"/>
                <w:w w:val="99"/>
              </w:rPr>
              <w:t>04</w:t>
            </w:r>
            <w:r>
              <w:rPr>
                <w:rFonts w:ascii="Arial" w:cs="Arial" w:eastAsia="Arial" w:hAnsi="Arial"/>
                <w:sz w:val="10"/>
                <w:szCs w:val="10"/>
                <w:color w:val="757775"/>
                <w:w w:val="99"/>
              </w:rPr>
              <w:t>,</w:t>
            </w:r>
            <w:r>
              <w:rPr>
                <w:rFonts w:ascii="Arial" w:cs="Arial" w:eastAsia="Arial" w:hAnsi="Arial"/>
                <w:sz w:val="10"/>
                <w:szCs w:val="10"/>
                <w:color w:val="464446"/>
                <w:w w:val="99"/>
              </w:rPr>
              <w:t>73</w:t>
            </w:r>
            <w:r>
              <w:rPr>
                <w:rFonts w:ascii="Arial" w:cs="Arial" w:eastAsia="Arial" w:hAnsi="Arial"/>
                <w:sz w:val="10"/>
                <w:szCs w:val="10"/>
                <w:color w:val="5D5D60"/>
                <w:w w:val="99"/>
              </w:rPr>
              <w:t>1</w:t>
            </w:r>
          </w:p>
        </w:tc>
        <w:tc>
          <w:tcPr>
            <w:tcW w:w="200" w:type="dxa"/>
            <w:vAlign w:val="bottom"/>
          </w:tcPr>
          <w:p>
            <w:pPr>
              <w:ind w:left="8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313133"/>
                <w:w w:val="99"/>
              </w:rPr>
              <w:t>107</w:t>
            </w:r>
            <w:r>
              <w:rPr>
                <w:rFonts w:ascii="Arial" w:cs="Arial" w:eastAsia="Arial" w:hAnsi="Arial"/>
                <w:sz w:val="10"/>
                <w:szCs w:val="10"/>
                <w:color w:val="5D5D60"/>
                <w:w w:val="99"/>
              </w:rPr>
              <w:t>,</w:t>
            </w:r>
            <w:r>
              <w:rPr>
                <w:rFonts w:ascii="Arial" w:cs="Arial" w:eastAsia="Arial" w:hAnsi="Arial"/>
                <w:sz w:val="10"/>
                <w:szCs w:val="10"/>
                <w:color w:val="464446"/>
                <w:w w:val="99"/>
              </w:rPr>
              <w:t>873</w:t>
            </w:r>
          </w:p>
        </w:tc>
        <w:tc>
          <w:tcPr>
            <w:tcW w:w="140" w:type="dxa"/>
            <w:vAlign w:val="bottom"/>
          </w:tcPr>
          <w:p>
            <w:pPr>
              <w:spacing w:after="0"/>
              <w:rPr>
                <w:sz w:val="20"/>
                <w:szCs w:val="20"/>
                <w:color w:val="auto"/>
              </w:rPr>
            </w:pPr>
            <w:r>
              <w:rPr>
                <w:rFonts w:ascii="Arial" w:cs="Arial" w:eastAsia="Arial" w:hAnsi="Arial"/>
                <w:sz w:val="17"/>
                <w:szCs w:val="17"/>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5</w:t>
            </w:r>
            <w:r>
              <w:rPr>
                <w:rFonts w:ascii="Arial" w:cs="Arial" w:eastAsia="Arial" w:hAnsi="Arial"/>
                <w:sz w:val="10"/>
                <w:szCs w:val="10"/>
                <w:color w:val="5D5D60"/>
              </w:rPr>
              <w:t>2,</w:t>
            </w:r>
            <w:r>
              <w:rPr>
                <w:rFonts w:ascii="Arial" w:cs="Arial" w:eastAsia="Arial" w:hAnsi="Arial"/>
                <w:sz w:val="10"/>
                <w:szCs w:val="10"/>
                <w:color w:val="464446"/>
              </w:rPr>
              <w:t>366</w:t>
            </w:r>
          </w:p>
        </w:tc>
        <w:tc>
          <w:tcPr>
            <w:tcW w:w="140" w:type="dxa"/>
            <w:vAlign w:val="bottom"/>
          </w:tcPr>
          <w:p>
            <w:pPr>
              <w:ind w:left="60"/>
              <w:spacing w:after="0"/>
              <w:rPr>
                <w:sz w:val="20"/>
                <w:szCs w:val="20"/>
                <w:color w:val="auto"/>
              </w:rPr>
            </w:pPr>
            <w:r>
              <w:rPr>
                <w:rFonts w:ascii="Arial" w:cs="Arial" w:eastAsia="Arial" w:hAnsi="Arial"/>
                <w:sz w:val="17"/>
                <w:szCs w:val="17"/>
                <w:color w:val="464446"/>
                <w:w w:val="70"/>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52</w:t>
            </w:r>
            <w:r>
              <w:rPr>
                <w:rFonts w:ascii="Arial" w:cs="Arial" w:eastAsia="Arial" w:hAnsi="Arial"/>
                <w:sz w:val="10"/>
                <w:szCs w:val="10"/>
                <w:color w:val="5D5D60"/>
              </w:rPr>
              <w:t>,</w:t>
            </w:r>
            <w:r>
              <w:rPr>
                <w:rFonts w:ascii="Arial" w:cs="Arial" w:eastAsia="Arial" w:hAnsi="Arial"/>
                <w:sz w:val="10"/>
                <w:szCs w:val="10"/>
                <w:color w:val="464446"/>
              </w:rPr>
              <w:t>366</w:t>
            </w:r>
          </w:p>
        </w:tc>
        <w:tc>
          <w:tcPr>
            <w:tcW w:w="6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313133"/>
              </w:rPr>
              <w:t xml:space="preserve">Some </w:t>
            </w:r>
            <w:r>
              <w:rPr>
                <w:rFonts w:ascii="Arial" w:cs="Arial" w:eastAsia="Arial" w:hAnsi="Arial"/>
                <w:sz w:val="10"/>
                <w:szCs w:val="10"/>
                <w:color w:val="5D5D60"/>
              </w:rPr>
              <w:t>l</w:t>
            </w:r>
            <w:r>
              <w:rPr>
                <w:rFonts w:ascii="Arial" w:cs="Arial" w:eastAsia="Arial" w:hAnsi="Arial"/>
                <w:sz w:val="10"/>
                <w:szCs w:val="10"/>
                <w:color w:val="464446"/>
              </w:rPr>
              <w:t>ig</w:t>
            </w:r>
            <w:r>
              <w:rPr>
                <w:rFonts w:ascii="Arial" w:cs="Arial" w:eastAsia="Arial" w:hAnsi="Arial"/>
                <w:sz w:val="10"/>
                <w:szCs w:val="10"/>
                <w:color w:val="1F1F23"/>
              </w:rPr>
              <w:t>ht</w:t>
            </w:r>
            <w:r>
              <w:rPr>
                <w:rFonts w:ascii="Arial" w:cs="Arial" w:eastAsia="Arial" w:hAnsi="Arial"/>
                <w:sz w:val="10"/>
                <w:szCs w:val="10"/>
                <w:color w:val="313133"/>
              </w:rPr>
              <w:t xml:space="preserve"> </w:t>
            </w:r>
            <w:r>
              <w:rPr>
                <w:rFonts w:ascii="Arial" w:cs="Arial" w:eastAsia="Arial" w:hAnsi="Arial"/>
                <w:sz w:val="10"/>
                <w:szCs w:val="10"/>
                <w:color w:val="464446"/>
              </w:rPr>
              <w:t>c</w:t>
            </w:r>
            <w:r>
              <w:rPr>
                <w:rFonts w:ascii="Arial" w:cs="Arial" w:eastAsia="Arial" w:hAnsi="Arial"/>
                <w:sz w:val="10"/>
                <w:szCs w:val="10"/>
                <w:color w:val="5D5D60"/>
              </w:rPr>
              <w:t>l</w:t>
            </w:r>
            <w:r>
              <w:rPr>
                <w:rFonts w:ascii="Arial" w:cs="Arial" w:eastAsia="Arial" w:hAnsi="Arial"/>
                <w:sz w:val="10"/>
                <w:szCs w:val="10"/>
                <w:color w:val="464446"/>
              </w:rPr>
              <w:t>e</w:t>
            </w:r>
            <w:r>
              <w:rPr>
                <w:rFonts w:ascii="Arial" w:cs="Arial" w:eastAsia="Arial" w:hAnsi="Arial"/>
                <w:sz w:val="10"/>
                <w:szCs w:val="10"/>
                <w:color w:val="5D5D60"/>
              </w:rPr>
              <w:t>ani</w:t>
            </w:r>
            <w:r>
              <w:rPr>
                <w:rFonts w:ascii="Arial" w:cs="Arial" w:eastAsia="Arial" w:hAnsi="Arial"/>
                <w:sz w:val="10"/>
                <w:szCs w:val="10"/>
                <w:color w:val="1F1F23"/>
              </w:rPr>
              <w:t>ng</w:t>
            </w:r>
            <w:r>
              <w:rPr>
                <w:rFonts w:ascii="Arial" w:cs="Arial" w:eastAsia="Arial" w:hAnsi="Arial"/>
                <w:sz w:val="10"/>
                <w:szCs w:val="10"/>
                <w:color w:val="313133"/>
              </w:rPr>
              <w:t xml:space="preserve"> </w:t>
            </w:r>
            <w:r>
              <w:rPr>
                <w:rFonts w:ascii="Arial" w:cs="Arial" w:eastAsia="Arial" w:hAnsi="Arial"/>
                <w:sz w:val="10"/>
                <w:szCs w:val="10"/>
                <w:color w:val="464446"/>
              </w:rPr>
              <w:t>per</w:t>
            </w:r>
            <w:r>
              <w:rPr>
                <w:rFonts w:ascii="Arial" w:cs="Arial" w:eastAsia="Arial" w:hAnsi="Arial"/>
                <w:sz w:val="10"/>
                <w:szCs w:val="10"/>
                <w:color w:val="1F1F23"/>
              </w:rPr>
              <w:t>f</w:t>
            </w:r>
            <w:r>
              <w:rPr>
                <w:rFonts w:ascii="Arial" w:cs="Arial" w:eastAsia="Arial" w:hAnsi="Arial"/>
                <w:sz w:val="10"/>
                <w:szCs w:val="10"/>
                <w:color w:val="464446"/>
              </w:rPr>
              <w:t>orme</w:t>
            </w:r>
            <w:r>
              <w:rPr>
                <w:rFonts w:ascii="Arial" w:cs="Arial" w:eastAsia="Arial" w:hAnsi="Arial"/>
                <w:sz w:val="10"/>
                <w:szCs w:val="10"/>
                <w:color w:val="5D5D60"/>
              </w:rPr>
              <w:t>d</w:t>
            </w:r>
            <w:r>
              <w:rPr>
                <w:rFonts w:ascii="Arial" w:cs="Arial" w:eastAsia="Arial" w:hAnsi="Arial"/>
                <w:sz w:val="10"/>
                <w:szCs w:val="10"/>
                <w:color w:val="313133"/>
              </w:rPr>
              <w:t xml:space="preserve"> I</w:t>
            </w:r>
            <w:r>
              <w:rPr>
                <w:rFonts w:ascii="Arial" w:cs="Arial" w:eastAsia="Arial" w:hAnsi="Arial"/>
                <w:sz w:val="10"/>
                <w:szCs w:val="10"/>
                <w:color w:val="5D5D60"/>
              </w:rPr>
              <w:t>n</w:t>
            </w:r>
            <w:r>
              <w:rPr>
                <w:rFonts w:ascii="Arial" w:cs="Arial" w:eastAsia="Arial" w:hAnsi="Arial"/>
                <w:sz w:val="10"/>
                <w:szCs w:val="10"/>
                <w:color w:val="313133"/>
              </w:rPr>
              <w:t xml:space="preserve"> plant </w:t>
            </w:r>
            <w:r>
              <w:rPr>
                <w:rFonts w:ascii="Arial" w:cs="Arial" w:eastAsia="Arial" w:hAnsi="Arial"/>
                <w:sz w:val="10"/>
                <w:szCs w:val="10"/>
                <w:color w:val="464446"/>
              </w:rPr>
              <w:t>offices</w:t>
            </w:r>
            <w:r>
              <w:rPr>
                <w:rFonts w:ascii="Arial" w:cs="Arial" w:eastAsia="Arial" w:hAnsi="Arial"/>
                <w:sz w:val="10"/>
                <w:szCs w:val="10"/>
                <w:color w:val="313133"/>
              </w:rPr>
              <w:t xml:space="preserve"> </w:t>
            </w:r>
            <w:r>
              <w:rPr>
                <w:rFonts w:ascii="Arial" w:cs="Arial" w:eastAsia="Arial" w:hAnsi="Arial"/>
                <w:sz w:val="10"/>
                <w:szCs w:val="10"/>
                <w:color w:val="5D5D60"/>
              </w:rPr>
              <w:t>, r</w:t>
            </w:r>
            <w:r>
              <w:rPr>
                <w:rFonts w:ascii="Arial" w:cs="Arial" w:eastAsia="Arial" w:hAnsi="Arial"/>
                <w:sz w:val="10"/>
                <w:szCs w:val="10"/>
                <w:color w:val="464446"/>
              </w:rPr>
              <w:t>est</w:t>
            </w:r>
            <w:r>
              <w:rPr>
                <w:rFonts w:ascii="Arial" w:cs="Arial" w:eastAsia="Arial" w:hAnsi="Arial"/>
                <w:sz w:val="10"/>
                <w:szCs w:val="10"/>
                <w:color w:val="313133"/>
              </w:rPr>
              <w:t xml:space="preserve"> Is </w:t>
            </w:r>
            <w:r>
              <w:rPr>
                <w:rFonts w:ascii="Arial" w:cs="Arial" w:eastAsia="Arial" w:hAnsi="Arial"/>
                <w:sz w:val="10"/>
                <w:szCs w:val="10"/>
                <w:color w:val="464446"/>
              </w:rPr>
              <w:t>office c</w:t>
            </w:r>
            <w:r>
              <w:rPr>
                <w:rFonts w:ascii="Arial" w:cs="Arial" w:eastAsia="Arial" w:hAnsi="Arial"/>
                <w:sz w:val="10"/>
                <w:szCs w:val="10"/>
                <w:color w:val="1F1F23"/>
              </w:rPr>
              <w:t>l</w:t>
            </w:r>
            <w:r>
              <w:rPr>
                <w:rFonts w:ascii="Arial" w:cs="Arial" w:eastAsia="Arial" w:hAnsi="Arial"/>
                <w:sz w:val="10"/>
                <w:szCs w:val="10"/>
                <w:color w:val="464446"/>
              </w:rPr>
              <w:t>e</w:t>
            </w:r>
            <w:r>
              <w:rPr>
                <w:rFonts w:ascii="Arial" w:cs="Arial" w:eastAsia="Arial" w:hAnsi="Arial"/>
                <w:sz w:val="10"/>
                <w:szCs w:val="10"/>
                <w:color w:val="5D5D60"/>
              </w:rPr>
              <w:t>anin</w:t>
            </w:r>
            <w:r>
              <w:rPr>
                <w:rFonts w:ascii="Arial" w:cs="Arial" w:eastAsia="Arial" w:hAnsi="Arial"/>
                <w:sz w:val="10"/>
                <w:szCs w:val="10"/>
                <w:color w:val="464446"/>
              </w:rPr>
              <w:t>g e</w:t>
            </w:r>
            <w:r>
              <w:rPr>
                <w:rFonts w:ascii="Arial" w:cs="Arial" w:eastAsia="Arial" w:hAnsi="Arial"/>
                <w:sz w:val="10"/>
                <w:szCs w:val="10"/>
                <w:color w:val="5D5D60"/>
              </w:rPr>
              <w:t>xp</w:t>
            </w:r>
            <w:r>
              <w:rPr>
                <w:rFonts w:ascii="Arial" w:cs="Arial" w:eastAsia="Arial" w:hAnsi="Arial"/>
                <w:sz w:val="10"/>
                <w:szCs w:val="10"/>
                <w:color w:val="464446"/>
              </w:rPr>
              <w:t>e</w:t>
            </w:r>
            <w:r>
              <w:rPr>
                <w:rFonts w:ascii="Arial" w:cs="Arial" w:eastAsia="Arial" w:hAnsi="Arial"/>
                <w:sz w:val="10"/>
                <w:szCs w:val="10"/>
                <w:color w:val="5D5D60"/>
              </w:rPr>
              <w:t>n</w:t>
            </w:r>
            <w:r>
              <w:rPr>
                <w:rFonts w:ascii="Arial" w:cs="Arial" w:eastAsia="Arial" w:hAnsi="Arial"/>
                <w:sz w:val="10"/>
                <w:szCs w:val="10"/>
                <w:color w:val="464446"/>
              </w:rPr>
              <w:t>se</w:t>
            </w:r>
          </w:p>
        </w:tc>
        <w:tc>
          <w:tcPr>
            <w:tcW w:w="0" w:type="dxa"/>
            <w:vAlign w:val="bottom"/>
          </w:tcPr>
          <w:p>
            <w:pPr>
              <w:spacing w:after="0"/>
              <w:rPr>
                <w:sz w:val="1"/>
                <w:szCs w:val="1"/>
                <w:color w:val="auto"/>
              </w:rPr>
            </w:pPr>
          </w:p>
        </w:tc>
      </w:tr>
      <w:tr>
        <w:trPr>
          <w:trHeight w:val="25"/>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464446"/>
              </w:rPr>
              <w:t>F</w:t>
            </w:r>
            <w:r>
              <w:rPr>
                <w:rFonts w:ascii="Arial" w:cs="Arial" w:eastAsia="Arial" w:hAnsi="Arial"/>
                <w:sz w:val="10"/>
                <w:szCs w:val="10"/>
                <w:b w:val="1"/>
                <w:bCs w:val="1"/>
                <w:color w:val="757775"/>
              </w:rPr>
              <w:t>i</w:t>
            </w:r>
            <w:r>
              <w:rPr>
                <w:rFonts w:ascii="Arial" w:cs="Arial" w:eastAsia="Arial" w:hAnsi="Arial"/>
                <w:sz w:val="10"/>
                <w:szCs w:val="10"/>
                <w:b w:val="1"/>
                <w:bCs w:val="1"/>
                <w:color w:val="1F1F23"/>
              </w:rPr>
              <w:t>r</w:t>
            </w:r>
            <w:r>
              <w:rPr>
                <w:rFonts w:ascii="Arial" w:cs="Arial" w:eastAsia="Arial" w:hAnsi="Arial"/>
                <w:sz w:val="10"/>
                <w:szCs w:val="10"/>
                <w:b w:val="1"/>
                <w:bCs w:val="1"/>
                <w:color w:val="464446"/>
              </w:rPr>
              <w:t>e P</w:t>
            </w:r>
            <w:r>
              <w:rPr>
                <w:rFonts w:ascii="Arial" w:cs="Arial" w:eastAsia="Arial" w:hAnsi="Arial"/>
                <w:sz w:val="10"/>
                <w:szCs w:val="10"/>
                <w:b w:val="1"/>
                <w:bCs w:val="1"/>
                <w:color w:val="5D5D60"/>
              </w:rPr>
              <w:t>r</w:t>
            </w:r>
            <w:r>
              <w:rPr>
                <w:rFonts w:ascii="Arial" w:cs="Arial" w:eastAsia="Arial" w:hAnsi="Arial"/>
                <w:sz w:val="10"/>
                <w:szCs w:val="10"/>
                <w:b w:val="1"/>
                <w:bCs w:val="1"/>
                <w:color w:val="464446"/>
              </w:rPr>
              <w:t>ot</w:t>
            </w:r>
            <w:r>
              <w:rPr>
                <w:rFonts w:ascii="Arial" w:cs="Arial" w:eastAsia="Arial" w:hAnsi="Arial"/>
                <w:sz w:val="10"/>
                <w:szCs w:val="10"/>
                <w:b w:val="1"/>
                <w:bCs w:val="1"/>
                <w:color w:val="5D5D60"/>
              </w:rPr>
              <w:t>e</w:t>
            </w:r>
            <w:r>
              <w:rPr>
                <w:rFonts w:ascii="Arial" w:cs="Arial" w:eastAsia="Arial" w:hAnsi="Arial"/>
                <w:sz w:val="10"/>
                <w:szCs w:val="10"/>
                <w:b w:val="1"/>
                <w:bCs w:val="1"/>
                <w:color w:val="464446"/>
              </w:rPr>
              <w:t>ct</w:t>
            </w:r>
            <w:r>
              <w:rPr>
                <w:rFonts w:ascii="Arial" w:cs="Arial" w:eastAsia="Arial" w:hAnsi="Arial"/>
                <w:sz w:val="10"/>
                <w:szCs w:val="10"/>
                <w:b w:val="1"/>
                <w:bCs w:val="1"/>
                <w:color w:val="5D5D60"/>
              </w:rPr>
              <w:t>i</w:t>
            </w:r>
            <w:r>
              <w:rPr>
                <w:rFonts w:ascii="Arial" w:cs="Arial" w:eastAsia="Arial" w:hAnsi="Arial"/>
                <w:sz w:val="10"/>
                <w:szCs w:val="10"/>
                <w:b w:val="1"/>
                <w:bCs w:val="1"/>
                <w:color w:val="464446"/>
              </w:rPr>
              <w:t>o</w:t>
            </w:r>
            <w:r>
              <w:rPr>
                <w:rFonts w:ascii="Arial" w:cs="Arial" w:eastAsia="Arial" w:hAnsi="Arial"/>
                <w:sz w:val="10"/>
                <w:szCs w:val="10"/>
                <w:b w:val="1"/>
                <w:bCs w:val="1"/>
                <w:color w:val="1F1F23"/>
              </w:rPr>
              <w:t>n</w:t>
            </w:r>
          </w:p>
        </w:tc>
        <w:tc>
          <w:tcPr>
            <w:tcW w:w="120" w:type="dxa"/>
            <w:vAlign w:val="bottom"/>
          </w:tcPr>
          <w:p>
            <w:pPr>
              <w:spacing w:after="0"/>
              <w:rPr>
                <w:sz w:val="20"/>
                <w:szCs w:val="20"/>
                <w:color w:val="auto"/>
              </w:rPr>
            </w:pPr>
            <w:r>
              <w:rPr>
                <w:rFonts w:ascii="Arial" w:cs="Arial" w:eastAsia="Arial" w:hAnsi="Arial"/>
                <w:sz w:val="17"/>
                <w:szCs w:val="17"/>
                <w:color w:val="464446"/>
              </w:rPr>
              <w:t>s</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5D5D60"/>
              </w:rPr>
              <w:t>24,</w:t>
            </w:r>
            <w:r>
              <w:rPr>
                <w:rFonts w:ascii="Arial" w:cs="Arial" w:eastAsia="Arial" w:hAnsi="Arial"/>
                <w:sz w:val="10"/>
                <w:szCs w:val="10"/>
                <w:color w:val="464446"/>
              </w:rPr>
              <w:t>333</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5D5D60"/>
              </w:rPr>
              <w:t>5</w:t>
            </w:r>
            <w:r>
              <w:rPr>
                <w:rFonts w:ascii="Arial" w:cs="Arial" w:eastAsia="Arial" w:hAnsi="Arial"/>
                <w:sz w:val="10"/>
                <w:szCs w:val="10"/>
                <w:color w:val="464446"/>
              </w:rPr>
              <w:t>0</w:t>
            </w:r>
            <w:r>
              <w:rPr>
                <w:rFonts w:ascii="Arial" w:cs="Arial" w:eastAsia="Arial" w:hAnsi="Arial"/>
                <w:sz w:val="10"/>
                <w:szCs w:val="10"/>
                <w:color w:val="5D5D60"/>
              </w:rPr>
              <w:t>%</w:t>
            </w:r>
          </w:p>
        </w:tc>
        <w:tc>
          <w:tcPr>
            <w:tcW w:w="220" w:type="dxa"/>
            <w:vAlign w:val="bottom"/>
          </w:tcPr>
          <w:p>
            <w:pPr>
              <w:ind w:left="120"/>
              <w:spacing w:after="0"/>
              <w:rPr>
                <w:sz w:val="20"/>
                <w:szCs w:val="20"/>
                <w:color w:val="auto"/>
              </w:rPr>
            </w:pPr>
            <w:r>
              <w:rPr>
                <w:rFonts w:ascii="Arial" w:cs="Arial" w:eastAsia="Arial" w:hAnsi="Arial"/>
                <w:sz w:val="10"/>
                <w:szCs w:val="10"/>
                <w:color w:val="464446"/>
              </w:rPr>
              <w:t>$</w:t>
            </w:r>
          </w:p>
        </w:tc>
        <w:tc>
          <w:tcPr>
            <w:tcW w:w="50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313133"/>
                <w:w w:val="97"/>
              </w:rPr>
              <w:t>1</w:t>
            </w:r>
            <w:r>
              <w:rPr>
                <w:rFonts w:ascii="Arial" w:cs="Arial" w:eastAsia="Arial" w:hAnsi="Arial"/>
                <w:sz w:val="10"/>
                <w:szCs w:val="10"/>
                <w:color w:val="5D5D60"/>
                <w:w w:val="97"/>
              </w:rPr>
              <w:t>2,1</w:t>
            </w:r>
            <w:r>
              <w:rPr>
                <w:rFonts w:ascii="Arial" w:cs="Arial" w:eastAsia="Arial" w:hAnsi="Arial"/>
                <w:sz w:val="10"/>
                <w:szCs w:val="10"/>
                <w:color w:val="464446"/>
                <w:w w:val="97"/>
              </w:rPr>
              <w:t>67</w:t>
            </w:r>
          </w:p>
        </w:tc>
        <w:tc>
          <w:tcPr>
            <w:tcW w:w="680" w:type="dxa"/>
            <w:vAlign w:val="bottom"/>
            <w:tcBorders>
              <w:right w:val="single" w:sz="8" w:color="auto"/>
            </w:tcBorders>
            <w:gridSpan w:val="2"/>
          </w:tcPr>
          <w:p>
            <w:pPr>
              <w:ind w:left="100"/>
              <w:spacing w:after="0"/>
              <w:rPr>
                <w:sz w:val="20"/>
                <w:szCs w:val="20"/>
                <w:color w:val="auto"/>
              </w:rPr>
            </w:pPr>
            <w:r>
              <w:rPr>
                <w:rFonts w:ascii="Arial" w:cs="Arial" w:eastAsia="Arial" w:hAnsi="Arial"/>
                <w:sz w:val="10"/>
                <w:szCs w:val="10"/>
                <w:color w:val="464446"/>
              </w:rPr>
              <w:t xml:space="preserve">$  </w:t>
            </w:r>
            <w:r>
              <w:rPr>
                <w:rFonts w:ascii="Arial" w:cs="Arial" w:eastAsia="Arial" w:hAnsi="Arial"/>
                <w:sz w:val="10"/>
                <w:szCs w:val="10"/>
                <w:color w:val="1F1F23"/>
              </w:rPr>
              <w:t>1</w:t>
            </w:r>
            <w:r>
              <w:rPr>
                <w:rFonts w:ascii="Arial" w:cs="Arial" w:eastAsia="Arial" w:hAnsi="Arial"/>
                <w:sz w:val="10"/>
                <w:szCs w:val="10"/>
                <w:color w:val="5D5D60"/>
              </w:rPr>
              <w:t>2,</w:t>
            </w:r>
            <w:r>
              <w:rPr>
                <w:rFonts w:ascii="Arial" w:cs="Arial" w:eastAsia="Arial" w:hAnsi="Arial"/>
                <w:sz w:val="10"/>
                <w:szCs w:val="10"/>
                <w:color w:val="464446"/>
              </w:rPr>
              <w:t>53</w:t>
            </w:r>
            <w:r>
              <w:rPr>
                <w:rFonts w:ascii="Arial" w:cs="Arial" w:eastAsia="Arial" w:hAnsi="Arial"/>
                <w:sz w:val="10"/>
                <w:szCs w:val="10"/>
                <w:color w:val="5D5D60"/>
              </w:rPr>
              <w:t>2</w:t>
            </w:r>
          </w:p>
        </w:tc>
        <w:tc>
          <w:tcPr>
            <w:tcW w:w="140" w:type="dxa"/>
            <w:vAlign w:val="bottom"/>
          </w:tcPr>
          <w:p>
            <w:pPr>
              <w:spacing w:after="0"/>
              <w:rPr>
                <w:sz w:val="20"/>
                <w:szCs w:val="20"/>
                <w:color w:val="auto"/>
              </w:rPr>
            </w:pPr>
            <w:r>
              <w:rPr>
                <w:rFonts w:ascii="Arial" w:cs="Arial" w:eastAsia="Arial" w:hAnsi="Arial"/>
                <w:sz w:val="17"/>
                <w:szCs w:val="17"/>
                <w:color w:val="464446"/>
              </w:rPr>
              <w:t>s</w:t>
            </w:r>
          </w:p>
        </w:tc>
        <w:tc>
          <w:tcPr>
            <w:tcW w:w="54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464446"/>
              </w:rPr>
              <w:t>6</w:t>
            </w:r>
            <w:r>
              <w:rPr>
                <w:rFonts w:ascii="Arial" w:cs="Arial" w:eastAsia="Arial" w:hAnsi="Arial"/>
                <w:sz w:val="10"/>
                <w:szCs w:val="10"/>
                <w:color w:val="5D5D60"/>
              </w:rPr>
              <w:t>,</w:t>
            </w:r>
            <w:r>
              <w:rPr>
                <w:rFonts w:ascii="Arial" w:cs="Arial" w:eastAsia="Arial" w:hAnsi="Arial"/>
                <w:sz w:val="10"/>
                <w:szCs w:val="10"/>
                <w:color w:val="464446"/>
              </w:rPr>
              <w:t>08</w:t>
            </w:r>
            <w:r>
              <w:rPr>
                <w:rFonts w:ascii="Arial" w:cs="Arial" w:eastAsia="Arial" w:hAnsi="Arial"/>
                <w:sz w:val="10"/>
                <w:szCs w:val="10"/>
                <w:color w:val="5D5D60"/>
              </w:rPr>
              <w:t>3</w:t>
            </w:r>
          </w:p>
        </w:tc>
        <w:tc>
          <w:tcPr>
            <w:tcW w:w="140" w:type="dxa"/>
            <w:vAlign w:val="bottom"/>
          </w:tcPr>
          <w:p>
            <w:pPr>
              <w:ind w:left="60"/>
              <w:spacing w:after="0"/>
              <w:rPr>
                <w:sz w:val="20"/>
                <w:szCs w:val="20"/>
                <w:color w:val="auto"/>
              </w:rPr>
            </w:pPr>
            <w:r>
              <w:rPr>
                <w:rFonts w:ascii="Arial" w:cs="Arial" w:eastAsia="Arial" w:hAnsi="Arial"/>
                <w:sz w:val="17"/>
                <w:szCs w:val="17"/>
                <w:color w:val="464446"/>
                <w:w w:val="70"/>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6</w:t>
            </w:r>
            <w:r>
              <w:rPr>
                <w:rFonts w:ascii="Arial" w:cs="Arial" w:eastAsia="Arial" w:hAnsi="Arial"/>
                <w:sz w:val="10"/>
                <w:szCs w:val="10"/>
                <w:color w:val="757775"/>
              </w:rPr>
              <w:t>,</w:t>
            </w:r>
            <w:r>
              <w:rPr>
                <w:rFonts w:ascii="Arial" w:cs="Arial" w:eastAsia="Arial" w:hAnsi="Arial"/>
                <w:sz w:val="10"/>
                <w:szCs w:val="10"/>
                <w:color w:val="464446"/>
              </w:rPr>
              <w:t>083</w:t>
            </w:r>
          </w:p>
        </w:tc>
        <w:tc>
          <w:tcPr>
            <w:tcW w:w="6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jc w:val="center"/>
              <w:ind w:left="1190"/>
              <w:spacing w:after="0"/>
              <w:rPr>
                <w:sz w:val="20"/>
                <w:szCs w:val="20"/>
                <w:color w:val="auto"/>
              </w:rPr>
            </w:pPr>
            <w:r>
              <w:rPr>
                <w:rFonts w:ascii="Arial" w:cs="Arial" w:eastAsia="Arial" w:hAnsi="Arial"/>
                <w:sz w:val="10"/>
                <w:szCs w:val="10"/>
                <w:color w:val="1F1F23"/>
                <w:w w:val="99"/>
              </w:rPr>
              <w:t>E</w:t>
            </w:r>
            <w:r>
              <w:rPr>
                <w:rFonts w:ascii="Arial" w:cs="Arial" w:eastAsia="Arial" w:hAnsi="Arial"/>
                <w:sz w:val="10"/>
                <w:szCs w:val="10"/>
                <w:color w:val="464446"/>
                <w:w w:val="99"/>
              </w:rPr>
              <w:t>ve</w:t>
            </w:r>
            <w:r>
              <w:rPr>
                <w:rFonts w:ascii="Arial" w:cs="Arial" w:eastAsia="Arial" w:hAnsi="Arial"/>
                <w:sz w:val="10"/>
                <w:szCs w:val="10"/>
                <w:color w:val="5D5D60"/>
                <w:w w:val="99"/>
              </w:rPr>
              <w:t>n</w:t>
            </w:r>
            <w:r>
              <w:rPr>
                <w:rFonts w:ascii="Arial" w:cs="Arial" w:eastAsia="Arial" w:hAnsi="Arial"/>
                <w:sz w:val="10"/>
                <w:szCs w:val="10"/>
                <w:color w:val="464446"/>
                <w:w w:val="99"/>
              </w:rPr>
              <w:t>ly spl</w:t>
            </w:r>
            <w:r>
              <w:rPr>
                <w:rFonts w:ascii="Arial" w:cs="Arial" w:eastAsia="Arial" w:hAnsi="Arial"/>
                <w:sz w:val="10"/>
                <w:szCs w:val="10"/>
                <w:color w:val="1F1F23"/>
                <w:w w:val="99"/>
              </w:rPr>
              <w:t>i</w:t>
            </w:r>
            <w:r>
              <w:rPr>
                <w:rFonts w:ascii="Arial" w:cs="Arial" w:eastAsia="Arial" w:hAnsi="Arial"/>
                <w:sz w:val="10"/>
                <w:szCs w:val="10"/>
                <w:color w:val="010101"/>
                <w:w w:val="99"/>
              </w:rPr>
              <w:t>t</w:t>
            </w:r>
            <w:r>
              <w:rPr>
                <w:rFonts w:ascii="Arial" w:cs="Arial" w:eastAsia="Arial" w:hAnsi="Arial"/>
                <w:sz w:val="10"/>
                <w:szCs w:val="10"/>
                <w:color w:val="1F1F23"/>
                <w:w w:val="99"/>
              </w:rPr>
              <w:t xml:space="preserve"> b</w:t>
            </w:r>
            <w:r>
              <w:rPr>
                <w:rFonts w:ascii="Arial" w:cs="Arial" w:eastAsia="Arial" w:hAnsi="Arial"/>
                <w:sz w:val="10"/>
                <w:szCs w:val="10"/>
                <w:color w:val="464446"/>
                <w:w w:val="99"/>
              </w:rPr>
              <w:t>e</w:t>
            </w:r>
            <w:r>
              <w:rPr>
                <w:rFonts w:ascii="Arial" w:cs="Arial" w:eastAsia="Arial" w:hAnsi="Arial"/>
                <w:sz w:val="10"/>
                <w:szCs w:val="10"/>
                <w:color w:val="1F1F23"/>
                <w:w w:val="99"/>
              </w:rPr>
              <w:t>t</w:t>
            </w:r>
            <w:r>
              <w:rPr>
                <w:rFonts w:ascii="Arial" w:cs="Arial" w:eastAsia="Arial" w:hAnsi="Arial"/>
                <w:sz w:val="10"/>
                <w:szCs w:val="10"/>
                <w:color w:val="464446"/>
                <w:w w:val="99"/>
              </w:rPr>
              <w:t>wee</w:t>
            </w:r>
            <w:r>
              <w:rPr>
                <w:rFonts w:ascii="Arial" w:cs="Arial" w:eastAsia="Arial" w:hAnsi="Arial"/>
                <w:sz w:val="10"/>
                <w:szCs w:val="10"/>
                <w:color w:val="5D5D60"/>
                <w:w w:val="99"/>
              </w:rPr>
              <w:t>n</w:t>
            </w:r>
            <w:r>
              <w:rPr>
                <w:rFonts w:ascii="Arial" w:cs="Arial" w:eastAsia="Arial" w:hAnsi="Arial"/>
                <w:sz w:val="10"/>
                <w:szCs w:val="10"/>
                <w:color w:val="1F1F23"/>
                <w:w w:val="99"/>
              </w:rPr>
              <w:t xml:space="preserve"> </w:t>
            </w:r>
            <w:r>
              <w:rPr>
                <w:rFonts w:ascii="Arial" w:cs="Arial" w:eastAsia="Arial" w:hAnsi="Arial"/>
                <w:sz w:val="10"/>
                <w:szCs w:val="10"/>
                <w:color w:val="464446"/>
                <w:w w:val="99"/>
              </w:rPr>
              <w:t>offi</w:t>
            </w:r>
            <w:r>
              <w:rPr>
                <w:rFonts w:ascii="Arial" w:cs="Arial" w:eastAsia="Arial" w:hAnsi="Arial"/>
                <w:sz w:val="10"/>
                <w:szCs w:val="10"/>
                <w:color w:val="5D5D60"/>
                <w:w w:val="99"/>
              </w:rPr>
              <w:t>c</w:t>
            </w:r>
            <w:r>
              <w:rPr>
                <w:rFonts w:ascii="Arial" w:cs="Arial" w:eastAsia="Arial" w:hAnsi="Arial"/>
                <w:sz w:val="10"/>
                <w:szCs w:val="10"/>
                <w:color w:val="464446"/>
                <w:w w:val="99"/>
              </w:rPr>
              <w:t>e a</w:t>
            </w:r>
            <w:r>
              <w:rPr>
                <w:rFonts w:ascii="Arial" w:cs="Arial" w:eastAsia="Arial" w:hAnsi="Arial"/>
                <w:sz w:val="10"/>
                <w:szCs w:val="10"/>
                <w:color w:val="1F1F23"/>
                <w:w w:val="99"/>
              </w:rPr>
              <w:t xml:space="preserve">nd </w:t>
            </w:r>
            <w:r>
              <w:rPr>
                <w:rFonts w:ascii="Arial" w:cs="Arial" w:eastAsia="Arial" w:hAnsi="Arial"/>
                <w:sz w:val="10"/>
                <w:szCs w:val="10"/>
                <w:color w:val="464446"/>
                <w:w w:val="99"/>
              </w:rPr>
              <w:t>pla</w:t>
            </w:r>
            <w:r>
              <w:rPr>
                <w:rFonts w:ascii="Arial" w:cs="Arial" w:eastAsia="Arial" w:hAnsi="Arial"/>
                <w:sz w:val="10"/>
                <w:szCs w:val="10"/>
                <w:color w:val="1F1F23"/>
                <w:w w:val="99"/>
              </w:rPr>
              <w:t>n</w:t>
            </w:r>
            <w:r>
              <w:rPr>
                <w:rFonts w:ascii="Arial" w:cs="Arial" w:eastAsia="Arial" w:hAnsi="Arial"/>
                <w:sz w:val="10"/>
                <w:szCs w:val="10"/>
                <w:color w:val="010101"/>
                <w:w w:val="99"/>
              </w:rPr>
              <w:t>t</w:t>
            </w:r>
            <w:r>
              <w:rPr>
                <w:rFonts w:ascii="Arial" w:cs="Arial" w:eastAsia="Arial" w:hAnsi="Arial"/>
                <w:sz w:val="10"/>
                <w:szCs w:val="10"/>
                <w:color w:val="1F1F23"/>
                <w:w w:val="99"/>
              </w:rPr>
              <w:t xml:space="preserve"> </w:t>
            </w:r>
            <w:r>
              <w:rPr>
                <w:rFonts w:ascii="Arial" w:cs="Arial" w:eastAsia="Arial" w:hAnsi="Arial"/>
                <w:sz w:val="10"/>
                <w:szCs w:val="10"/>
                <w:color w:val="464446"/>
                <w:w w:val="99"/>
              </w:rPr>
              <w:t>give</w:t>
            </w:r>
            <w:r>
              <w:rPr>
                <w:rFonts w:ascii="Arial" w:cs="Arial" w:eastAsia="Arial" w:hAnsi="Arial"/>
                <w:sz w:val="10"/>
                <w:szCs w:val="10"/>
                <w:color w:val="1F1F23"/>
                <w:w w:val="99"/>
              </w:rPr>
              <w:t xml:space="preserve"> n </w:t>
            </w:r>
            <w:r>
              <w:rPr>
                <w:rFonts w:ascii="Arial" w:cs="Arial" w:eastAsia="Arial" w:hAnsi="Arial"/>
                <w:sz w:val="10"/>
                <w:szCs w:val="10"/>
                <w:color w:val="5D5D60"/>
                <w:w w:val="99"/>
              </w:rPr>
              <w:t>land</w:t>
            </w:r>
            <w:r>
              <w:rPr>
                <w:rFonts w:ascii="Arial" w:cs="Arial" w:eastAsia="Arial" w:hAnsi="Arial"/>
                <w:sz w:val="10"/>
                <w:szCs w:val="10"/>
                <w:color w:val="1F1F23"/>
                <w:w w:val="99"/>
              </w:rPr>
              <w:t xml:space="preserve"> u</w:t>
            </w:r>
            <w:r>
              <w:rPr>
                <w:rFonts w:ascii="Arial" w:cs="Arial" w:eastAsia="Arial" w:hAnsi="Arial"/>
                <w:sz w:val="10"/>
                <w:szCs w:val="10"/>
                <w:color w:val="464446"/>
                <w:w w:val="99"/>
              </w:rPr>
              <w:t>s</w:t>
            </w:r>
            <w:r>
              <w:rPr>
                <w:rFonts w:ascii="Arial" w:cs="Arial" w:eastAsia="Arial" w:hAnsi="Arial"/>
                <w:sz w:val="10"/>
                <w:szCs w:val="10"/>
                <w:color w:val="5D5D60"/>
                <w:w w:val="99"/>
              </w:rPr>
              <w:t>ag</w:t>
            </w:r>
            <w:r>
              <w:rPr>
                <w:rFonts w:ascii="Arial" w:cs="Arial" w:eastAsia="Arial" w:hAnsi="Arial"/>
                <w:sz w:val="10"/>
                <w:szCs w:val="10"/>
                <w:color w:val="464446"/>
                <w:w w:val="99"/>
              </w:rPr>
              <w:t>e</w:t>
            </w:r>
          </w:p>
        </w:tc>
        <w:tc>
          <w:tcPr>
            <w:tcW w:w="0" w:type="dxa"/>
            <w:vAlign w:val="bottom"/>
          </w:tcPr>
          <w:p>
            <w:pPr>
              <w:spacing w:after="0"/>
              <w:rPr>
                <w:sz w:val="1"/>
                <w:szCs w:val="1"/>
                <w:color w:val="auto"/>
              </w:rPr>
            </w:pPr>
          </w:p>
        </w:tc>
      </w:tr>
      <w:tr>
        <w:trPr>
          <w:trHeight w:val="25"/>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gridSpan w:val="2"/>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0"/>
                <w:szCs w:val="10"/>
                <w:color w:val="464446"/>
              </w:rPr>
              <w:t xml:space="preserve">Pest Contro </w:t>
            </w:r>
            <w:r>
              <w:rPr>
                <w:rFonts w:ascii="Arial" w:cs="Arial" w:eastAsia="Arial" w:hAnsi="Arial"/>
                <w:sz w:val="10"/>
                <w:szCs w:val="10"/>
                <w:color w:val="757775"/>
              </w:rPr>
              <w:t>l</w:t>
            </w:r>
          </w:p>
        </w:tc>
        <w:tc>
          <w:tcPr>
            <w:tcW w:w="120" w:type="dxa"/>
            <w:vAlign w:val="bottom"/>
          </w:tcPr>
          <w:p>
            <w:pPr>
              <w:spacing w:after="0"/>
              <w:rPr>
                <w:sz w:val="20"/>
                <w:szCs w:val="20"/>
                <w:color w:val="auto"/>
              </w:rPr>
            </w:pPr>
            <w:r>
              <w:rPr>
                <w:rFonts w:ascii="Arial" w:cs="Arial" w:eastAsia="Arial" w:hAnsi="Arial"/>
                <w:sz w:val="17"/>
                <w:szCs w:val="17"/>
                <w:color w:val="464446"/>
              </w:rPr>
              <w:t>s</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8</w:t>
            </w:r>
            <w:r>
              <w:rPr>
                <w:rFonts w:ascii="Arial" w:cs="Arial" w:eastAsia="Arial" w:hAnsi="Arial"/>
                <w:sz w:val="10"/>
                <w:szCs w:val="10"/>
                <w:color w:val="757775"/>
              </w:rPr>
              <w:t>,</w:t>
            </w:r>
            <w:r>
              <w:rPr>
                <w:rFonts w:ascii="Arial" w:cs="Arial" w:eastAsia="Arial" w:hAnsi="Arial"/>
                <w:sz w:val="10"/>
                <w:szCs w:val="10"/>
                <w:color w:val="313133"/>
              </w:rPr>
              <w:t>790</w:t>
            </w:r>
          </w:p>
        </w:tc>
        <w:tc>
          <w:tcPr>
            <w:tcW w:w="720" w:type="dxa"/>
            <w:vAlign w:val="bottom"/>
            <w:tcBorders>
              <w:right w:val="single" w:sz="8" w:color="auto"/>
            </w:tcBorders>
          </w:tcPr>
          <w:p>
            <w:pPr>
              <w:jc w:val="right"/>
              <w:ind w:right="170"/>
              <w:spacing w:after="0"/>
              <w:rPr>
                <w:sz w:val="20"/>
                <w:szCs w:val="20"/>
                <w:color w:val="auto"/>
              </w:rPr>
            </w:pPr>
            <w:r>
              <w:rPr>
                <w:rFonts w:ascii="Arial" w:cs="Arial" w:eastAsia="Arial" w:hAnsi="Arial"/>
                <w:sz w:val="10"/>
                <w:szCs w:val="10"/>
                <w:color w:val="464446"/>
              </w:rPr>
              <w:t>50</w:t>
            </w:r>
            <w:r>
              <w:rPr>
                <w:rFonts w:ascii="Arial" w:cs="Arial" w:eastAsia="Arial" w:hAnsi="Arial"/>
                <w:sz w:val="10"/>
                <w:szCs w:val="10"/>
                <w:color w:val="5D5D60"/>
              </w:rPr>
              <w:t>%</w:t>
            </w:r>
          </w:p>
        </w:tc>
        <w:tc>
          <w:tcPr>
            <w:tcW w:w="220" w:type="dxa"/>
            <w:vAlign w:val="bottom"/>
          </w:tcPr>
          <w:p>
            <w:pPr>
              <w:ind w:left="160"/>
              <w:spacing w:after="0"/>
              <w:rPr>
                <w:sz w:val="20"/>
                <w:szCs w:val="20"/>
                <w:color w:val="auto"/>
              </w:rPr>
            </w:pPr>
            <w:r>
              <w:rPr>
                <w:rFonts w:ascii="Arial" w:cs="Arial" w:eastAsia="Arial" w:hAnsi="Arial"/>
                <w:sz w:val="8"/>
                <w:szCs w:val="8"/>
                <w:color w:val="464446"/>
                <w:w w:val="88"/>
              </w:rPr>
              <w:t>$</w:t>
            </w:r>
          </w:p>
        </w:tc>
        <w:tc>
          <w:tcPr>
            <w:tcW w:w="500" w:type="dxa"/>
            <w:vAlign w:val="bottom"/>
            <w:tcBorders>
              <w:right w:val="single" w:sz="8" w:color="auto"/>
            </w:tcBorders>
          </w:tcPr>
          <w:p>
            <w:pPr>
              <w:jc w:val="center"/>
              <w:ind w:right="50"/>
              <w:spacing w:after="0"/>
              <w:rPr>
                <w:sz w:val="20"/>
                <w:szCs w:val="20"/>
                <w:color w:val="auto"/>
              </w:rPr>
            </w:pPr>
            <w:r>
              <w:rPr>
                <w:rFonts w:ascii="Arial" w:cs="Arial" w:eastAsia="Arial" w:hAnsi="Arial"/>
                <w:sz w:val="10"/>
                <w:szCs w:val="10"/>
                <w:color w:val="464446"/>
                <w:w w:val="95"/>
              </w:rPr>
              <w:t>4</w:t>
            </w:r>
            <w:r>
              <w:rPr>
                <w:rFonts w:ascii="Arial" w:cs="Arial" w:eastAsia="Arial" w:hAnsi="Arial"/>
                <w:sz w:val="10"/>
                <w:szCs w:val="10"/>
                <w:color w:val="757775"/>
                <w:w w:val="95"/>
              </w:rPr>
              <w:t>,</w:t>
            </w:r>
            <w:r>
              <w:rPr>
                <w:rFonts w:ascii="Arial" w:cs="Arial" w:eastAsia="Arial" w:hAnsi="Arial"/>
                <w:sz w:val="10"/>
                <w:szCs w:val="10"/>
                <w:color w:val="464446"/>
                <w:w w:val="95"/>
              </w:rPr>
              <w:t>395</w:t>
            </w:r>
          </w:p>
        </w:tc>
        <w:tc>
          <w:tcPr>
            <w:tcW w:w="200" w:type="dxa"/>
            <w:vAlign w:val="bottom"/>
          </w:tcPr>
          <w:p>
            <w:pPr>
              <w:ind w:left="120"/>
              <w:spacing w:after="0"/>
              <w:rPr>
                <w:sz w:val="20"/>
                <w:szCs w:val="20"/>
                <w:color w:val="auto"/>
              </w:rPr>
            </w:pPr>
            <w:r>
              <w:rPr>
                <w:rFonts w:ascii="Arial" w:cs="Arial" w:eastAsia="Arial" w:hAnsi="Arial"/>
                <w:sz w:val="10"/>
                <w:szCs w:val="10"/>
                <w:color w:val="464446"/>
              </w:rPr>
              <w:t>$</w:t>
            </w:r>
          </w:p>
        </w:tc>
        <w:tc>
          <w:tcPr>
            <w:tcW w:w="480" w:type="dxa"/>
            <w:vAlign w:val="bottom"/>
            <w:tcBorders>
              <w:right w:val="single" w:sz="8" w:color="auto"/>
            </w:tcBorders>
          </w:tcPr>
          <w:p>
            <w:pPr>
              <w:jc w:val="center"/>
              <w:ind w:right="30"/>
              <w:spacing w:after="0"/>
              <w:rPr>
                <w:sz w:val="20"/>
                <w:szCs w:val="20"/>
                <w:color w:val="auto"/>
              </w:rPr>
            </w:pPr>
            <w:r>
              <w:rPr>
                <w:rFonts w:ascii="Arial" w:cs="Arial" w:eastAsia="Arial" w:hAnsi="Arial"/>
                <w:sz w:val="10"/>
                <w:szCs w:val="10"/>
                <w:color w:val="464446"/>
                <w:w w:val="95"/>
              </w:rPr>
              <w:t>4</w:t>
            </w:r>
            <w:r>
              <w:rPr>
                <w:rFonts w:ascii="Arial" w:cs="Arial" w:eastAsia="Arial" w:hAnsi="Arial"/>
                <w:sz w:val="10"/>
                <w:szCs w:val="10"/>
                <w:color w:val="5D5D60"/>
                <w:w w:val="95"/>
              </w:rPr>
              <w:t>,</w:t>
            </w:r>
            <w:r>
              <w:rPr>
                <w:rFonts w:ascii="Arial" w:cs="Arial" w:eastAsia="Arial" w:hAnsi="Arial"/>
                <w:sz w:val="10"/>
                <w:szCs w:val="10"/>
                <w:color w:val="464446"/>
                <w:w w:val="95"/>
              </w:rPr>
              <w:t>527</w:t>
            </w:r>
          </w:p>
        </w:tc>
        <w:tc>
          <w:tcPr>
            <w:tcW w:w="140" w:type="dxa"/>
            <w:vAlign w:val="bottom"/>
          </w:tcPr>
          <w:p>
            <w:pPr>
              <w:spacing w:after="0"/>
              <w:rPr>
                <w:sz w:val="20"/>
                <w:szCs w:val="20"/>
                <w:color w:val="auto"/>
              </w:rPr>
            </w:pPr>
            <w:r>
              <w:rPr>
                <w:rFonts w:ascii="Arial" w:cs="Arial" w:eastAsia="Arial" w:hAnsi="Arial"/>
                <w:sz w:val="17"/>
                <w:szCs w:val="17"/>
                <w:color w:val="464446"/>
              </w:rPr>
              <w:t>s</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464446"/>
              </w:rPr>
              <w:t>2</w:t>
            </w:r>
            <w:r>
              <w:rPr>
                <w:rFonts w:ascii="Arial" w:cs="Arial" w:eastAsia="Arial" w:hAnsi="Arial"/>
                <w:sz w:val="10"/>
                <w:szCs w:val="10"/>
                <w:color w:val="878589"/>
              </w:rPr>
              <w:t>,</w:t>
            </w:r>
            <w:r>
              <w:rPr>
                <w:rFonts w:ascii="Arial" w:cs="Arial" w:eastAsia="Arial" w:hAnsi="Arial"/>
                <w:sz w:val="10"/>
                <w:szCs w:val="10"/>
                <w:color w:val="1F1F23"/>
              </w:rPr>
              <w:t>1</w:t>
            </w:r>
            <w:r>
              <w:rPr>
                <w:rFonts w:ascii="Arial" w:cs="Arial" w:eastAsia="Arial" w:hAnsi="Arial"/>
                <w:sz w:val="10"/>
                <w:szCs w:val="10"/>
                <w:color w:val="464446"/>
              </w:rPr>
              <w:t>98</w:t>
            </w:r>
          </w:p>
        </w:tc>
        <w:tc>
          <w:tcPr>
            <w:tcW w:w="760" w:type="dxa"/>
            <w:vAlign w:val="bottom"/>
            <w:tcBorders>
              <w:right w:val="single" w:sz="8" w:color="auto"/>
            </w:tcBorders>
            <w:gridSpan w:val="2"/>
          </w:tcPr>
          <w:p>
            <w:pPr>
              <w:ind w:left="80"/>
              <w:spacing w:after="0"/>
              <w:rPr>
                <w:sz w:val="20"/>
                <w:szCs w:val="20"/>
                <w:color w:val="auto"/>
              </w:rPr>
            </w:pPr>
            <w:r>
              <w:rPr>
                <w:rFonts w:ascii="Arial" w:cs="Arial" w:eastAsia="Arial" w:hAnsi="Arial"/>
                <w:sz w:val="8"/>
                <w:szCs w:val="8"/>
                <w:color w:val="464446"/>
              </w:rPr>
              <w:t xml:space="preserve">$  </w:t>
            </w:r>
            <w:r>
              <w:rPr>
                <w:rFonts w:ascii="Arial" w:cs="Arial" w:eastAsia="Arial" w:hAnsi="Arial"/>
                <w:sz w:val="9"/>
                <w:szCs w:val="9"/>
                <w:color w:val="464446"/>
              </w:rPr>
              <w:t>2</w:t>
            </w:r>
            <w:r>
              <w:rPr>
                <w:rFonts w:ascii="Arial" w:cs="Arial" w:eastAsia="Arial" w:hAnsi="Arial"/>
                <w:sz w:val="9"/>
                <w:szCs w:val="9"/>
                <w:color w:val="5D5D60"/>
              </w:rPr>
              <w:t>,</w:t>
            </w:r>
            <w:r>
              <w:rPr>
                <w:rFonts w:ascii="Arial" w:cs="Arial" w:eastAsia="Arial" w:hAnsi="Arial"/>
                <w:sz w:val="9"/>
                <w:szCs w:val="9"/>
                <w:color w:val="1F1F23"/>
              </w:rPr>
              <w:t>1</w:t>
            </w:r>
            <w:r>
              <w:rPr>
                <w:rFonts w:ascii="Arial" w:cs="Arial" w:eastAsia="Arial" w:hAnsi="Arial"/>
                <w:sz w:val="9"/>
                <w:szCs w:val="9"/>
                <w:color w:val="464446"/>
              </w:rPr>
              <w:t>98</w:t>
            </w:r>
          </w:p>
        </w:tc>
        <w:tc>
          <w:tcPr>
            <w:tcW w:w="66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jc w:val="center"/>
              <w:ind w:left="1170"/>
              <w:spacing w:after="0"/>
              <w:rPr>
                <w:sz w:val="20"/>
                <w:szCs w:val="20"/>
                <w:color w:val="auto"/>
              </w:rPr>
            </w:pPr>
            <w:r>
              <w:rPr>
                <w:rFonts w:ascii="Arial" w:cs="Arial" w:eastAsia="Arial" w:hAnsi="Arial"/>
                <w:sz w:val="10"/>
                <w:szCs w:val="10"/>
                <w:color w:val="5D5D60"/>
                <w:w w:val="99"/>
              </w:rPr>
              <w:t>E</w:t>
            </w:r>
            <w:r>
              <w:rPr>
                <w:rFonts w:ascii="Arial" w:cs="Arial" w:eastAsia="Arial" w:hAnsi="Arial"/>
                <w:sz w:val="10"/>
                <w:szCs w:val="10"/>
                <w:color w:val="464446"/>
                <w:w w:val="99"/>
              </w:rPr>
              <w:t>v</w:t>
            </w:r>
            <w:r>
              <w:rPr>
                <w:rFonts w:ascii="Arial" w:cs="Arial" w:eastAsia="Arial" w:hAnsi="Arial"/>
                <w:sz w:val="10"/>
                <w:szCs w:val="10"/>
                <w:color w:val="5D5D60"/>
                <w:w w:val="99"/>
              </w:rPr>
              <w:t>enly s</w:t>
            </w:r>
            <w:r>
              <w:rPr>
                <w:rFonts w:ascii="Arial" w:cs="Arial" w:eastAsia="Arial" w:hAnsi="Arial"/>
                <w:sz w:val="10"/>
                <w:szCs w:val="10"/>
                <w:color w:val="464446"/>
                <w:w w:val="99"/>
              </w:rPr>
              <w:t>p</w:t>
            </w:r>
            <w:r>
              <w:rPr>
                <w:rFonts w:ascii="Arial" w:cs="Arial" w:eastAsia="Arial" w:hAnsi="Arial"/>
                <w:sz w:val="10"/>
                <w:szCs w:val="10"/>
                <w:color w:val="5D5D60"/>
                <w:w w:val="99"/>
              </w:rPr>
              <w:t>l</w:t>
            </w:r>
            <w:r>
              <w:rPr>
                <w:rFonts w:ascii="Arial" w:cs="Arial" w:eastAsia="Arial" w:hAnsi="Arial"/>
                <w:sz w:val="10"/>
                <w:szCs w:val="10"/>
                <w:color w:val="313133"/>
                <w:w w:val="99"/>
              </w:rPr>
              <w:t>it betw</w:t>
            </w:r>
            <w:r>
              <w:rPr>
                <w:rFonts w:ascii="Arial" w:cs="Arial" w:eastAsia="Arial" w:hAnsi="Arial"/>
                <w:sz w:val="10"/>
                <w:szCs w:val="10"/>
                <w:color w:val="5D5D60"/>
                <w:w w:val="99"/>
              </w:rPr>
              <w:t>e</w:t>
            </w:r>
            <w:r>
              <w:rPr>
                <w:rFonts w:ascii="Arial" w:cs="Arial" w:eastAsia="Arial" w:hAnsi="Arial"/>
                <w:sz w:val="10"/>
                <w:szCs w:val="10"/>
                <w:color w:val="464446"/>
                <w:w w:val="99"/>
              </w:rPr>
              <w:t>e</w:t>
            </w:r>
            <w:r>
              <w:rPr>
                <w:rFonts w:ascii="Arial" w:cs="Arial" w:eastAsia="Arial" w:hAnsi="Arial"/>
                <w:sz w:val="10"/>
                <w:szCs w:val="10"/>
                <w:color w:val="5D5D60"/>
                <w:w w:val="99"/>
              </w:rPr>
              <w:t xml:space="preserve">n </w:t>
            </w:r>
            <w:r>
              <w:rPr>
                <w:rFonts w:ascii="Arial" w:cs="Arial" w:eastAsia="Arial" w:hAnsi="Arial"/>
                <w:sz w:val="10"/>
                <w:szCs w:val="10"/>
                <w:color w:val="464446"/>
                <w:w w:val="99"/>
              </w:rPr>
              <w:t>offic</w:t>
            </w:r>
            <w:r>
              <w:rPr>
                <w:rFonts w:ascii="Arial" w:cs="Arial" w:eastAsia="Arial" w:hAnsi="Arial"/>
                <w:sz w:val="10"/>
                <w:szCs w:val="10"/>
                <w:color w:val="5D5D60"/>
                <w:w w:val="99"/>
              </w:rPr>
              <w:t xml:space="preserve">e </w:t>
            </w:r>
            <w:r>
              <w:rPr>
                <w:rFonts w:ascii="Arial" w:cs="Arial" w:eastAsia="Arial" w:hAnsi="Arial"/>
                <w:sz w:val="10"/>
                <w:szCs w:val="10"/>
                <w:color w:val="464446"/>
                <w:w w:val="99"/>
              </w:rPr>
              <w:t>a</w:t>
            </w:r>
            <w:r>
              <w:rPr>
                <w:rFonts w:ascii="Arial" w:cs="Arial" w:eastAsia="Arial" w:hAnsi="Arial"/>
                <w:sz w:val="10"/>
                <w:szCs w:val="10"/>
                <w:color w:val="1F1F23"/>
                <w:w w:val="99"/>
              </w:rPr>
              <w:t>nd</w:t>
            </w:r>
            <w:r>
              <w:rPr>
                <w:rFonts w:ascii="Arial" w:cs="Arial" w:eastAsia="Arial" w:hAnsi="Arial"/>
                <w:sz w:val="10"/>
                <w:szCs w:val="10"/>
                <w:color w:val="5D5D60"/>
                <w:w w:val="99"/>
              </w:rPr>
              <w:t xml:space="preserve"> </w:t>
            </w:r>
            <w:r>
              <w:rPr>
                <w:rFonts w:ascii="Arial" w:cs="Arial" w:eastAsia="Arial" w:hAnsi="Arial"/>
                <w:sz w:val="10"/>
                <w:szCs w:val="10"/>
                <w:color w:val="464446"/>
                <w:w w:val="99"/>
              </w:rPr>
              <w:t>p</w:t>
            </w:r>
            <w:r>
              <w:rPr>
                <w:rFonts w:ascii="Arial" w:cs="Arial" w:eastAsia="Arial" w:hAnsi="Arial"/>
                <w:sz w:val="10"/>
                <w:szCs w:val="10"/>
                <w:color w:val="5D5D60"/>
                <w:w w:val="99"/>
              </w:rPr>
              <w:t>la</w:t>
            </w:r>
            <w:r>
              <w:rPr>
                <w:rFonts w:ascii="Arial" w:cs="Arial" w:eastAsia="Arial" w:hAnsi="Arial"/>
                <w:sz w:val="10"/>
                <w:szCs w:val="10"/>
                <w:color w:val="1F1F23"/>
                <w:w w:val="99"/>
              </w:rPr>
              <w:t>nt</w:t>
            </w:r>
            <w:r>
              <w:rPr>
                <w:rFonts w:ascii="Arial" w:cs="Arial" w:eastAsia="Arial" w:hAnsi="Arial"/>
                <w:sz w:val="10"/>
                <w:szCs w:val="10"/>
                <w:color w:val="5D5D60"/>
                <w:w w:val="99"/>
              </w:rPr>
              <w:t xml:space="preserve"> </w:t>
            </w:r>
            <w:r>
              <w:rPr>
                <w:rFonts w:ascii="Arial" w:cs="Arial" w:eastAsia="Arial" w:hAnsi="Arial"/>
                <w:sz w:val="10"/>
                <w:szCs w:val="10"/>
                <w:color w:val="313133"/>
                <w:w w:val="99"/>
              </w:rPr>
              <w:t>given</w:t>
            </w:r>
            <w:r>
              <w:rPr>
                <w:rFonts w:ascii="Arial" w:cs="Arial" w:eastAsia="Arial" w:hAnsi="Arial"/>
                <w:sz w:val="10"/>
                <w:szCs w:val="10"/>
                <w:color w:val="5D5D60"/>
                <w:w w:val="99"/>
              </w:rPr>
              <w:t xml:space="preserve"> </w:t>
            </w:r>
            <w:r>
              <w:rPr>
                <w:rFonts w:ascii="Arial" w:cs="Arial" w:eastAsia="Arial" w:hAnsi="Arial"/>
                <w:sz w:val="10"/>
                <w:szCs w:val="10"/>
                <w:color w:val="757775"/>
                <w:w w:val="99"/>
              </w:rPr>
              <w:t>l</w:t>
            </w:r>
            <w:r>
              <w:rPr>
                <w:rFonts w:ascii="Arial" w:cs="Arial" w:eastAsia="Arial" w:hAnsi="Arial"/>
                <w:sz w:val="10"/>
                <w:szCs w:val="10"/>
                <w:color w:val="464446"/>
                <w:w w:val="99"/>
              </w:rPr>
              <w:t>a</w:t>
            </w:r>
            <w:r>
              <w:rPr>
                <w:rFonts w:ascii="Arial" w:cs="Arial" w:eastAsia="Arial" w:hAnsi="Arial"/>
                <w:sz w:val="10"/>
                <w:szCs w:val="10"/>
                <w:color w:val="5D5D60"/>
                <w:w w:val="99"/>
              </w:rPr>
              <w:t>n</w:t>
            </w:r>
            <w:r>
              <w:rPr>
                <w:rFonts w:ascii="Arial" w:cs="Arial" w:eastAsia="Arial" w:hAnsi="Arial"/>
                <w:sz w:val="10"/>
                <w:szCs w:val="10"/>
                <w:color w:val="464446"/>
                <w:w w:val="99"/>
              </w:rPr>
              <w:t>d</w:t>
            </w:r>
            <w:r>
              <w:rPr>
                <w:rFonts w:ascii="Arial" w:cs="Arial" w:eastAsia="Arial" w:hAnsi="Arial"/>
                <w:sz w:val="10"/>
                <w:szCs w:val="10"/>
                <w:color w:val="5D5D60"/>
                <w:w w:val="99"/>
              </w:rPr>
              <w:t xml:space="preserve"> </w:t>
            </w:r>
            <w:r>
              <w:rPr>
                <w:rFonts w:ascii="Arial" w:cs="Arial" w:eastAsia="Arial" w:hAnsi="Arial"/>
                <w:sz w:val="10"/>
                <w:szCs w:val="10"/>
                <w:color w:val="313133"/>
                <w:w w:val="99"/>
              </w:rPr>
              <w:t>usag</w:t>
            </w:r>
            <w:r>
              <w:rPr>
                <w:rFonts w:ascii="Arial" w:cs="Arial" w:eastAsia="Arial" w:hAnsi="Arial"/>
                <w:sz w:val="10"/>
                <w:szCs w:val="10"/>
                <w:color w:val="5D5D60"/>
                <w:w w:val="99"/>
              </w:rPr>
              <w:t>e</w:t>
            </w:r>
          </w:p>
        </w:tc>
        <w:tc>
          <w:tcPr>
            <w:tcW w:w="0" w:type="dxa"/>
            <w:vAlign w:val="bottom"/>
          </w:tcPr>
          <w:p>
            <w:pPr>
              <w:spacing w:after="0"/>
              <w:rPr>
                <w:sz w:val="1"/>
                <w:szCs w:val="1"/>
                <w:color w:val="auto"/>
              </w:rPr>
            </w:pPr>
          </w:p>
        </w:tc>
      </w:tr>
      <w:tr>
        <w:trPr>
          <w:trHeight w:val="30"/>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gridSpan w:val="2"/>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1F1F23"/>
              </w:rPr>
              <w:t>Totals</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1F1F23"/>
                <w:w w:val="71"/>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0"/>
                <w:szCs w:val="10"/>
                <w:b w:val="1"/>
                <w:bCs w:val="1"/>
                <w:color w:val="1F1F23"/>
              </w:rPr>
              <w:t>2,674,137</w:t>
            </w: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2"/>
                <w:szCs w:val="12"/>
                <w:color w:val="313133"/>
              </w:rPr>
              <w:t xml:space="preserve">$ </w:t>
            </w:r>
            <w:r>
              <w:rPr>
                <w:rFonts w:ascii="Arial" w:cs="Arial" w:eastAsia="Arial" w:hAnsi="Arial"/>
                <w:sz w:val="9"/>
                <w:szCs w:val="9"/>
                <w:b w:val="1"/>
                <w:bCs w:val="1"/>
                <w:color w:val="1F1F23"/>
              </w:rPr>
              <w:t>1,281,843</w:t>
            </w:r>
          </w:p>
        </w:tc>
        <w:tc>
          <w:tcPr>
            <w:tcW w:w="680" w:type="dxa"/>
            <w:vAlign w:val="bottom"/>
            <w:tcBorders>
              <w:bottom w:val="single" w:sz="8" w:color="auto"/>
              <w:right w:val="single" w:sz="8" w:color="auto"/>
            </w:tcBorders>
            <w:gridSpan w:val="2"/>
          </w:tcPr>
          <w:p>
            <w:pPr>
              <w:jc w:val="center"/>
              <w:ind w:right="10"/>
              <w:spacing w:after="0"/>
              <w:rPr>
                <w:sz w:val="20"/>
                <w:szCs w:val="20"/>
                <w:color w:val="auto"/>
              </w:rPr>
            </w:pPr>
            <w:r>
              <w:rPr>
                <w:rFonts w:ascii="Arial" w:cs="Arial" w:eastAsia="Arial" w:hAnsi="Arial"/>
                <w:sz w:val="12"/>
                <w:szCs w:val="12"/>
                <w:color w:val="313133"/>
              </w:rPr>
              <w:t xml:space="preserve">$ </w:t>
            </w:r>
            <w:r>
              <w:rPr>
                <w:rFonts w:ascii="Arial" w:cs="Arial" w:eastAsia="Arial" w:hAnsi="Arial"/>
                <w:sz w:val="9"/>
                <w:szCs w:val="9"/>
                <w:b w:val="1"/>
                <w:bCs w:val="1"/>
                <w:color w:val="1F1F23"/>
              </w:rPr>
              <w:t>1</w:t>
            </w:r>
            <w:r>
              <w:rPr>
                <w:rFonts w:ascii="Arial" w:cs="Arial" w:eastAsia="Arial" w:hAnsi="Arial"/>
                <w:sz w:val="9"/>
                <w:szCs w:val="9"/>
                <w:b w:val="1"/>
                <w:bCs w:val="1"/>
                <w:color w:val="464446"/>
              </w:rPr>
              <w:t>,</w:t>
            </w:r>
            <w:r>
              <w:rPr>
                <w:rFonts w:ascii="Arial" w:cs="Arial" w:eastAsia="Arial" w:hAnsi="Arial"/>
                <w:sz w:val="9"/>
                <w:szCs w:val="9"/>
                <w:b w:val="1"/>
                <w:bCs w:val="1"/>
                <w:color w:val="1F1F23"/>
              </w:rPr>
              <w:t>320,2.99</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1F1F23"/>
                <w:w w:val="89"/>
              </w:rPr>
              <w:t>$</w:t>
            </w:r>
          </w:p>
        </w:tc>
        <w:tc>
          <w:tcPr>
            <w:tcW w:w="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0"/>
                <w:szCs w:val="10"/>
                <w:b w:val="1"/>
                <w:bCs w:val="1"/>
                <w:color w:val="1F1F23"/>
              </w:rPr>
              <w:t>640,922</w:t>
            </w:r>
          </w:p>
        </w:tc>
        <w:tc>
          <w:tcPr>
            <w:tcW w:w="7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2"/>
                <w:szCs w:val="12"/>
                <w:color w:val="1F1F23"/>
              </w:rPr>
              <w:t xml:space="preserve">$ </w:t>
            </w:r>
            <w:r>
              <w:rPr>
                <w:rFonts w:ascii="Arial" w:cs="Arial" w:eastAsia="Arial" w:hAnsi="Arial"/>
                <w:sz w:val="9"/>
                <w:szCs w:val="9"/>
                <w:b w:val="1"/>
                <w:bCs w:val="1"/>
                <w:color w:val="1F1F23"/>
              </w:rPr>
              <w:t>640,922</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1F1F23"/>
              </w:rPr>
              <w:t xml:space="preserve">$  </w:t>
            </w:r>
            <w:r>
              <w:rPr>
                <w:rFonts w:ascii="Arial" w:cs="Arial" w:eastAsia="Arial" w:hAnsi="Arial"/>
                <w:sz w:val="9"/>
                <w:szCs w:val="9"/>
                <w:b w:val="1"/>
                <w:bCs w:val="1"/>
                <w:color w:val="1F1F23"/>
              </w:rPr>
              <w:t>132,030</w:t>
            </w:r>
          </w:p>
        </w:tc>
        <w:tc>
          <w:tcPr>
            <w:tcW w:w="4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40"/>
        <w:spacing w:after="0"/>
        <w:rPr>
          <w:sz w:val="20"/>
          <w:szCs w:val="20"/>
          <w:color w:val="auto"/>
        </w:rPr>
      </w:pPr>
      <w:r>
        <w:rPr>
          <w:rFonts w:ascii="Arial" w:cs="Arial" w:eastAsia="Arial" w:hAnsi="Arial"/>
          <w:sz w:val="10"/>
          <w:szCs w:val="10"/>
          <w:color w:val="464446"/>
        </w:rPr>
        <w:t>E</w:t>
      </w:r>
      <w:r>
        <w:rPr>
          <w:rFonts w:ascii="Arial" w:cs="Arial" w:eastAsia="Arial" w:hAnsi="Arial"/>
          <w:sz w:val="10"/>
          <w:szCs w:val="10"/>
          <w:color w:val="5D5D60"/>
        </w:rPr>
        <w:t>a</w:t>
      </w:r>
      <w:r>
        <w:rPr>
          <w:rFonts w:ascii="Arial" w:cs="Arial" w:eastAsia="Arial" w:hAnsi="Arial"/>
          <w:sz w:val="10"/>
          <w:szCs w:val="10"/>
          <w:color w:val="464446"/>
        </w:rPr>
        <w:t>ch Le</w:t>
      </w:r>
      <w:r>
        <w:rPr>
          <w:rFonts w:ascii="Arial" w:cs="Arial" w:eastAsia="Arial" w:hAnsi="Arial"/>
          <w:sz w:val="10"/>
          <w:szCs w:val="10"/>
          <w:color w:val="5D5D60"/>
        </w:rPr>
        <w:t>a</w:t>
      </w:r>
      <w:r>
        <w:rPr>
          <w:rFonts w:ascii="Arial" w:cs="Arial" w:eastAsia="Arial" w:hAnsi="Arial"/>
          <w:sz w:val="10"/>
          <w:szCs w:val="10"/>
          <w:color w:val="464446"/>
        </w:rPr>
        <w:t>s</w:t>
      </w:r>
      <w:r>
        <w:rPr>
          <w:rFonts w:ascii="Arial" w:cs="Arial" w:eastAsia="Arial" w:hAnsi="Arial"/>
          <w:sz w:val="10"/>
          <w:szCs w:val="10"/>
          <w:color w:val="5D5D60"/>
        </w:rPr>
        <w:t>e</w:t>
      </w:r>
      <w:r>
        <w:rPr>
          <w:rFonts w:ascii="Arial" w:cs="Arial" w:eastAsia="Arial" w:hAnsi="Arial"/>
          <w:sz w:val="10"/>
          <w:szCs w:val="10"/>
          <w:color w:val="464446"/>
        </w:rPr>
        <w:t xml:space="preserve"> </w:t>
      </w:r>
      <w:r>
        <w:rPr>
          <w:rFonts w:ascii="Arial" w:cs="Arial" w:eastAsia="Arial" w:hAnsi="Arial"/>
          <w:sz w:val="10"/>
          <w:szCs w:val="10"/>
          <w:color w:val="313133"/>
        </w:rPr>
        <w:t>ye</w:t>
      </w:r>
      <w:r>
        <w:rPr>
          <w:rFonts w:ascii="Arial" w:cs="Arial" w:eastAsia="Arial" w:hAnsi="Arial"/>
          <w:sz w:val="10"/>
          <w:szCs w:val="10"/>
          <w:color w:val="5D5D60"/>
        </w:rPr>
        <w:t>a</w:t>
      </w:r>
      <w:r>
        <w:rPr>
          <w:rFonts w:ascii="Arial" w:cs="Arial" w:eastAsia="Arial" w:hAnsi="Arial"/>
          <w:sz w:val="10"/>
          <w:szCs w:val="10"/>
          <w:color w:val="464446"/>
        </w:rPr>
        <w:t xml:space="preserve">r </w:t>
      </w:r>
      <w:r>
        <w:rPr>
          <w:rFonts w:ascii="Arial" w:cs="Arial" w:eastAsia="Arial" w:hAnsi="Arial"/>
          <w:sz w:val="10"/>
          <w:szCs w:val="10"/>
          <w:color w:val="5D5D60"/>
        </w:rPr>
        <w:t>t</w:t>
      </w:r>
      <w:r>
        <w:rPr>
          <w:rFonts w:ascii="Arial" w:cs="Arial" w:eastAsia="Arial" w:hAnsi="Arial"/>
          <w:sz w:val="10"/>
          <w:szCs w:val="10"/>
          <w:color w:val="464446"/>
        </w:rPr>
        <w:t>h</w:t>
      </w:r>
      <w:r>
        <w:rPr>
          <w:rFonts w:ascii="Arial" w:cs="Arial" w:eastAsia="Arial" w:hAnsi="Arial"/>
          <w:sz w:val="10"/>
          <w:szCs w:val="10"/>
          <w:color w:val="1F1F23"/>
        </w:rPr>
        <w:t>i</w:t>
      </w:r>
      <w:r>
        <w:rPr>
          <w:rFonts w:ascii="Arial" w:cs="Arial" w:eastAsia="Arial" w:hAnsi="Arial"/>
          <w:sz w:val="10"/>
          <w:szCs w:val="10"/>
          <w:color w:val="5D5D60"/>
        </w:rPr>
        <w:t>s s</w:t>
      </w:r>
      <w:r>
        <w:rPr>
          <w:rFonts w:ascii="Arial" w:cs="Arial" w:eastAsia="Arial" w:hAnsi="Arial"/>
          <w:sz w:val="10"/>
          <w:szCs w:val="10"/>
          <w:color w:val="464446"/>
        </w:rPr>
        <w:t>ch</w:t>
      </w:r>
      <w:r>
        <w:rPr>
          <w:rFonts w:ascii="Arial" w:cs="Arial" w:eastAsia="Arial" w:hAnsi="Arial"/>
          <w:sz w:val="10"/>
          <w:szCs w:val="10"/>
          <w:color w:val="5D5D60"/>
        </w:rPr>
        <w:t>e</w:t>
      </w:r>
      <w:r>
        <w:rPr>
          <w:rFonts w:ascii="Arial" w:cs="Arial" w:eastAsia="Arial" w:hAnsi="Arial"/>
          <w:sz w:val="10"/>
          <w:szCs w:val="10"/>
          <w:color w:val="464446"/>
        </w:rPr>
        <w:t>d</w:t>
      </w:r>
      <w:r>
        <w:rPr>
          <w:rFonts w:ascii="Arial" w:cs="Arial" w:eastAsia="Arial" w:hAnsi="Arial"/>
          <w:sz w:val="10"/>
          <w:szCs w:val="10"/>
          <w:color w:val="1F1F23"/>
        </w:rPr>
        <w:t>u</w:t>
      </w:r>
      <w:r>
        <w:rPr>
          <w:rFonts w:ascii="Arial" w:cs="Arial" w:eastAsia="Arial" w:hAnsi="Arial"/>
          <w:sz w:val="10"/>
          <w:szCs w:val="10"/>
          <w:color w:val="010101"/>
        </w:rPr>
        <w:t>l</w:t>
      </w:r>
      <w:r>
        <w:rPr>
          <w:rFonts w:ascii="Arial" w:cs="Arial" w:eastAsia="Arial" w:hAnsi="Arial"/>
          <w:sz w:val="10"/>
          <w:szCs w:val="10"/>
          <w:color w:val="5D5D60"/>
        </w:rPr>
        <w:t>e</w:t>
      </w:r>
      <w:r>
        <w:rPr>
          <w:rFonts w:ascii="Arial" w:cs="Arial" w:eastAsia="Arial" w:hAnsi="Arial"/>
          <w:sz w:val="10"/>
          <w:szCs w:val="10"/>
          <w:color w:val="464446"/>
        </w:rPr>
        <w:t xml:space="preserve"> </w:t>
      </w:r>
      <w:r>
        <w:rPr>
          <w:rFonts w:ascii="Arial" w:cs="Arial" w:eastAsia="Arial" w:hAnsi="Arial"/>
          <w:sz w:val="10"/>
          <w:szCs w:val="10"/>
          <w:color w:val="313133"/>
        </w:rPr>
        <w:t>w</w:t>
      </w:r>
      <w:r>
        <w:rPr>
          <w:rFonts w:ascii="Arial" w:cs="Arial" w:eastAsia="Arial" w:hAnsi="Arial"/>
          <w:sz w:val="10"/>
          <w:szCs w:val="10"/>
          <w:color w:val="5D5D60"/>
        </w:rPr>
        <w:t>i</w:t>
      </w:r>
      <w:r>
        <w:rPr>
          <w:rFonts w:ascii="Arial" w:cs="Arial" w:eastAsia="Arial" w:hAnsi="Arial"/>
          <w:sz w:val="10"/>
          <w:szCs w:val="10"/>
          <w:color w:val="757775"/>
        </w:rPr>
        <w:t>l</w:t>
      </w:r>
      <w:r>
        <w:rPr>
          <w:rFonts w:ascii="Arial" w:cs="Arial" w:eastAsia="Arial" w:hAnsi="Arial"/>
          <w:sz w:val="10"/>
          <w:szCs w:val="10"/>
          <w:color w:val="010101"/>
        </w:rPr>
        <w:t>l</w:t>
      </w:r>
      <w:r>
        <w:rPr>
          <w:rFonts w:ascii="Arial" w:cs="Arial" w:eastAsia="Arial" w:hAnsi="Arial"/>
          <w:sz w:val="10"/>
          <w:szCs w:val="10"/>
          <w:color w:val="464446"/>
        </w:rPr>
        <w:t xml:space="preserve"> b</w:t>
      </w:r>
      <w:r>
        <w:rPr>
          <w:rFonts w:ascii="Arial" w:cs="Arial" w:eastAsia="Arial" w:hAnsi="Arial"/>
          <w:sz w:val="10"/>
          <w:szCs w:val="10"/>
          <w:color w:val="5D5D60"/>
        </w:rPr>
        <w:t>e</w:t>
      </w:r>
      <w:r>
        <w:rPr>
          <w:rFonts w:ascii="Arial" w:cs="Arial" w:eastAsia="Arial" w:hAnsi="Arial"/>
          <w:sz w:val="10"/>
          <w:szCs w:val="10"/>
          <w:color w:val="464446"/>
        </w:rPr>
        <w:t xml:space="preserve"> </w:t>
      </w:r>
      <w:r>
        <w:rPr>
          <w:rFonts w:ascii="Arial" w:cs="Arial" w:eastAsia="Arial" w:hAnsi="Arial"/>
          <w:sz w:val="10"/>
          <w:szCs w:val="10"/>
          <w:color w:val="1F1F23"/>
        </w:rPr>
        <w:t>r</w:t>
      </w:r>
      <w:r>
        <w:rPr>
          <w:rFonts w:ascii="Arial" w:cs="Arial" w:eastAsia="Arial" w:hAnsi="Arial"/>
          <w:sz w:val="10"/>
          <w:szCs w:val="10"/>
          <w:color w:val="464446"/>
        </w:rPr>
        <w:t>ev</w:t>
      </w:r>
      <w:r>
        <w:rPr>
          <w:rFonts w:ascii="Arial" w:cs="Arial" w:eastAsia="Arial" w:hAnsi="Arial"/>
          <w:sz w:val="10"/>
          <w:szCs w:val="10"/>
          <w:color w:val="1F1F23"/>
        </w:rPr>
        <w:t>i</w:t>
      </w:r>
      <w:r>
        <w:rPr>
          <w:rFonts w:ascii="Arial" w:cs="Arial" w:eastAsia="Arial" w:hAnsi="Arial"/>
          <w:sz w:val="10"/>
          <w:szCs w:val="10"/>
          <w:color w:val="464446"/>
        </w:rPr>
        <w:t>s</w:t>
      </w:r>
      <w:r>
        <w:rPr>
          <w:rFonts w:ascii="Arial" w:cs="Arial" w:eastAsia="Arial" w:hAnsi="Arial"/>
          <w:sz w:val="10"/>
          <w:szCs w:val="10"/>
          <w:color w:val="5D5D60"/>
        </w:rPr>
        <w:t>e</w:t>
      </w:r>
      <w:r>
        <w:rPr>
          <w:rFonts w:ascii="Arial" w:cs="Arial" w:eastAsia="Arial" w:hAnsi="Arial"/>
          <w:sz w:val="10"/>
          <w:szCs w:val="10"/>
          <w:color w:val="464446"/>
        </w:rPr>
        <w:t>d and ac</w:t>
      </w:r>
      <w:r>
        <w:rPr>
          <w:rFonts w:ascii="Arial" w:cs="Arial" w:eastAsia="Arial" w:hAnsi="Arial"/>
          <w:sz w:val="10"/>
          <w:szCs w:val="10"/>
          <w:color w:val="5D5D60"/>
        </w:rPr>
        <w:t>t</w:t>
      </w:r>
      <w:r>
        <w:rPr>
          <w:rFonts w:ascii="Arial" w:cs="Arial" w:eastAsia="Arial" w:hAnsi="Arial"/>
          <w:sz w:val="10"/>
          <w:szCs w:val="10"/>
          <w:color w:val="464446"/>
        </w:rPr>
        <w:t xml:space="preserve"> </w:t>
      </w:r>
      <w:r>
        <w:rPr>
          <w:rFonts w:ascii="Arial" w:cs="Arial" w:eastAsia="Arial" w:hAnsi="Arial"/>
          <w:sz w:val="10"/>
          <w:szCs w:val="10"/>
          <w:color w:val="313133"/>
        </w:rPr>
        <w:t>u</w:t>
      </w:r>
      <w:r>
        <w:rPr>
          <w:rFonts w:ascii="Arial" w:cs="Arial" w:eastAsia="Arial" w:hAnsi="Arial"/>
          <w:sz w:val="10"/>
          <w:szCs w:val="10"/>
          <w:color w:val="5D5D60"/>
        </w:rPr>
        <w:t>a</w:t>
      </w:r>
      <w:r>
        <w:rPr>
          <w:rFonts w:ascii="Arial" w:cs="Arial" w:eastAsia="Arial" w:hAnsi="Arial"/>
          <w:sz w:val="10"/>
          <w:szCs w:val="10"/>
          <w:color w:val="010101"/>
        </w:rPr>
        <w:t>l</w:t>
      </w:r>
      <w:r>
        <w:rPr>
          <w:rFonts w:ascii="Arial" w:cs="Arial" w:eastAsia="Arial" w:hAnsi="Arial"/>
          <w:sz w:val="10"/>
          <w:szCs w:val="10"/>
          <w:color w:val="464446"/>
        </w:rPr>
        <w:t xml:space="preserve"> exp</w:t>
      </w:r>
      <w:r>
        <w:rPr>
          <w:rFonts w:ascii="Arial" w:cs="Arial" w:eastAsia="Arial" w:hAnsi="Arial"/>
          <w:sz w:val="10"/>
          <w:szCs w:val="10"/>
          <w:color w:val="5D5D60"/>
        </w:rPr>
        <w:t>e</w:t>
      </w:r>
      <w:r>
        <w:rPr>
          <w:rFonts w:ascii="Arial" w:cs="Arial" w:eastAsia="Arial" w:hAnsi="Arial"/>
          <w:sz w:val="10"/>
          <w:szCs w:val="10"/>
          <w:color w:val="464446"/>
        </w:rPr>
        <w:t>n</w:t>
      </w:r>
      <w:r>
        <w:rPr>
          <w:rFonts w:ascii="Arial" w:cs="Arial" w:eastAsia="Arial" w:hAnsi="Arial"/>
          <w:sz w:val="10"/>
          <w:szCs w:val="10"/>
          <w:color w:val="5D5D60"/>
        </w:rPr>
        <w:t>se,</w:t>
      </w:r>
      <w:r>
        <w:rPr>
          <w:rFonts w:ascii="Arial" w:cs="Arial" w:eastAsia="Arial" w:hAnsi="Arial"/>
          <w:sz w:val="10"/>
          <w:szCs w:val="10"/>
          <w:color w:val="464446"/>
        </w:rPr>
        <w:t xml:space="preserve"> w</w:t>
      </w:r>
      <w:r>
        <w:rPr>
          <w:rFonts w:ascii="Arial" w:cs="Arial" w:eastAsia="Arial" w:hAnsi="Arial"/>
          <w:sz w:val="10"/>
          <w:szCs w:val="10"/>
          <w:color w:val="1F1F23"/>
        </w:rPr>
        <w:t>il</w:t>
      </w:r>
      <w:r>
        <w:rPr>
          <w:rFonts w:ascii="Arial" w:cs="Arial" w:eastAsia="Arial" w:hAnsi="Arial"/>
          <w:sz w:val="10"/>
          <w:szCs w:val="10"/>
          <w:color w:val="5D5D60"/>
        </w:rPr>
        <w:t>l</w:t>
      </w:r>
      <w:r>
        <w:rPr>
          <w:rFonts w:ascii="Arial" w:cs="Arial" w:eastAsia="Arial" w:hAnsi="Arial"/>
          <w:sz w:val="10"/>
          <w:szCs w:val="10"/>
          <w:color w:val="464446"/>
        </w:rPr>
        <w:t xml:space="preserve"> </w:t>
      </w:r>
      <w:r>
        <w:rPr>
          <w:rFonts w:ascii="Arial" w:cs="Arial" w:eastAsia="Arial" w:hAnsi="Arial"/>
          <w:sz w:val="10"/>
          <w:szCs w:val="10"/>
          <w:color w:val="313133"/>
        </w:rPr>
        <w:t>be</w:t>
      </w:r>
      <w:r>
        <w:rPr>
          <w:rFonts w:ascii="Arial" w:cs="Arial" w:eastAsia="Arial" w:hAnsi="Arial"/>
          <w:sz w:val="10"/>
          <w:szCs w:val="10"/>
          <w:color w:val="464446"/>
        </w:rPr>
        <w:t xml:space="preserve"> prov </w:t>
      </w:r>
      <w:r>
        <w:rPr>
          <w:rFonts w:ascii="Arial" w:cs="Arial" w:eastAsia="Arial" w:hAnsi="Arial"/>
          <w:sz w:val="10"/>
          <w:szCs w:val="10"/>
          <w:color w:val="5D5D60"/>
        </w:rPr>
        <w:t>i</w:t>
      </w:r>
      <w:r>
        <w:rPr>
          <w:rFonts w:ascii="Arial" w:cs="Arial" w:eastAsia="Arial" w:hAnsi="Arial"/>
          <w:sz w:val="10"/>
          <w:szCs w:val="10"/>
          <w:color w:val="464446"/>
        </w:rPr>
        <w:t xml:space="preserve">ded </w:t>
      </w:r>
      <w:r>
        <w:rPr>
          <w:rFonts w:ascii="Arial" w:cs="Arial" w:eastAsia="Arial" w:hAnsi="Arial"/>
          <w:sz w:val="10"/>
          <w:szCs w:val="10"/>
          <w:color w:val="313133"/>
        </w:rPr>
        <w:t>to</w:t>
      </w:r>
      <w:r>
        <w:rPr>
          <w:rFonts w:ascii="Arial" w:cs="Arial" w:eastAsia="Arial" w:hAnsi="Arial"/>
          <w:sz w:val="10"/>
          <w:szCs w:val="10"/>
          <w:color w:val="464446"/>
        </w:rPr>
        <w:t xml:space="preserve"> Ten</w:t>
      </w:r>
      <w:r>
        <w:rPr>
          <w:rFonts w:ascii="Arial" w:cs="Arial" w:eastAsia="Arial" w:hAnsi="Arial"/>
          <w:sz w:val="10"/>
          <w:szCs w:val="10"/>
          <w:color w:val="5D5D60"/>
        </w:rPr>
        <w:t>a</w:t>
      </w:r>
      <w:r>
        <w:rPr>
          <w:rFonts w:ascii="Arial" w:cs="Arial" w:eastAsia="Arial" w:hAnsi="Arial"/>
          <w:sz w:val="10"/>
          <w:szCs w:val="10"/>
          <w:color w:val="464446"/>
        </w:rPr>
        <w:t xml:space="preserve">n </w:t>
      </w:r>
      <w:r>
        <w:rPr>
          <w:rFonts w:ascii="Arial" w:cs="Arial" w:eastAsia="Arial" w:hAnsi="Arial"/>
          <w:sz w:val="10"/>
          <w:szCs w:val="10"/>
          <w:color w:val="5D5D60"/>
        </w:rPr>
        <w:t>t</w:t>
      </w:r>
      <w:r>
        <w:rPr>
          <w:rFonts w:ascii="Arial" w:cs="Arial" w:eastAsia="Arial" w:hAnsi="Arial"/>
          <w:sz w:val="10"/>
          <w:szCs w:val="10"/>
          <w:color w:val="464446"/>
        </w:rPr>
        <w:t xml:space="preserve"> fo</w:t>
      </w:r>
      <w:r>
        <w:rPr>
          <w:rFonts w:ascii="Arial" w:cs="Arial" w:eastAsia="Arial" w:hAnsi="Arial"/>
          <w:sz w:val="10"/>
          <w:szCs w:val="10"/>
          <w:color w:val="5D5D60"/>
        </w:rPr>
        <w:t>l</w:t>
      </w:r>
      <w:r>
        <w:rPr>
          <w:rFonts w:ascii="Arial" w:cs="Arial" w:eastAsia="Arial" w:hAnsi="Arial"/>
          <w:sz w:val="10"/>
          <w:szCs w:val="10"/>
          <w:color w:val="010101"/>
        </w:rPr>
        <w:t>l</w:t>
      </w:r>
      <w:r>
        <w:rPr>
          <w:rFonts w:ascii="Arial" w:cs="Arial" w:eastAsia="Arial" w:hAnsi="Arial"/>
          <w:sz w:val="10"/>
          <w:szCs w:val="10"/>
          <w:color w:val="464446"/>
        </w:rPr>
        <w:t>ow</w:t>
      </w:r>
      <w:r>
        <w:rPr>
          <w:rFonts w:ascii="Arial" w:cs="Arial" w:eastAsia="Arial" w:hAnsi="Arial"/>
          <w:sz w:val="10"/>
          <w:szCs w:val="10"/>
          <w:color w:val="5D5D60"/>
        </w:rPr>
        <w:t>i</w:t>
      </w:r>
      <w:r>
        <w:rPr>
          <w:rFonts w:ascii="Arial" w:cs="Arial" w:eastAsia="Arial" w:hAnsi="Arial"/>
          <w:sz w:val="10"/>
          <w:szCs w:val="10"/>
          <w:color w:val="313133"/>
        </w:rPr>
        <w:t>ng</w:t>
      </w:r>
      <w:r>
        <w:rPr>
          <w:rFonts w:ascii="Arial" w:cs="Arial" w:eastAsia="Arial" w:hAnsi="Arial"/>
          <w:sz w:val="10"/>
          <w:szCs w:val="10"/>
          <w:color w:val="464446"/>
        </w:rPr>
        <w:t xml:space="preserve"> the clo</w:t>
      </w:r>
      <w:r>
        <w:rPr>
          <w:rFonts w:ascii="Arial" w:cs="Arial" w:eastAsia="Arial" w:hAnsi="Arial"/>
          <w:sz w:val="10"/>
          <w:szCs w:val="10"/>
          <w:color w:val="5D5D60"/>
        </w:rPr>
        <w:t>se</w:t>
      </w:r>
      <w:r>
        <w:rPr>
          <w:rFonts w:ascii="Arial" w:cs="Arial" w:eastAsia="Arial" w:hAnsi="Arial"/>
          <w:sz w:val="10"/>
          <w:szCs w:val="10"/>
          <w:color w:val="464446"/>
        </w:rPr>
        <w:t xml:space="preserve"> o</w:t>
      </w:r>
      <w:r>
        <w:rPr>
          <w:rFonts w:ascii="Arial" w:cs="Arial" w:eastAsia="Arial" w:hAnsi="Arial"/>
          <w:sz w:val="10"/>
          <w:szCs w:val="10"/>
          <w:color w:val="1F1F23"/>
        </w:rPr>
        <w:t>f</w:t>
      </w:r>
      <w:r>
        <w:rPr>
          <w:rFonts w:ascii="Arial" w:cs="Arial" w:eastAsia="Arial" w:hAnsi="Arial"/>
          <w:sz w:val="10"/>
          <w:szCs w:val="10"/>
          <w:color w:val="464446"/>
        </w:rPr>
        <w:t xml:space="preserve"> </w:t>
      </w:r>
      <w:r>
        <w:rPr>
          <w:rFonts w:ascii="Arial" w:cs="Arial" w:eastAsia="Arial" w:hAnsi="Arial"/>
          <w:sz w:val="10"/>
          <w:szCs w:val="10"/>
          <w:color w:val="5D5D60"/>
        </w:rPr>
        <w:t>t</w:t>
      </w:r>
      <w:r>
        <w:rPr>
          <w:rFonts w:ascii="Arial" w:cs="Arial" w:eastAsia="Arial" w:hAnsi="Arial"/>
          <w:sz w:val="10"/>
          <w:szCs w:val="10"/>
          <w:color w:val="464446"/>
        </w:rPr>
        <w:t>he c</w:t>
      </w:r>
      <w:r>
        <w:rPr>
          <w:rFonts w:ascii="Arial" w:cs="Arial" w:eastAsia="Arial" w:hAnsi="Arial"/>
          <w:sz w:val="10"/>
          <w:szCs w:val="10"/>
          <w:color w:val="5D5D60"/>
        </w:rPr>
        <w:t>a</w:t>
      </w:r>
      <w:r>
        <w:rPr>
          <w:rFonts w:ascii="Arial" w:cs="Arial" w:eastAsia="Arial" w:hAnsi="Arial"/>
          <w:sz w:val="10"/>
          <w:szCs w:val="10"/>
          <w:color w:val="1F1F23"/>
        </w:rPr>
        <w:t>l</w:t>
      </w:r>
      <w:r>
        <w:rPr>
          <w:rFonts w:ascii="Arial" w:cs="Arial" w:eastAsia="Arial" w:hAnsi="Arial"/>
          <w:sz w:val="10"/>
          <w:szCs w:val="10"/>
          <w:color w:val="464446"/>
        </w:rPr>
        <w:t xml:space="preserve">endar </w:t>
      </w:r>
      <w:r>
        <w:rPr>
          <w:rFonts w:ascii="Arial" w:cs="Arial" w:eastAsia="Arial" w:hAnsi="Arial"/>
          <w:sz w:val="10"/>
          <w:szCs w:val="10"/>
          <w:color w:val="313133"/>
        </w:rPr>
        <w:t>ye</w:t>
      </w:r>
      <w:r>
        <w:rPr>
          <w:rFonts w:ascii="Arial" w:cs="Arial" w:eastAsia="Arial" w:hAnsi="Arial"/>
          <w:sz w:val="10"/>
          <w:szCs w:val="10"/>
          <w:color w:val="5D5D60"/>
        </w:rPr>
        <w:t>a</w:t>
      </w:r>
      <w:r>
        <w:rPr>
          <w:rFonts w:ascii="Arial" w:cs="Arial" w:eastAsia="Arial" w:hAnsi="Arial"/>
          <w:sz w:val="10"/>
          <w:szCs w:val="10"/>
          <w:color w:val="464446"/>
        </w:rPr>
        <w:t>r</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464446"/>
        </w:rPr>
        <w:t>* Ass</w:t>
      </w:r>
      <w:r>
        <w:rPr>
          <w:rFonts w:ascii="Arial" w:cs="Arial" w:eastAsia="Arial" w:hAnsi="Arial"/>
          <w:sz w:val="10"/>
          <w:szCs w:val="10"/>
          <w:b w:val="1"/>
          <w:bCs w:val="1"/>
          <w:color w:val="1F1F23"/>
        </w:rPr>
        <w:t>u</w:t>
      </w:r>
      <w:r>
        <w:rPr>
          <w:rFonts w:ascii="Arial" w:cs="Arial" w:eastAsia="Arial" w:hAnsi="Arial"/>
          <w:sz w:val="10"/>
          <w:szCs w:val="10"/>
          <w:b w:val="1"/>
          <w:bCs w:val="1"/>
          <w:color w:val="5D5D60"/>
        </w:rPr>
        <w:t>mes</w:t>
      </w:r>
      <w:r>
        <w:rPr>
          <w:rFonts w:ascii="Arial" w:cs="Arial" w:eastAsia="Arial" w:hAnsi="Arial"/>
          <w:sz w:val="10"/>
          <w:szCs w:val="10"/>
          <w:b w:val="1"/>
          <w:bCs w:val="1"/>
          <w:color w:val="464446"/>
        </w:rPr>
        <w:t xml:space="preserve"> 3</w:t>
      </w:r>
      <w:r>
        <w:rPr>
          <w:rFonts w:ascii="Arial" w:cs="Arial" w:eastAsia="Arial" w:hAnsi="Arial"/>
          <w:sz w:val="10"/>
          <w:szCs w:val="10"/>
          <w:b w:val="1"/>
          <w:bCs w:val="1"/>
          <w:color w:val="5D5D60"/>
        </w:rPr>
        <w:t>%</w:t>
      </w:r>
      <w:r>
        <w:rPr>
          <w:rFonts w:ascii="Arial" w:cs="Arial" w:eastAsia="Arial" w:hAnsi="Arial"/>
          <w:sz w:val="10"/>
          <w:szCs w:val="10"/>
          <w:b w:val="1"/>
          <w:bCs w:val="1"/>
          <w:color w:val="464446"/>
        </w:rPr>
        <w:t xml:space="preserve"> </w:t>
      </w:r>
      <w:r>
        <w:rPr>
          <w:rFonts w:ascii="Arial" w:cs="Arial" w:eastAsia="Arial" w:hAnsi="Arial"/>
          <w:sz w:val="10"/>
          <w:szCs w:val="10"/>
          <w:b w:val="1"/>
          <w:bCs w:val="1"/>
          <w:color w:val="757775"/>
        </w:rPr>
        <w:t>i</w:t>
      </w:r>
      <w:r>
        <w:rPr>
          <w:rFonts w:ascii="Arial" w:cs="Arial" w:eastAsia="Arial" w:hAnsi="Arial"/>
          <w:sz w:val="10"/>
          <w:szCs w:val="10"/>
          <w:b w:val="1"/>
          <w:bCs w:val="1"/>
          <w:color w:val="1F1F23"/>
        </w:rPr>
        <w:t>n</w:t>
      </w:r>
      <w:r>
        <w:rPr>
          <w:rFonts w:ascii="Arial" w:cs="Arial" w:eastAsia="Arial" w:hAnsi="Arial"/>
          <w:sz w:val="10"/>
          <w:szCs w:val="10"/>
          <w:b w:val="1"/>
          <w:bCs w:val="1"/>
          <w:color w:val="5D5D60"/>
        </w:rPr>
        <w:t>fl</w:t>
      </w:r>
      <w:r>
        <w:rPr>
          <w:rFonts w:ascii="Arial" w:cs="Arial" w:eastAsia="Arial" w:hAnsi="Arial"/>
          <w:sz w:val="10"/>
          <w:szCs w:val="10"/>
          <w:b w:val="1"/>
          <w:bCs w:val="1"/>
          <w:color w:val="464446"/>
        </w:rPr>
        <w:t xml:space="preserve">at </w:t>
      </w:r>
      <w:r>
        <w:rPr>
          <w:rFonts w:ascii="Arial" w:cs="Arial" w:eastAsia="Arial" w:hAnsi="Arial"/>
          <w:sz w:val="10"/>
          <w:szCs w:val="10"/>
          <w:b w:val="1"/>
          <w:bCs w:val="1"/>
          <w:color w:val="1F1F23"/>
        </w:rPr>
        <w:t>i</w:t>
      </w:r>
      <w:r>
        <w:rPr>
          <w:rFonts w:ascii="Arial" w:cs="Arial" w:eastAsia="Arial" w:hAnsi="Arial"/>
          <w:sz w:val="10"/>
          <w:szCs w:val="10"/>
          <w:b w:val="1"/>
          <w:bCs w:val="1"/>
          <w:color w:val="464446"/>
        </w:rPr>
        <w:t>o</w:t>
      </w:r>
      <w:r>
        <w:rPr>
          <w:rFonts w:ascii="Arial" w:cs="Arial" w:eastAsia="Arial" w:hAnsi="Arial"/>
          <w:sz w:val="10"/>
          <w:szCs w:val="10"/>
          <w:b w:val="1"/>
          <w:bCs w:val="1"/>
          <w:color w:val="1F1F23"/>
        </w:rPr>
        <w:t>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0"/>
          <w:szCs w:val="10"/>
          <w:color w:val="464446"/>
        </w:rPr>
        <w:t xml:space="preserve">**I </w:t>
      </w:r>
      <w:r>
        <w:rPr>
          <w:rFonts w:ascii="Arial" w:cs="Arial" w:eastAsia="Arial" w:hAnsi="Arial"/>
          <w:sz w:val="10"/>
          <w:szCs w:val="10"/>
          <w:color w:val="1F1F23"/>
        </w:rPr>
        <w:t>n</w:t>
      </w:r>
      <w:r>
        <w:rPr>
          <w:rFonts w:ascii="Arial" w:cs="Arial" w:eastAsia="Arial" w:hAnsi="Arial"/>
          <w:sz w:val="10"/>
          <w:szCs w:val="10"/>
          <w:color w:val="464446"/>
        </w:rPr>
        <w:t>cre</w:t>
      </w:r>
      <w:r>
        <w:rPr>
          <w:rFonts w:ascii="Arial" w:cs="Arial" w:eastAsia="Arial" w:hAnsi="Arial"/>
          <w:sz w:val="10"/>
          <w:szCs w:val="10"/>
          <w:color w:val="5D5D60"/>
        </w:rPr>
        <w:t>a</w:t>
      </w:r>
      <w:r>
        <w:rPr>
          <w:rFonts w:ascii="Arial" w:cs="Arial" w:eastAsia="Arial" w:hAnsi="Arial"/>
          <w:sz w:val="10"/>
          <w:szCs w:val="10"/>
          <w:color w:val="464446"/>
        </w:rPr>
        <w:t>se</w:t>
      </w:r>
      <w:r>
        <w:rPr>
          <w:rFonts w:ascii="Arial" w:cs="Arial" w:eastAsia="Arial" w:hAnsi="Arial"/>
          <w:sz w:val="10"/>
          <w:szCs w:val="10"/>
          <w:color w:val="5D5D60"/>
        </w:rPr>
        <w:t>s</w:t>
      </w:r>
      <w:r>
        <w:rPr>
          <w:rFonts w:ascii="Arial" w:cs="Arial" w:eastAsia="Arial" w:hAnsi="Arial"/>
          <w:sz w:val="10"/>
          <w:szCs w:val="10"/>
          <w:color w:val="464446"/>
        </w:rPr>
        <w:t xml:space="preserve"> </w:t>
      </w:r>
      <w:r>
        <w:rPr>
          <w:rFonts w:ascii="Arial" w:cs="Arial" w:eastAsia="Arial" w:hAnsi="Arial"/>
          <w:sz w:val="10"/>
          <w:szCs w:val="10"/>
          <w:color w:val="5D5D60"/>
        </w:rPr>
        <w:t>10%</w:t>
      </w:r>
      <w:r>
        <w:rPr>
          <w:rFonts w:ascii="Arial" w:cs="Arial" w:eastAsia="Arial" w:hAnsi="Arial"/>
          <w:sz w:val="10"/>
          <w:szCs w:val="10"/>
          <w:color w:val="464446"/>
        </w:rPr>
        <w:t xml:space="preserve"> or g</w:t>
      </w:r>
      <w:r>
        <w:rPr>
          <w:rFonts w:ascii="Arial" w:cs="Arial" w:eastAsia="Arial" w:hAnsi="Arial"/>
          <w:sz w:val="10"/>
          <w:szCs w:val="10"/>
          <w:color w:val="5D5D60"/>
        </w:rPr>
        <w:t>re</w:t>
      </w:r>
      <w:r>
        <w:rPr>
          <w:rFonts w:ascii="Arial" w:cs="Arial" w:eastAsia="Arial" w:hAnsi="Arial"/>
          <w:sz w:val="10"/>
          <w:szCs w:val="10"/>
          <w:color w:val="464446"/>
        </w:rPr>
        <w:t xml:space="preserve">ate </w:t>
      </w:r>
      <w:r>
        <w:rPr>
          <w:rFonts w:ascii="Arial" w:cs="Arial" w:eastAsia="Arial" w:hAnsi="Arial"/>
          <w:sz w:val="10"/>
          <w:szCs w:val="10"/>
          <w:color w:val="1F1F23"/>
        </w:rPr>
        <w:t>r</w:t>
      </w:r>
      <w:r>
        <w:rPr>
          <w:rFonts w:ascii="Arial" w:cs="Arial" w:eastAsia="Arial" w:hAnsi="Arial"/>
          <w:sz w:val="10"/>
          <w:szCs w:val="10"/>
          <w:color w:val="464446"/>
        </w:rPr>
        <w:t xml:space="preserve"> w </w:t>
      </w:r>
      <w:r>
        <w:rPr>
          <w:rFonts w:ascii="Arial" w:cs="Arial" w:eastAsia="Arial" w:hAnsi="Arial"/>
          <w:sz w:val="10"/>
          <w:szCs w:val="10"/>
          <w:color w:val="1F1F23"/>
        </w:rPr>
        <w:t>il</w:t>
      </w:r>
      <w:r>
        <w:rPr>
          <w:rFonts w:ascii="Arial" w:cs="Arial" w:eastAsia="Arial" w:hAnsi="Arial"/>
          <w:sz w:val="10"/>
          <w:szCs w:val="10"/>
          <w:color w:val="757775"/>
        </w:rPr>
        <w:t>l</w:t>
      </w:r>
      <w:r>
        <w:rPr>
          <w:rFonts w:ascii="Arial" w:cs="Arial" w:eastAsia="Arial" w:hAnsi="Arial"/>
          <w:sz w:val="10"/>
          <w:szCs w:val="10"/>
          <w:color w:val="464446"/>
        </w:rPr>
        <w:t xml:space="preserve"> be sp</w:t>
      </w:r>
      <w:r>
        <w:rPr>
          <w:rFonts w:ascii="Arial" w:cs="Arial" w:eastAsia="Arial" w:hAnsi="Arial"/>
          <w:sz w:val="10"/>
          <w:szCs w:val="10"/>
          <w:color w:val="010101"/>
        </w:rPr>
        <w:t>l</w:t>
      </w:r>
      <w:r>
        <w:rPr>
          <w:rFonts w:ascii="Arial" w:cs="Arial" w:eastAsia="Arial" w:hAnsi="Arial"/>
          <w:sz w:val="10"/>
          <w:szCs w:val="10"/>
          <w:color w:val="5D5D60"/>
        </w:rPr>
        <w:t>i</w:t>
      </w:r>
      <w:r>
        <w:rPr>
          <w:rFonts w:ascii="Arial" w:cs="Arial" w:eastAsia="Arial" w:hAnsi="Arial"/>
          <w:sz w:val="10"/>
          <w:szCs w:val="10"/>
          <w:color w:val="313133"/>
        </w:rPr>
        <w:t>t</w:t>
      </w:r>
      <w:r>
        <w:rPr>
          <w:rFonts w:ascii="Arial" w:cs="Arial" w:eastAsia="Arial" w:hAnsi="Arial"/>
          <w:sz w:val="10"/>
          <w:szCs w:val="10"/>
          <w:color w:val="464446"/>
        </w:rPr>
        <w:t xml:space="preserve"> </w:t>
      </w:r>
      <w:r>
        <w:rPr>
          <w:rFonts w:ascii="Arial" w:cs="Arial" w:eastAsia="Arial" w:hAnsi="Arial"/>
          <w:sz w:val="11"/>
          <w:szCs w:val="11"/>
          <w:color w:val="464446"/>
        </w:rPr>
        <w:t>5</w:t>
      </w:r>
      <w:r>
        <w:rPr>
          <w:rFonts w:ascii="Arial" w:cs="Arial" w:eastAsia="Arial" w:hAnsi="Arial"/>
          <w:sz w:val="11"/>
          <w:szCs w:val="11"/>
          <w:color w:val="5D5D60"/>
        </w:rPr>
        <w:t>0%</w:t>
      </w:r>
      <w:r>
        <w:rPr>
          <w:rFonts w:ascii="Arial" w:cs="Arial" w:eastAsia="Arial" w:hAnsi="Arial"/>
          <w:sz w:val="11"/>
          <w:szCs w:val="11"/>
          <w:color w:val="464446"/>
        </w:rPr>
        <w:t>/50</w:t>
      </w:r>
      <w:r>
        <w:rPr>
          <w:rFonts w:ascii="Arial" w:cs="Arial" w:eastAsia="Arial" w:hAnsi="Arial"/>
          <w:sz w:val="10"/>
          <w:szCs w:val="10"/>
          <w:color w:val="464446"/>
        </w:rPr>
        <w:t xml:space="preserve"> </w:t>
      </w:r>
      <w:r>
        <w:rPr>
          <w:rFonts w:ascii="Arial" w:cs="Arial" w:eastAsia="Arial" w:hAnsi="Arial"/>
          <w:sz w:val="11"/>
          <w:szCs w:val="11"/>
          <w:color w:val="5D5D60"/>
        </w:rPr>
        <w:t>%</w:t>
      </w:r>
      <w:r>
        <w:rPr>
          <w:rFonts w:ascii="Arial" w:cs="Arial" w:eastAsia="Arial" w:hAnsi="Arial"/>
          <w:sz w:val="10"/>
          <w:szCs w:val="10"/>
          <w:color w:val="464446"/>
        </w:rPr>
        <w:t xml:space="preserve"> </w:t>
      </w:r>
      <w:r>
        <w:rPr>
          <w:rFonts w:ascii="Arial" w:cs="Arial" w:eastAsia="Arial" w:hAnsi="Arial"/>
          <w:sz w:val="10"/>
          <w:szCs w:val="10"/>
          <w:color w:val="313133"/>
        </w:rPr>
        <w:t>be</w:t>
      </w:r>
      <w:r>
        <w:rPr>
          <w:rFonts w:ascii="Arial" w:cs="Arial" w:eastAsia="Arial" w:hAnsi="Arial"/>
          <w:sz w:val="10"/>
          <w:szCs w:val="10"/>
          <w:color w:val="5D5D60"/>
        </w:rPr>
        <w:t>t</w:t>
      </w:r>
      <w:r>
        <w:rPr>
          <w:rFonts w:ascii="Arial" w:cs="Arial" w:eastAsia="Arial" w:hAnsi="Arial"/>
          <w:sz w:val="10"/>
          <w:szCs w:val="10"/>
          <w:color w:val="464446"/>
        </w:rPr>
        <w:t xml:space="preserve"> ween Baye</w:t>
      </w:r>
      <w:r>
        <w:rPr>
          <w:rFonts w:ascii="Arial" w:cs="Arial" w:eastAsia="Arial" w:hAnsi="Arial"/>
          <w:sz w:val="10"/>
          <w:szCs w:val="10"/>
          <w:color w:val="1F1F23"/>
        </w:rPr>
        <w:t>r</w:t>
      </w:r>
      <w:r>
        <w:rPr>
          <w:rFonts w:ascii="Arial" w:cs="Arial" w:eastAsia="Arial" w:hAnsi="Arial"/>
          <w:sz w:val="10"/>
          <w:szCs w:val="10"/>
          <w:color w:val="464446"/>
        </w:rPr>
        <w:t xml:space="preserve"> and M</w:t>
      </w:r>
      <w:r>
        <w:rPr>
          <w:rFonts w:ascii="Arial" w:cs="Arial" w:eastAsia="Arial" w:hAnsi="Arial"/>
          <w:sz w:val="10"/>
          <w:szCs w:val="10"/>
          <w:color w:val="5D5D60"/>
        </w:rPr>
        <w:t>i,s</w:t>
      </w:r>
      <w:r>
        <w:rPr>
          <w:rFonts w:ascii="Arial" w:cs="Arial" w:eastAsia="Arial" w:hAnsi="Arial"/>
          <w:sz w:val="10"/>
          <w:szCs w:val="10"/>
          <w:color w:val="464446"/>
        </w:rPr>
        <w:t xml:space="preserve"> </w:t>
      </w:r>
      <w:r>
        <w:rPr>
          <w:rFonts w:ascii="Arial" w:cs="Arial" w:eastAsia="Arial" w:hAnsi="Arial"/>
          <w:sz w:val="10"/>
          <w:szCs w:val="10"/>
          <w:color w:val="757775"/>
        </w:rPr>
        <w:t>i</w:t>
      </w:r>
      <w:r>
        <w:rPr>
          <w:rFonts w:ascii="Arial" w:cs="Arial" w:eastAsia="Arial" w:hAnsi="Arial"/>
          <w:sz w:val="10"/>
          <w:szCs w:val="10"/>
          <w:color w:val="464446"/>
        </w:rPr>
        <w:t xml:space="preserve"> on (</w:t>
      </w:r>
      <w:r>
        <w:rPr>
          <w:rFonts w:ascii="Arial" w:cs="Arial" w:eastAsia="Arial" w:hAnsi="Arial"/>
          <w:sz w:val="10"/>
          <w:szCs w:val="10"/>
          <w:color w:val="5D5D60"/>
        </w:rPr>
        <w:t>see</w:t>
      </w:r>
      <w:r>
        <w:rPr>
          <w:rFonts w:ascii="Arial" w:cs="Arial" w:eastAsia="Arial" w:hAnsi="Arial"/>
          <w:sz w:val="10"/>
          <w:szCs w:val="10"/>
          <w:color w:val="464446"/>
        </w:rPr>
        <w:t xml:space="preserve"> e</w:t>
      </w:r>
      <w:r>
        <w:rPr>
          <w:rFonts w:ascii="Arial" w:cs="Arial" w:eastAsia="Arial" w:hAnsi="Arial"/>
          <w:sz w:val="10"/>
          <w:szCs w:val="10"/>
          <w:color w:val="5D5D60"/>
        </w:rPr>
        <w:t>.-am</w:t>
      </w:r>
      <w:r>
        <w:rPr>
          <w:rFonts w:ascii="Arial" w:cs="Arial" w:eastAsia="Arial" w:hAnsi="Arial"/>
          <w:sz w:val="10"/>
          <w:szCs w:val="10"/>
          <w:color w:val="464446"/>
        </w:rPr>
        <w:t xml:space="preserve"> </w:t>
      </w:r>
      <w:r>
        <w:rPr>
          <w:rFonts w:ascii="Arial" w:cs="Arial" w:eastAsia="Arial" w:hAnsi="Arial"/>
          <w:sz w:val="10"/>
          <w:szCs w:val="10"/>
          <w:color w:val="313133"/>
        </w:rPr>
        <w:t>pl</w:t>
      </w:r>
      <w:r>
        <w:rPr>
          <w:rFonts w:ascii="Arial" w:cs="Arial" w:eastAsia="Arial" w:hAnsi="Arial"/>
          <w:sz w:val="10"/>
          <w:szCs w:val="10"/>
          <w:color w:val="464446"/>
        </w:rPr>
        <w:t xml:space="preserve"> </w:t>
      </w:r>
      <w:r>
        <w:rPr>
          <w:rFonts w:ascii="Arial" w:cs="Arial" w:eastAsia="Arial" w:hAnsi="Arial"/>
          <w:sz w:val="10"/>
          <w:szCs w:val="10"/>
          <w:color w:val="5D5D60"/>
        </w:rPr>
        <w:t>e</w:t>
      </w:r>
      <w:r>
        <w:rPr>
          <w:rFonts w:ascii="Arial" w:cs="Arial" w:eastAsia="Arial" w:hAnsi="Arial"/>
          <w:sz w:val="10"/>
          <w:szCs w:val="10"/>
          <w:color w:val="464446"/>
        </w:rPr>
        <w:t xml:space="preserve"> be</w:t>
      </w:r>
      <w:r>
        <w:rPr>
          <w:rFonts w:ascii="Arial" w:cs="Arial" w:eastAsia="Arial" w:hAnsi="Arial"/>
          <w:sz w:val="10"/>
          <w:szCs w:val="10"/>
          <w:color w:val="1F1F23"/>
        </w:rPr>
        <w:t>l</w:t>
      </w:r>
      <w:r>
        <w:rPr>
          <w:rFonts w:ascii="Arial" w:cs="Arial" w:eastAsia="Arial" w:hAnsi="Arial"/>
          <w:sz w:val="10"/>
          <w:szCs w:val="10"/>
          <w:color w:val="464446"/>
        </w:rPr>
        <w:t>ow)</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1260" w:type="dxa"/>
            <w:vAlign w:val="bottom"/>
            <w:tcBorders>
              <w:lef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1F1F23"/>
              </w:rPr>
              <w:t>2D20 Assumed</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lef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1F1F23"/>
              </w:rPr>
              <w:t>Building</w:t>
            </w:r>
          </w:p>
        </w:tc>
        <w:tc>
          <w:tcPr>
            <w:tcW w:w="580" w:type="dxa"/>
            <w:vAlign w:val="bottom"/>
          </w:tcPr>
          <w:p>
            <w:pPr>
              <w:ind w:left="100"/>
              <w:spacing w:after="0"/>
              <w:rPr>
                <w:sz w:val="20"/>
                <w:szCs w:val="20"/>
                <w:color w:val="auto"/>
              </w:rPr>
            </w:pPr>
            <w:r>
              <w:rPr>
                <w:rFonts w:ascii="Arial" w:cs="Arial" w:eastAsia="Arial" w:hAnsi="Arial"/>
                <w:sz w:val="10"/>
                <w:szCs w:val="10"/>
                <w:b w:val="1"/>
                <w:bCs w:val="1"/>
                <w:color w:val="1F1F23"/>
                <w:w w:val="99"/>
              </w:rPr>
              <w:t>2020Total</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1F1F23"/>
              </w:rPr>
              <w:t>Landlord</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Borders>
              <w:left w:val="single" w:sz="8" w:color="auto"/>
            </w:tcBorders>
          </w:tcPr>
          <w:p>
            <w:pPr>
              <w:ind w:left="720"/>
              <w:spacing w:after="0"/>
              <w:rPr>
                <w:sz w:val="20"/>
                <w:szCs w:val="20"/>
                <w:color w:val="auto"/>
              </w:rPr>
            </w:pPr>
            <w:r>
              <w:rPr>
                <w:rFonts w:ascii="Arial" w:cs="Arial" w:eastAsia="Arial" w:hAnsi="Arial"/>
                <w:sz w:val="10"/>
                <w:szCs w:val="10"/>
                <w:b w:val="1"/>
                <w:bCs w:val="1"/>
                <w:color w:val="1F1F23"/>
              </w:rPr>
              <w:t>EXAMPLE</w:t>
            </w:r>
          </w:p>
        </w:tc>
        <w:tc>
          <w:tcPr>
            <w:tcW w:w="960" w:type="dxa"/>
            <w:vAlign w:val="bottom"/>
          </w:tcPr>
          <w:p>
            <w:pPr>
              <w:jc w:val="right"/>
              <w:ind w:right="310"/>
              <w:spacing w:after="0"/>
              <w:rPr>
                <w:sz w:val="20"/>
                <w:szCs w:val="20"/>
                <w:color w:val="auto"/>
              </w:rPr>
            </w:pPr>
            <w:r>
              <w:rPr>
                <w:rFonts w:ascii="Arial" w:cs="Arial" w:eastAsia="Arial" w:hAnsi="Arial"/>
                <w:sz w:val="10"/>
                <w:szCs w:val="10"/>
                <w:b w:val="1"/>
                <w:bCs w:val="1"/>
                <w:color w:val="1F1F23"/>
              </w:rPr>
              <w:t>Cumulative</w:t>
            </w:r>
          </w:p>
        </w:tc>
        <w:tc>
          <w:tcPr>
            <w:tcW w:w="580" w:type="dxa"/>
            <w:vAlign w:val="bottom"/>
          </w:tcPr>
          <w:p>
            <w:pPr>
              <w:ind w:left="20"/>
              <w:spacing w:after="0"/>
              <w:rPr>
                <w:sz w:val="20"/>
                <w:szCs w:val="20"/>
                <w:color w:val="auto"/>
              </w:rPr>
            </w:pPr>
            <w:r>
              <w:rPr>
                <w:rFonts w:ascii="Arial" w:cs="Arial" w:eastAsia="Arial" w:hAnsi="Arial"/>
                <w:sz w:val="10"/>
                <w:szCs w:val="10"/>
                <w:b w:val="1"/>
                <w:bCs w:val="1"/>
                <w:color w:val="1F1F23"/>
              </w:rPr>
              <w:t>Actual</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ind w:right="43"/>
              <w:spacing w:after="0"/>
              <w:rPr>
                <w:sz w:val="20"/>
                <w:szCs w:val="20"/>
                <w:color w:val="auto"/>
              </w:rPr>
            </w:pPr>
            <w:r>
              <w:rPr>
                <w:rFonts w:ascii="Arial" w:cs="Arial" w:eastAsia="Arial" w:hAnsi="Arial"/>
                <w:sz w:val="10"/>
                <w:szCs w:val="10"/>
                <w:color w:val="313133"/>
              </w:rPr>
              <w:t>%</w:t>
            </w:r>
          </w:p>
        </w:tc>
        <w:tc>
          <w:tcPr>
            <w:tcW w:w="540" w:type="dxa"/>
            <w:vAlign w:val="bottom"/>
          </w:tcPr>
          <w:p>
            <w:pPr>
              <w:spacing w:after="0"/>
              <w:rPr>
                <w:sz w:val="20"/>
                <w:szCs w:val="20"/>
                <w:color w:val="auto"/>
              </w:rPr>
            </w:pPr>
            <w:r>
              <w:rPr>
                <w:rFonts w:ascii="Arial" w:cs="Arial" w:eastAsia="Arial" w:hAnsi="Arial"/>
                <w:sz w:val="10"/>
                <w:szCs w:val="10"/>
                <w:b w:val="1"/>
                <w:bCs w:val="1"/>
                <w:color w:val="1F1F23"/>
              </w:rPr>
              <w:t>In</w:t>
            </w:r>
            <w:r>
              <w:rPr>
                <w:rFonts w:ascii="Arial" w:cs="Arial" w:eastAsia="Arial" w:hAnsi="Arial"/>
                <w:sz w:val="10"/>
                <w:szCs w:val="10"/>
                <w:b w:val="1"/>
                <w:bCs w:val="1"/>
                <w:color w:val="010101"/>
              </w:rPr>
              <w:t>c</w:t>
            </w:r>
            <w:r>
              <w:rPr>
                <w:rFonts w:ascii="Arial" w:cs="Arial" w:eastAsia="Arial" w:hAnsi="Arial"/>
                <w:sz w:val="10"/>
                <w:szCs w:val="10"/>
                <w:b w:val="1"/>
                <w:bCs w:val="1"/>
                <w:color w:val="1F1F23"/>
              </w:rPr>
              <w:t>r ease</w:t>
            </w: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1F1F23"/>
              </w:rPr>
              <w:t>Portion of</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1F1F23"/>
                <w:w w:val="99"/>
              </w:rPr>
              <w:t>Tenant Portion</w:t>
            </w:r>
          </w:p>
        </w:tc>
        <w:tc>
          <w:tcPr>
            <w:tcW w:w="4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0"/>
                <w:szCs w:val="10"/>
                <w:b w:val="1"/>
                <w:bCs w:val="1"/>
                <w:color w:val="1F1F23"/>
              </w:rPr>
              <w:t>Increase</w:t>
            </w:r>
          </w:p>
        </w:tc>
        <w:tc>
          <w:tcPr>
            <w:tcW w:w="540" w:type="dxa"/>
            <w:vAlign w:val="bottom"/>
          </w:tcPr>
          <w:p>
            <w:pPr>
              <w:spacing w:after="0"/>
              <w:rPr>
                <w:sz w:val="20"/>
                <w:szCs w:val="20"/>
                <w:color w:val="auto"/>
              </w:rPr>
            </w:pPr>
            <w:r>
              <w:rPr>
                <w:rFonts w:ascii="Arial" w:cs="Arial" w:eastAsia="Arial" w:hAnsi="Arial"/>
                <w:sz w:val="10"/>
                <w:szCs w:val="10"/>
                <w:b w:val="1"/>
                <w:bCs w:val="1"/>
                <w:color w:val="1F1F23"/>
              </w:rPr>
              <w:t>&gt;10%</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60" w:type="dxa"/>
            <w:vAlign w:val="bottom"/>
            <w:tcBorders>
              <w:left w:val="single" w:sz="8" w:color="auto"/>
            </w:tcBorders>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1F1F23"/>
              </w:rPr>
              <w:t>Operating</w:t>
            </w:r>
          </w:p>
        </w:tc>
        <w:tc>
          <w:tcPr>
            <w:tcW w:w="580" w:type="dxa"/>
            <w:vAlign w:val="bottom"/>
          </w:tcPr>
          <w:p>
            <w:pPr>
              <w:ind w:left="80"/>
              <w:spacing w:after="0"/>
              <w:rPr>
                <w:sz w:val="20"/>
                <w:szCs w:val="20"/>
                <w:color w:val="auto"/>
              </w:rPr>
            </w:pPr>
            <w:r>
              <w:rPr>
                <w:rFonts w:ascii="Arial" w:cs="Arial" w:eastAsia="Arial" w:hAnsi="Arial"/>
                <w:sz w:val="10"/>
                <w:szCs w:val="10"/>
                <w:b w:val="1"/>
                <w:bCs w:val="1"/>
                <w:color w:val="1F1F23"/>
              </w:rPr>
              <w:t>Operating</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1F1F23"/>
              </w:rPr>
              <w:t>Building</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1F1F23"/>
              </w:rPr>
              <w:t>of Building</w:t>
            </w:r>
          </w:p>
        </w:tc>
        <w:tc>
          <w:tcPr>
            <w:tcW w:w="4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1F1F23"/>
              </w:rPr>
              <w:t>Expenses</w:t>
            </w:r>
          </w:p>
        </w:tc>
        <w:tc>
          <w:tcPr>
            <w:tcW w:w="580" w:type="dxa"/>
            <w:vAlign w:val="bottom"/>
          </w:tcPr>
          <w:p>
            <w:pPr>
              <w:ind w:left="80"/>
              <w:spacing w:after="0"/>
              <w:rPr>
                <w:sz w:val="20"/>
                <w:szCs w:val="20"/>
                <w:color w:val="auto"/>
              </w:rPr>
            </w:pPr>
            <w:r>
              <w:rPr>
                <w:rFonts w:ascii="Arial" w:cs="Arial" w:eastAsia="Arial" w:hAnsi="Arial"/>
                <w:sz w:val="10"/>
                <w:szCs w:val="10"/>
                <w:b w:val="1"/>
                <w:bCs w:val="1"/>
                <w:color w:val="1F1F23"/>
              </w:rPr>
              <w:t>Expenses</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1F1F23"/>
                <w:w w:val="91"/>
              </w:rPr>
              <w:t>Tota</w:t>
            </w:r>
            <w:r>
              <w:rPr>
                <w:rFonts w:ascii="Arial" w:cs="Arial" w:eastAsia="Arial" w:hAnsi="Arial"/>
                <w:sz w:val="10"/>
                <w:szCs w:val="10"/>
                <w:b w:val="1"/>
                <w:bCs w:val="1"/>
                <w:color w:val="464446"/>
                <w:w w:val="91"/>
              </w:rPr>
              <w:t>l</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1F1F23"/>
              </w:rPr>
              <w:t>Increase</w:t>
            </w:r>
          </w:p>
        </w:tc>
        <w:tc>
          <w:tcPr>
            <w:tcW w:w="5120" w:type="dxa"/>
            <w:vAlign w:val="bottom"/>
            <w:tcBorders>
              <w:right w:val="single" w:sz="8" w:color="auto"/>
            </w:tcBorders>
            <w:gridSpan w:val="3"/>
          </w:tcPr>
          <w:p>
            <w:pPr>
              <w:ind w:left="20"/>
              <w:spacing w:after="0"/>
              <w:rPr>
                <w:sz w:val="20"/>
                <w:szCs w:val="20"/>
                <w:color w:val="auto"/>
              </w:rPr>
            </w:pPr>
            <w:r>
              <w:rPr>
                <w:rFonts w:ascii="Arial" w:cs="Arial" w:eastAsia="Arial" w:hAnsi="Arial"/>
                <w:sz w:val="10"/>
                <w:szCs w:val="10"/>
                <w:b w:val="1"/>
                <w:bCs w:val="1"/>
                <w:color w:val="1F1F23"/>
              </w:rPr>
              <w:t>Increase  Comments</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1F1F23"/>
              </w:rPr>
              <w:t>Increase</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26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vMerge w:val="restart"/>
          </w:tcPr>
          <w:p>
            <w:pPr>
              <w:ind w:left="640"/>
              <w:spacing w:after="0"/>
              <w:rPr>
                <w:sz w:val="20"/>
                <w:szCs w:val="20"/>
                <w:color w:val="auto"/>
              </w:rPr>
            </w:pPr>
            <w:r>
              <w:rPr>
                <w:rFonts w:ascii="Arial" w:cs="Arial" w:eastAsia="Arial" w:hAnsi="Arial"/>
                <w:sz w:val="17"/>
                <w:szCs w:val="17"/>
                <w:color w:val="464446"/>
                <w:w w:val="70"/>
              </w:rPr>
              <w:t>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380" w:type="dxa"/>
            <w:vAlign w:val="bottom"/>
          </w:tcPr>
          <w:p>
            <w:pPr>
              <w:ind w:left="60"/>
              <w:spacing w:after="0"/>
              <w:rPr>
                <w:sz w:val="20"/>
                <w:szCs w:val="20"/>
                <w:color w:val="auto"/>
              </w:rPr>
            </w:pPr>
            <w:r>
              <w:rPr>
                <w:rFonts w:ascii="Arial" w:cs="Arial" w:eastAsia="Arial" w:hAnsi="Arial"/>
                <w:sz w:val="10"/>
                <w:szCs w:val="10"/>
                <w:color w:val="1F1F23"/>
                <w:w w:val="99"/>
              </w:rPr>
              <w:t>In</w:t>
            </w:r>
            <w:r>
              <w:rPr>
                <w:rFonts w:ascii="Arial" w:cs="Arial" w:eastAsia="Arial" w:hAnsi="Arial"/>
                <w:sz w:val="10"/>
                <w:szCs w:val="10"/>
                <w:color w:val="464446"/>
                <w:w w:val="99"/>
              </w:rPr>
              <w:t>cre</w:t>
            </w:r>
            <w:r>
              <w:rPr>
                <w:rFonts w:ascii="Arial" w:cs="Arial" w:eastAsia="Arial" w:hAnsi="Arial"/>
                <w:sz w:val="10"/>
                <w:szCs w:val="10"/>
                <w:color w:val="1F1F23"/>
                <w:w w:val="99"/>
              </w:rPr>
              <w:t xml:space="preserve"> </w:t>
            </w:r>
            <w:r>
              <w:rPr>
                <w:rFonts w:ascii="Arial" w:cs="Arial" w:eastAsia="Arial" w:hAnsi="Arial"/>
                <w:sz w:val="10"/>
                <w:szCs w:val="10"/>
                <w:color w:val="5D5D60"/>
                <w:w w:val="99"/>
              </w:rPr>
              <w:t>as</w:t>
            </w:r>
            <w:r>
              <w:rPr>
                <w:rFonts w:ascii="Arial" w:cs="Arial" w:eastAsia="Arial" w:hAnsi="Arial"/>
                <w:sz w:val="10"/>
                <w:szCs w:val="10"/>
                <w:color w:val="464446"/>
                <w:w w:val="99"/>
              </w:rPr>
              <w:t>e</w:t>
            </w:r>
            <w:r>
              <w:rPr>
                <w:rFonts w:ascii="Arial" w:cs="Arial" w:eastAsia="Arial" w:hAnsi="Arial"/>
                <w:sz w:val="10"/>
                <w:szCs w:val="10"/>
                <w:color w:val="1F1F23"/>
                <w:w w:val="99"/>
              </w:rPr>
              <w:t xml:space="preserve"> </w:t>
            </w:r>
            <w:r>
              <w:rPr>
                <w:rFonts w:ascii="Arial" w:cs="Arial" w:eastAsia="Arial" w:hAnsi="Arial"/>
                <w:sz w:val="10"/>
                <w:szCs w:val="10"/>
                <w:color w:val="5D5D60"/>
                <w:w w:val="99"/>
              </w:rPr>
              <w:t>Is</w:t>
            </w:r>
            <w:r>
              <w:rPr>
                <w:rFonts w:ascii="Arial" w:cs="Arial" w:eastAsia="Arial" w:hAnsi="Arial"/>
                <w:sz w:val="10"/>
                <w:szCs w:val="10"/>
                <w:color w:val="1F1F23"/>
                <w:w w:val="99"/>
              </w:rPr>
              <w:t xml:space="preserve"> </w:t>
            </w:r>
            <w:r>
              <w:rPr>
                <w:rFonts w:ascii="Arial" w:cs="Arial" w:eastAsia="Arial" w:hAnsi="Arial"/>
                <w:sz w:val="10"/>
                <w:szCs w:val="10"/>
                <w:color w:val="464446"/>
                <w:w w:val="99"/>
              </w:rPr>
              <w:t>g</w:t>
            </w:r>
            <w:r>
              <w:rPr>
                <w:rFonts w:ascii="Arial" w:cs="Arial" w:eastAsia="Arial" w:hAnsi="Arial"/>
                <w:sz w:val="10"/>
                <w:szCs w:val="10"/>
                <w:color w:val="5D5D60"/>
                <w:w w:val="99"/>
              </w:rPr>
              <w:t>r</w:t>
            </w:r>
            <w:r>
              <w:rPr>
                <w:rFonts w:ascii="Arial" w:cs="Arial" w:eastAsia="Arial" w:hAnsi="Arial"/>
                <w:sz w:val="10"/>
                <w:szCs w:val="10"/>
                <w:color w:val="464446"/>
                <w:w w:val="99"/>
              </w:rPr>
              <w:t>eat er t</w:t>
            </w:r>
            <w:r>
              <w:rPr>
                <w:rFonts w:ascii="Arial" w:cs="Arial" w:eastAsia="Arial" w:hAnsi="Arial"/>
                <w:sz w:val="10"/>
                <w:szCs w:val="10"/>
                <w:color w:val="1F1F23"/>
                <w:w w:val="99"/>
              </w:rPr>
              <w:t>h</w:t>
            </w:r>
            <w:r>
              <w:rPr>
                <w:rFonts w:ascii="Arial" w:cs="Arial" w:eastAsia="Arial" w:hAnsi="Arial"/>
                <w:sz w:val="10"/>
                <w:szCs w:val="10"/>
                <w:color w:val="464446"/>
                <w:w w:val="99"/>
              </w:rPr>
              <w:t>an</w:t>
            </w:r>
            <w:r>
              <w:rPr>
                <w:rFonts w:ascii="Arial" w:cs="Arial" w:eastAsia="Arial" w:hAnsi="Arial"/>
                <w:sz w:val="10"/>
                <w:szCs w:val="10"/>
                <w:color w:val="1F1F23"/>
                <w:w w:val="99"/>
              </w:rPr>
              <w:t xml:space="preserve"> </w:t>
            </w:r>
            <w:r>
              <w:rPr>
                <w:rFonts w:ascii="Arial" w:cs="Arial" w:eastAsia="Arial" w:hAnsi="Arial"/>
                <w:sz w:val="10"/>
                <w:szCs w:val="10"/>
                <w:color w:val="313133"/>
                <w:w w:val="99"/>
              </w:rPr>
              <w:t>the</w:t>
            </w:r>
            <w:r>
              <w:rPr>
                <w:rFonts w:ascii="Arial" w:cs="Arial" w:eastAsia="Arial" w:hAnsi="Arial"/>
                <w:sz w:val="10"/>
                <w:szCs w:val="10"/>
                <w:color w:val="1F1F23"/>
                <w:w w:val="99"/>
              </w:rPr>
              <w:t xml:space="preserve"> </w:t>
            </w:r>
            <w:r>
              <w:rPr>
                <w:rFonts w:ascii="Arial" w:cs="Arial" w:eastAsia="Arial" w:hAnsi="Arial"/>
                <w:sz w:val="10"/>
                <w:szCs w:val="10"/>
                <w:color w:val="313133"/>
                <w:w w:val="99"/>
              </w:rPr>
              <w:t>10</w:t>
            </w:r>
            <w:r>
              <w:rPr>
                <w:rFonts w:ascii="Arial" w:cs="Arial" w:eastAsia="Arial" w:hAnsi="Arial"/>
                <w:sz w:val="10"/>
                <w:szCs w:val="10"/>
                <w:color w:val="5D5D60"/>
                <w:w w:val="99"/>
              </w:rPr>
              <w:t>%</w:t>
            </w:r>
            <w:r>
              <w:rPr>
                <w:rFonts w:ascii="Arial" w:cs="Arial" w:eastAsia="Arial" w:hAnsi="Arial"/>
                <w:sz w:val="10"/>
                <w:szCs w:val="10"/>
                <w:color w:val="1F1F23"/>
                <w:w w:val="99"/>
              </w:rPr>
              <w:t xml:space="preserve"> </w:t>
            </w:r>
            <w:r>
              <w:rPr>
                <w:rFonts w:ascii="Arial" w:cs="Arial" w:eastAsia="Arial" w:hAnsi="Arial"/>
                <w:sz w:val="10"/>
                <w:szCs w:val="10"/>
                <w:color w:val="464446"/>
                <w:w w:val="99"/>
              </w:rPr>
              <w:t>Thre</w:t>
            </w:r>
            <w:r>
              <w:rPr>
                <w:rFonts w:ascii="Arial" w:cs="Arial" w:eastAsia="Arial" w:hAnsi="Arial"/>
                <w:sz w:val="10"/>
                <w:szCs w:val="10"/>
                <w:color w:val="1F1F23"/>
                <w:w w:val="99"/>
              </w:rPr>
              <w:t xml:space="preserve"> </w:t>
            </w:r>
            <w:r>
              <w:rPr>
                <w:rFonts w:ascii="Arial" w:cs="Arial" w:eastAsia="Arial" w:hAnsi="Arial"/>
                <w:sz w:val="10"/>
                <w:szCs w:val="10"/>
                <w:color w:val="5D5D60"/>
                <w:w w:val="99"/>
              </w:rPr>
              <w:t>sh</w:t>
            </w:r>
            <w:r>
              <w:rPr>
                <w:rFonts w:ascii="Arial" w:cs="Arial" w:eastAsia="Arial" w:hAnsi="Arial"/>
                <w:sz w:val="10"/>
                <w:szCs w:val="10"/>
                <w:color w:val="1F1F23"/>
                <w:w w:val="99"/>
              </w:rPr>
              <w:t xml:space="preserve"> </w:t>
            </w:r>
            <w:r>
              <w:rPr>
                <w:rFonts w:ascii="Arial" w:cs="Arial" w:eastAsia="Arial" w:hAnsi="Arial"/>
                <w:sz w:val="10"/>
                <w:szCs w:val="10"/>
                <w:color w:val="464446"/>
                <w:w w:val="99"/>
              </w:rPr>
              <w:t>o</w:t>
            </w:r>
            <w:r>
              <w:rPr>
                <w:rFonts w:ascii="Arial" w:cs="Arial" w:eastAsia="Arial" w:hAnsi="Arial"/>
                <w:sz w:val="10"/>
                <w:szCs w:val="10"/>
                <w:color w:val="1F1F23"/>
                <w:w w:val="99"/>
              </w:rPr>
              <w:t>l</w:t>
            </w:r>
            <w:r>
              <w:rPr>
                <w:rFonts w:ascii="Arial" w:cs="Arial" w:eastAsia="Arial" w:hAnsi="Arial"/>
                <w:sz w:val="10"/>
                <w:szCs w:val="10"/>
                <w:color w:val="464446"/>
                <w:w w:val="99"/>
              </w:rPr>
              <w:t>d,</w:t>
            </w:r>
            <w:r>
              <w:rPr>
                <w:rFonts w:ascii="Arial" w:cs="Arial" w:eastAsia="Arial" w:hAnsi="Arial"/>
                <w:sz w:val="10"/>
                <w:szCs w:val="10"/>
                <w:color w:val="1F1F23"/>
                <w:w w:val="99"/>
              </w:rPr>
              <w:t xml:space="preserve"> </w:t>
            </w:r>
            <w:r>
              <w:rPr>
                <w:rFonts w:ascii="Arial" w:cs="Arial" w:eastAsia="Arial" w:hAnsi="Arial"/>
                <w:sz w:val="10"/>
                <w:szCs w:val="10"/>
                <w:color w:val="5D5D60"/>
                <w:w w:val="99"/>
              </w:rPr>
              <w:t>s</w:t>
            </w:r>
            <w:r>
              <w:rPr>
                <w:rFonts w:ascii="Arial" w:cs="Arial" w:eastAsia="Arial" w:hAnsi="Arial"/>
                <w:sz w:val="10"/>
                <w:szCs w:val="10"/>
                <w:color w:val="464446"/>
                <w:w w:val="99"/>
              </w:rPr>
              <w:t>o a</w:t>
            </w:r>
            <w:r>
              <w:rPr>
                <w:rFonts w:ascii="Arial" w:cs="Arial" w:eastAsia="Arial" w:hAnsi="Arial"/>
                <w:sz w:val="10"/>
                <w:szCs w:val="10"/>
                <w:color w:val="1F1F23"/>
                <w:w w:val="99"/>
              </w:rPr>
              <w:t xml:space="preserve">mount </w:t>
            </w:r>
            <w:r>
              <w:rPr>
                <w:rFonts w:ascii="Arial" w:cs="Arial" w:eastAsia="Arial" w:hAnsi="Arial"/>
                <w:sz w:val="10"/>
                <w:szCs w:val="10"/>
                <w:color w:val="464446"/>
                <w:w w:val="99"/>
              </w:rPr>
              <w:t>over</w:t>
            </w:r>
            <w:r>
              <w:rPr>
                <w:rFonts w:ascii="Arial" w:cs="Arial" w:eastAsia="Arial" w:hAnsi="Arial"/>
                <w:sz w:val="10"/>
                <w:szCs w:val="10"/>
                <w:color w:val="1F1F23"/>
                <w:w w:val="99"/>
              </w:rPr>
              <w:t xml:space="preserve"> </w:t>
            </w:r>
            <w:r>
              <w:rPr>
                <w:rFonts w:ascii="Arial" w:cs="Arial" w:eastAsia="Arial" w:hAnsi="Arial"/>
                <w:sz w:val="10"/>
                <w:szCs w:val="10"/>
                <w:color w:val="313133"/>
                <w:w w:val="99"/>
              </w:rPr>
              <w:t>10</w:t>
            </w:r>
            <w:r>
              <w:rPr>
                <w:rFonts w:ascii="Arial" w:cs="Arial" w:eastAsia="Arial" w:hAnsi="Arial"/>
                <w:sz w:val="10"/>
                <w:szCs w:val="10"/>
                <w:color w:val="5D5D60"/>
                <w:w w:val="99"/>
              </w:rPr>
              <w:t>%</w:t>
            </w:r>
            <w:r>
              <w:rPr>
                <w:rFonts w:ascii="Arial" w:cs="Arial" w:eastAsia="Arial" w:hAnsi="Arial"/>
                <w:sz w:val="10"/>
                <w:szCs w:val="10"/>
                <w:color w:val="1F1F23"/>
                <w:w w:val="99"/>
              </w:rPr>
              <w:t xml:space="preserve"> </w:t>
            </w:r>
            <w:r>
              <w:rPr>
                <w:rFonts w:ascii="Arial" w:cs="Arial" w:eastAsia="Arial" w:hAnsi="Arial"/>
                <w:sz w:val="10"/>
                <w:szCs w:val="10"/>
                <w:color w:val="5D5D60"/>
                <w:w w:val="99"/>
              </w:rPr>
              <w:t>Th</w:t>
            </w:r>
            <w:r>
              <w:rPr>
                <w:rFonts w:ascii="Arial" w:cs="Arial" w:eastAsia="Arial" w:hAnsi="Arial"/>
                <w:sz w:val="10"/>
                <w:szCs w:val="10"/>
                <w:color w:val="464446"/>
                <w:w w:val="99"/>
              </w:rPr>
              <w:t>re</w:t>
            </w:r>
            <w:r>
              <w:rPr>
                <w:rFonts w:ascii="Arial" w:cs="Arial" w:eastAsia="Arial" w:hAnsi="Arial"/>
                <w:sz w:val="10"/>
                <w:szCs w:val="10"/>
                <w:color w:val="1F1F23"/>
                <w:w w:val="99"/>
              </w:rPr>
              <w:t xml:space="preserve"> </w:t>
            </w:r>
            <w:r>
              <w:rPr>
                <w:rFonts w:ascii="Arial" w:cs="Arial" w:eastAsia="Arial" w:hAnsi="Arial"/>
                <w:sz w:val="10"/>
                <w:szCs w:val="10"/>
                <w:color w:val="5D5D60"/>
                <w:w w:val="99"/>
              </w:rPr>
              <w:t>sh</w:t>
            </w:r>
            <w:r>
              <w:rPr>
                <w:rFonts w:ascii="Arial" w:cs="Arial" w:eastAsia="Arial" w:hAnsi="Arial"/>
                <w:sz w:val="10"/>
                <w:szCs w:val="10"/>
                <w:color w:val="1F1F23"/>
                <w:w w:val="99"/>
              </w:rPr>
              <w:t xml:space="preserve"> </w:t>
            </w:r>
            <w:r>
              <w:rPr>
                <w:rFonts w:ascii="Arial" w:cs="Arial" w:eastAsia="Arial" w:hAnsi="Arial"/>
                <w:sz w:val="10"/>
                <w:szCs w:val="10"/>
                <w:color w:val="464446"/>
                <w:w w:val="99"/>
              </w:rPr>
              <w:t>o</w:t>
            </w:r>
            <w:r>
              <w:rPr>
                <w:rFonts w:ascii="Arial" w:cs="Arial" w:eastAsia="Arial" w:hAnsi="Arial"/>
                <w:sz w:val="10"/>
                <w:szCs w:val="10"/>
                <w:color w:val="1F1F23"/>
                <w:w w:val="99"/>
              </w:rPr>
              <w:t xml:space="preserve"> </w:t>
            </w:r>
            <w:r>
              <w:rPr>
                <w:rFonts w:ascii="Arial" w:cs="Arial" w:eastAsia="Arial" w:hAnsi="Arial"/>
                <w:sz w:val="10"/>
                <w:szCs w:val="10"/>
                <w:color w:val="5D5D60"/>
                <w:w w:val="99"/>
              </w:rPr>
              <w:t>l</w:t>
            </w:r>
            <w:r>
              <w:rPr>
                <w:rFonts w:ascii="Arial" w:cs="Arial" w:eastAsia="Arial" w:hAnsi="Arial"/>
                <w:sz w:val="10"/>
                <w:szCs w:val="10"/>
                <w:color w:val="464446"/>
                <w:w w:val="99"/>
              </w:rPr>
              <w:t>d</w:t>
            </w:r>
            <w:r>
              <w:rPr>
                <w:rFonts w:ascii="Arial" w:cs="Arial" w:eastAsia="Arial" w:hAnsi="Arial"/>
                <w:sz w:val="10"/>
                <w:szCs w:val="10"/>
                <w:color w:val="1F1F23"/>
                <w:w w:val="99"/>
              </w:rPr>
              <w:t xml:space="preserve"> i </w:t>
            </w:r>
            <w:r>
              <w:rPr>
                <w:rFonts w:ascii="Arial" w:cs="Arial" w:eastAsia="Arial" w:hAnsi="Arial"/>
                <w:sz w:val="10"/>
                <w:szCs w:val="10"/>
                <w:color w:val="5D5D60"/>
                <w:w w:val="99"/>
              </w:rPr>
              <w:t>s s</w:t>
            </w:r>
            <w:r>
              <w:rPr>
                <w:rFonts w:ascii="Arial" w:cs="Arial" w:eastAsia="Arial" w:hAnsi="Arial"/>
                <w:sz w:val="10"/>
                <w:szCs w:val="10"/>
                <w:color w:val="464446"/>
                <w:w w:val="99"/>
              </w:rPr>
              <w:t>p</w:t>
            </w:r>
            <w:r>
              <w:rPr>
                <w:rFonts w:ascii="Arial" w:cs="Arial" w:eastAsia="Arial" w:hAnsi="Arial"/>
                <w:sz w:val="10"/>
                <w:szCs w:val="10"/>
                <w:color w:val="1F1F23"/>
                <w:w w:val="99"/>
              </w:rPr>
              <w:t xml:space="preserve"> lit </w:t>
            </w:r>
            <w:r>
              <w:rPr>
                <w:rFonts w:ascii="Arial" w:cs="Arial" w:eastAsia="Arial" w:hAnsi="Arial"/>
                <w:sz w:val="10"/>
                <w:szCs w:val="10"/>
                <w:color w:val="313133"/>
                <w:w w:val="99"/>
              </w:rPr>
              <w:t>50%/50</w:t>
            </w:r>
          </w:p>
        </w:tc>
        <w:tc>
          <w:tcPr>
            <w:tcW w:w="0" w:type="dxa"/>
            <w:vAlign w:val="bottom"/>
          </w:tcPr>
          <w:p>
            <w:pPr>
              <w:spacing w:after="0"/>
              <w:rPr>
                <w:sz w:val="1"/>
                <w:szCs w:val="1"/>
                <w:color w:val="auto"/>
              </w:rPr>
            </w:pPr>
          </w:p>
        </w:tc>
      </w:tr>
      <w:tr>
        <w:trPr>
          <w:trHeight w:val="100"/>
        </w:trPr>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0"/>
                <w:szCs w:val="10"/>
                <w:color w:val="464446"/>
              </w:rPr>
              <w:t>1</w:t>
            </w:r>
            <w:r>
              <w:rPr>
                <w:rFonts w:ascii="Arial" w:cs="Arial" w:eastAsia="Arial" w:hAnsi="Arial"/>
                <w:sz w:val="10"/>
                <w:szCs w:val="10"/>
                <w:color w:val="757775"/>
              </w:rPr>
              <w:t>,</w:t>
            </w:r>
            <w:r>
              <w:rPr>
                <w:rFonts w:ascii="Arial" w:cs="Arial" w:eastAsia="Arial" w:hAnsi="Arial"/>
                <w:sz w:val="10"/>
                <w:szCs w:val="10"/>
                <w:color w:val="464446"/>
              </w:rPr>
              <w:t>650,000</w:t>
            </w:r>
          </w:p>
        </w:tc>
        <w:tc>
          <w:tcPr>
            <w:tcW w:w="300" w:type="dxa"/>
            <w:vAlign w:val="bottom"/>
          </w:tcPr>
          <w:p>
            <w:pPr>
              <w:spacing w:after="0"/>
              <w:rPr>
                <w:sz w:val="8"/>
                <w:szCs w:val="8"/>
                <w:color w:val="auto"/>
              </w:rPr>
            </w:pPr>
          </w:p>
        </w:tc>
        <w:tc>
          <w:tcPr>
            <w:tcW w:w="360" w:type="dxa"/>
            <w:vAlign w:val="bottom"/>
            <w:vMerge w:val="restart"/>
          </w:tcPr>
          <w:p>
            <w:pPr>
              <w:spacing w:after="0"/>
              <w:rPr>
                <w:sz w:val="20"/>
                <w:szCs w:val="20"/>
                <w:color w:val="auto"/>
              </w:rPr>
            </w:pPr>
            <w:r>
              <w:rPr>
                <w:rFonts w:ascii="Arial" w:cs="Arial" w:eastAsia="Arial" w:hAnsi="Arial"/>
                <w:sz w:val="10"/>
                <w:szCs w:val="10"/>
                <w:color w:val="464446"/>
              </w:rPr>
              <w:t>329</w:t>
            </w:r>
          </w:p>
        </w:tc>
        <w:tc>
          <w:tcPr>
            <w:tcW w:w="720" w:type="dxa"/>
            <w:vAlign w:val="bottom"/>
            <w:vMerge w:val="continue"/>
          </w:tcPr>
          <w:p>
            <w:pPr>
              <w:spacing w:after="0"/>
              <w:rPr>
                <w:sz w:val="8"/>
                <w:szCs w:val="8"/>
                <w:color w:val="auto"/>
              </w:rPr>
            </w:pPr>
          </w:p>
        </w:tc>
        <w:tc>
          <w:tcPr>
            <w:tcW w:w="540" w:type="dxa"/>
            <w:vAlign w:val="bottom"/>
            <w:vMerge w:val="restart"/>
          </w:tcPr>
          <w:p>
            <w:pPr>
              <w:ind w:left="280"/>
              <w:spacing w:after="0"/>
              <w:rPr>
                <w:sz w:val="20"/>
                <w:szCs w:val="20"/>
                <w:color w:val="auto"/>
              </w:rPr>
            </w:pPr>
            <w:r>
              <w:rPr>
                <w:rFonts w:ascii="Arial" w:cs="Arial" w:eastAsia="Arial" w:hAnsi="Arial"/>
                <w:sz w:val="10"/>
                <w:szCs w:val="10"/>
                <w:color w:val="464446"/>
              </w:rPr>
              <w:t>19</w:t>
            </w:r>
          </w:p>
        </w:tc>
        <w:tc>
          <w:tcPr>
            <w:tcW w:w="2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464446"/>
              </w:rPr>
              <w:t>9</w:t>
            </w:r>
            <w:r>
              <w:rPr>
                <w:rFonts w:ascii="Arial" w:cs="Arial" w:eastAsia="Arial" w:hAnsi="Arial"/>
                <w:sz w:val="10"/>
                <w:szCs w:val="10"/>
                <w:color w:val="5D5D60"/>
              </w:rPr>
              <w:t>,</w:t>
            </w:r>
            <w:r>
              <w:rPr>
                <w:rFonts w:ascii="Arial" w:cs="Arial" w:eastAsia="Arial" w:hAnsi="Arial"/>
                <w:sz w:val="10"/>
                <w:szCs w:val="10"/>
                <w:color w:val="464446"/>
              </w:rPr>
              <w:t xml:space="preserve"> 8 836</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380" w:type="dxa"/>
            <w:vAlign w:val="bottom"/>
          </w:tcPr>
          <w:p>
            <w:pPr>
              <w:ind w:left="60"/>
              <w:spacing w:after="0" w:line="100" w:lineRule="exact"/>
              <w:rPr>
                <w:sz w:val="20"/>
                <w:szCs w:val="20"/>
                <w:color w:val="auto"/>
              </w:rPr>
            </w:pPr>
            <w:r>
              <w:rPr>
                <w:rFonts w:ascii="Arial" w:cs="Arial" w:eastAsia="Arial" w:hAnsi="Arial"/>
                <w:sz w:val="10"/>
                <w:szCs w:val="10"/>
                <w:color w:val="5D5D60"/>
              </w:rPr>
              <w:t xml:space="preserve">% </w:t>
            </w:r>
            <w:r>
              <w:rPr>
                <w:rFonts w:ascii="Arial" w:cs="Arial" w:eastAsia="Arial" w:hAnsi="Arial"/>
                <w:sz w:val="10"/>
                <w:szCs w:val="10"/>
                <w:color w:val="313133"/>
              </w:rPr>
              <w:t>between Bayer</w:t>
            </w:r>
            <w:r>
              <w:rPr>
                <w:rFonts w:ascii="Arial" w:cs="Arial" w:eastAsia="Arial" w:hAnsi="Arial"/>
                <w:sz w:val="10"/>
                <w:szCs w:val="10"/>
                <w:color w:val="5D5D60"/>
              </w:rPr>
              <w:t xml:space="preserve"> </w:t>
            </w:r>
            <w:r>
              <w:rPr>
                <w:rFonts w:ascii="Arial" w:cs="Arial" w:eastAsia="Arial" w:hAnsi="Arial"/>
                <w:sz w:val="10"/>
                <w:szCs w:val="10"/>
                <w:color w:val="313133"/>
              </w:rPr>
              <w:t>&amp;</w:t>
            </w:r>
          </w:p>
        </w:tc>
        <w:tc>
          <w:tcPr>
            <w:tcW w:w="0" w:type="dxa"/>
            <w:vAlign w:val="bottom"/>
          </w:tcPr>
          <w:p>
            <w:pPr>
              <w:spacing w:after="0"/>
              <w:rPr>
                <w:sz w:val="1"/>
                <w:szCs w:val="1"/>
                <w:color w:val="auto"/>
              </w:rPr>
            </w:pPr>
          </w:p>
        </w:tc>
      </w:tr>
      <w:tr>
        <w:trPr>
          <w:trHeight w:val="106"/>
        </w:trPr>
        <w:tc>
          <w:tcPr>
            <w:tcW w:w="2220" w:type="dxa"/>
            <w:vAlign w:val="bottom"/>
            <w:gridSpan w:val="2"/>
          </w:tcPr>
          <w:p>
            <w:pPr>
              <w:ind w:left="120"/>
              <w:spacing w:after="0" w:line="106" w:lineRule="exact"/>
              <w:rPr>
                <w:sz w:val="20"/>
                <w:szCs w:val="20"/>
                <w:color w:val="auto"/>
              </w:rPr>
            </w:pPr>
            <w:r>
              <w:rPr>
                <w:rFonts w:ascii="Arial" w:cs="Arial" w:eastAsia="Arial" w:hAnsi="Arial"/>
                <w:sz w:val="10"/>
                <w:szCs w:val="10"/>
                <w:color w:val="464446"/>
              </w:rPr>
              <w:t xml:space="preserve">Tota </w:t>
            </w:r>
            <w:r>
              <w:rPr>
                <w:rFonts w:ascii="Arial" w:cs="Arial" w:eastAsia="Arial" w:hAnsi="Arial"/>
                <w:sz w:val="10"/>
                <w:szCs w:val="10"/>
                <w:color w:val="1F1F23"/>
              </w:rPr>
              <w:t>l</w:t>
            </w:r>
            <w:r>
              <w:rPr>
                <w:rFonts w:ascii="Arial" w:cs="Arial" w:eastAsia="Arial" w:hAnsi="Arial"/>
                <w:sz w:val="10"/>
                <w:szCs w:val="10"/>
                <w:color w:val="464446"/>
              </w:rPr>
              <w:t xml:space="preserve"> (Office </w:t>
            </w:r>
            <w:r>
              <w:rPr>
                <w:rFonts w:ascii="Arial" w:cs="Arial" w:eastAsia="Arial" w:hAnsi="Arial"/>
                <w:sz w:val="10"/>
                <w:szCs w:val="10"/>
                <w:color w:val="1F1F23"/>
              </w:rPr>
              <w:t>)</w:t>
            </w:r>
            <w:r>
              <w:rPr>
                <w:rFonts w:ascii="Arial" w:cs="Arial" w:eastAsia="Arial" w:hAnsi="Arial"/>
                <w:sz w:val="10"/>
                <w:szCs w:val="10"/>
                <w:color w:val="464446"/>
              </w:rPr>
              <w:t xml:space="preserve"> </w:t>
            </w:r>
            <w:r>
              <w:rPr>
                <w:rFonts w:ascii="Arial" w:cs="Arial" w:eastAsia="Arial" w:hAnsi="Arial"/>
                <w:sz w:val="10"/>
                <w:szCs w:val="10"/>
                <w:color w:val="313133"/>
              </w:rPr>
              <w:t>Bui</w:t>
            </w:r>
            <w:r>
              <w:rPr>
                <w:rFonts w:ascii="Arial" w:cs="Arial" w:eastAsia="Arial" w:hAnsi="Arial"/>
                <w:sz w:val="10"/>
                <w:szCs w:val="10"/>
                <w:color w:val="5D5D60"/>
              </w:rPr>
              <w:t>l</w:t>
            </w:r>
            <w:r>
              <w:rPr>
                <w:rFonts w:ascii="Arial" w:cs="Arial" w:eastAsia="Arial" w:hAnsi="Arial"/>
                <w:sz w:val="10"/>
                <w:szCs w:val="10"/>
                <w:color w:val="464446"/>
              </w:rPr>
              <w:t>d</w:t>
            </w:r>
            <w:r>
              <w:rPr>
                <w:rFonts w:ascii="Arial" w:cs="Arial" w:eastAsia="Arial" w:hAnsi="Arial"/>
                <w:sz w:val="10"/>
                <w:szCs w:val="10"/>
                <w:color w:val="1F1F23"/>
              </w:rPr>
              <w:t>in</w:t>
            </w:r>
            <w:r>
              <w:rPr>
                <w:rFonts w:ascii="Arial" w:cs="Arial" w:eastAsia="Arial" w:hAnsi="Arial"/>
                <w:sz w:val="10"/>
                <w:szCs w:val="10"/>
                <w:color w:val="5D5D60"/>
              </w:rPr>
              <w:t>g</w:t>
            </w:r>
            <w:r>
              <w:rPr>
                <w:rFonts w:ascii="Arial" w:cs="Arial" w:eastAsia="Arial" w:hAnsi="Arial"/>
                <w:sz w:val="10"/>
                <w:szCs w:val="10"/>
                <w:color w:val="464446"/>
              </w:rPr>
              <w:t xml:space="preserve"> Opera</w:t>
            </w:r>
            <w:r>
              <w:rPr>
                <w:rFonts w:ascii="Arial" w:cs="Arial" w:eastAsia="Arial" w:hAnsi="Arial"/>
                <w:sz w:val="10"/>
                <w:szCs w:val="10"/>
                <w:color w:val="1F1F23"/>
              </w:rPr>
              <w:t>ti</w:t>
            </w:r>
            <w:r>
              <w:rPr>
                <w:rFonts w:ascii="Arial" w:cs="Arial" w:eastAsia="Arial" w:hAnsi="Arial"/>
                <w:sz w:val="10"/>
                <w:szCs w:val="10"/>
                <w:color w:val="464446"/>
              </w:rPr>
              <w:t>n</w:t>
            </w:r>
            <w:r>
              <w:rPr>
                <w:rFonts w:ascii="Arial" w:cs="Arial" w:eastAsia="Arial" w:hAnsi="Arial"/>
                <w:sz w:val="10"/>
                <w:szCs w:val="10"/>
                <w:color w:val="5D5D60"/>
              </w:rPr>
              <w:t>g</w:t>
            </w:r>
            <w:r>
              <w:rPr>
                <w:rFonts w:ascii="Arial" w:cs="Arial" w:eastAsia="Arial" w:hAnsi="Arial"/>
                <w:sz w:val="10"/>
                <w:szCs w:val="10"/>
                <w:color w:val="464446"/>
              </w:rPr>
              <w:t xml:space="preserve"> Exp</w:t>
            </w: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20" w:type="dxa"/>
            <w:vAlign w:val="bottom"/>
          </w:tcPr>
          <w:p>
            <w:pPr>
              <w:jc w:val="center"/>
              <w:ind w:right="43"/>
              <w:spacing w:after="0" w:line="106" w:lineRule="exact"/>
              <w:rPr>
                <w:sz w:val="20"/>
                <w:szCs w:val="20"/>
                <w:color w:val="auto"/>
              </w:rPr>
            </w:pPr>
            <w:r>
              <w:rPr>
                <w:rFonts w:ascii="Arial" w:cs="Arial" w:eastAsia="Arial" w:hAnsi="Arial"/>
                <w:sz w:val="10"/>
                <w:szCs w:val="10"/>
                <w:color w:val="313133"/>
                <w:w w:val="89"/>
              </w:rPr>
              <w:t>25</w:t>
            </w:r>
            <w:r>
              <w:rPr>
                <w:rFonts w:ascii="Arial" w:cs="Arial" w:eastAsia="Arial" w:hAnsi="Arial"/>
                <w:sz w:val="10"/>
                <w:szCs w:val="10"/>
                <w:color w:val="5D5D60"/>
                <w:w w:val="89"/>
              </w:rPr>
              <w:t>%</w:t>
            </w:r>
          </w:p>
        </w:tc>
        <w:tc>
          <w:tcPr>
            <w:tcW w:w="540" w:type="dxa"/>
            <w:vAlign w:val="bottom"/>
            <w:vMerge w:val="continue"/>
          </w:tcPr>
          <w:p>
            <w:pPr>
              <w:spacing w:after="0"/>
              <w:rPr>
                <w:sz w:val="9"/>
                <w:szCs w:val="9"/>
                <w:color w:val="auto"/>
              </w:rPr>
            </w:pPr>
          </w:p>
        </w:tc>
        <w:tc>
          <w:tcPr>
            <w:tcW w:w="220" w:type="dxa"/>
            <w:vAlign w:val="bottom"/>
          </w:tcPr>
          <w:p>
            <w:pPr>
              <w:jc w:val="right"/>
              <w:ind w:right="10"/>
              <w:spacing w:after="0" w:line="106" w:lineRule="exact"/>
              <w:rPr>
                <w:sz w:val="20"/>
                <w:szCs w:val="20"/>
                <w:color w:val="auto"/>
              </w:rPr>
            </w:pPr>
            <w:r>
              <w:rPr>
                <w:rFonts w:ascii="Arial" w:cs="Arial" w:eastAsia="Arial" w:hAnsi="Arial"/>
                <w:sz w:val="10"/>
                <w:szCs w:val="10"/>
                <w:color w:val="464446"/>
              </w:rPr>
              <w:t>$</w:t>
            </w:r>
          </w:p>
        </w:tc>
        <w:tc>
          <w:tcPr>
            <w:tcW w:w="440" w:type="dxa"/>
            <w:vAlign w:val="bottom"/>
            <w:vMerge w:val="continue"/>
          </w:tcPr>
          <w:p>
            <w:pPr>
              <w:spacing w:after="0"/>
              <w:rPr>
                <w:sz w:val="9"/>
                <w:szCs w:val="9"/>
                <w:color w:val="auto"/>
              </w:rPr>
            </w:pPr>
          </w:p>
        </w:tc>
        <w:tc>
          <w:tcPr>
            <w:tcW w:w="280" w:type="dxa"/>
            <w:vAlign w:val="bottom"/>
          </w:tcPr>
          <w:p>
            <w:pPr>
              <w:jc w:val="right"/>
              <w:ind w:right="70"/>
              <w:spacing w:after="0" w:line="106" w:lineRule="exact"/>
              <w:rPr>
                <w:sz w:val="20"/>
                <w:szCs w:val="20"/>
                <w:color w:val="auto"/>
              </w:rPr>
            </w:pPr>
            <w:r>
              <w:rPr>
                <w:rFonts w:ascii="Arial" w:cs="Arial" w:eastAsia="Arial" w:hAnsi="Arial"/>
                <w:sz w:val="10"/>
                <w:szCs w:val="10"/>
                <w:color w:val="464446"/>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464446"/>
              </w:rPr>
              <w:t xml:space="preserve">98 </w:t>
            </w:r>
            <w:r>
              <w:rPr>
                <w:rFonts w:ascii="Arial" w:cs="Arial" w:eastAsia="Arial" w:hAnsi="Arial"/>
                <w:sz w:val="10"/>
                <w:szCs w:val="10"/>
                <w:color w:val="5D5D60"/>
              </w:rPr>
              <w:t>,</w:t>
            </w:r>
            <w:r>
              <w:rPr>
                <w:rFonts w:ascii="Arial" w:cs="Arial" w:eastAsia="Arial" w:hAnsi="Arial"/>
                <w:sz w:val="10"/>
                <w:szCs w:val="10"/>
                <w:color w:val="464446"/>
              </w:rPr>
              <w:t>836</w:t>
            </w:r>
          </w:p>
        </w:tc>
        <w:tc>
          <w:tcPr>
            <w:tcW w:w="4380" w:type="dxa"/>
            <w:vAlign w:val="bottom"/>
            <w:vMerge w:val="restart"/>
          </w:tcPr>
          <w:p>
            <w:pPr>
              <w:spacing w:after="0"/>
              <w:rPr>
                <w:sz w:val="20"/>
                <w:szCs w:val="20"/>
                <w:color w:val="auto"/>
              </w:rPr>
            </w:pPr>
            <w:r>
              <w:rPr>
                <w:rFonts w:ascii="Arial" w:cs="Arial" w:eastAsia="Arial" w:hAnsi="Arial"/>
                <w:sz w:val="10"/>
                <w:szCs w:val="10"/>
                <w:color w:val="464446"/>
              </w:rPr>
              <w:t xml:space="preserve">M </w:t>
            </w:r>
            <w:r>
              <w:rPr>
                <w:rFonts w:ascii="Arial" w:cs="Arial" w:eastAsia="Arial" w:hAnsi="Arial"/>
                <w:sz w:val="10"/>
                <w:szCs w:val="10"/>
                <w:color w:val="5D5D60"/>
              </w:rPr>
              <w:t>issi</w:t>
            </w:r>
            <w:r>
              <w:rPr>
                <w:rFonts w:ascii="Arial" w:cs="Arial" w:eastAsia="Arial" w:hAnsi="Arial"/>
                <w:sz w:val="10"/>
                <w:szCs w:val="10"/>
                <w:color w:val="464446"/>
              </w:rPr>
              <w:t>on</w:t>
            </w:r>
          </w:p>
        </w:tc>
        <w:tc>
          <w:tcPr>
            <w:tcW w:w="0" w:type="dxa"/>
            <w:vAlign w:val="bottom"/>
          </w:tcPr>
          <w:p>
            <w:pPr>
              <w:spacing w:after="0"/>
              <w:rPr>
                <w:sz w:val="1"/>
                <w:szCs w:val="1"/>
                <w:color w:val="auto"/>
              </w:rPr>
            </w:pPr>
          </w:p>
        </w:tc>
      </w:tr>
      <w:tr>
        <w:trPr>
          <w:trHeight w:val="71"/>
        </w:trPr>
        <w:tc>
          <w:tcPr>
            <w:tcW w:w="1260" w:type="dxa"/>
            <w:vAlign w:val="bottom"/>
            <w:vMerge w:val="restart"/>
          </w:tcPr>
          <w:p>
            <w:pPr>
              <w:ind w:left="120"/>
              <w:spacing w:after="0"/>
              <w:rPr>
                <w:sz w:val="20"/>
                <w:szCs w:val="20"/>
                <w:color w:val="auto"/>
              </w:rPr>
            </w:pPr>
            <w:r>
              <w:rPr>
                <w:rFonts w:ascii="Arial" w:cs="Arial" w:eastAsia="Arial" w:hAnsi="Arial"/>
                <w:sz w:val="13"/>
                <w:szCs w:val="13"/>
                <w:color w:val="464446"/>
              </w:rPr>
              <w:t xml:space="preserve">S  </w:t>
            </w:r>
            <w:r>
              <w:rPr>
                <w:rFonts w:ascii="Arial" w:cs="Arial" w:eastAsia="Arial" w:hAnsi="Arial"/>
                <w:sz w:val="9"/>
                <w:szCs w:val="9"/>
                <w:color w:val="464446"/>
              </w:rPr>
              <w:t>1</w:t>
            </w:r>
            <w:r>
              <w:rPr>
                <w:rFonts w:ascii="Arial" w:cs="Arial" w:eastAsia="Arial" w:hAnsi="Arial"/>
                <w:sz w:val="9"/>
                <w:szCs w:val="9"/>
                <w:color w:val="5D5D60"/>
              </w:rPr>
              <w:t>,</w:t>
            </w:r>
            <w:r>
              <w:rPr>
                <w:rFonts w:ascii="Arial" w:cs="Arial" w:eastAsia="Arial" w:hAnsi="Arial"/>
                <w:sz w:val="9"/>
                <w:szCs w:val="9"/>
                <w:color w:val="464446"/>
              </w:rPr>
              <w:t>320</w:t>
            </w:r>
            <w:r>
              <w:rPr>
                <w:rFonts w:ascii="Arial" w:cs="Arial" w:eastAsia="Arial" w:hAnsi="Arial"/>
                <w:sz w:val="9"/>
                <w:szCs w:val="9"/>
                <w:color w:val="5D5D60"/>
              </w:rPr>
              <w:t>,</w:t>
            </w:r>
            <w:r>
              <w:rPr>
                <w:rFonts w:ascii="Arial" w:cs="Arial" w:eastAsia="Arial" w:hAnsi="Arial"/>
                <w:sz w:val="9"/>
                <w:szCs w:val="9"/>
                <w:color w:val="464446"/>
              </w:rPr>
              <w:t>299</w:t>
            </w: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10"/>
                <w:szCs w:val="10"/>
                <w:color w:val="5D5D60"/>
              </w:rPr>
              <w:t>,</w:t>
            </w:r>
            <w:r>
              <w:rPr>
                <w:rFonts w:ascii="Arial" w:cs="Arial" w:eastAsia="Arial" w:hAnsi="Arial"/>
                <w:sz w:val="10"/>
                <w:szCs w:val="10"/>
                <w:color w:val="464446"/>
              </w:rPr>
              <w:t>701</w:t>
            </w:r>
          </w:p>
        </w:tc>
        <w:tc>
          <w:tcPr>
            <w:tcW w:w="720" w:type="dxa"/>
            <w:vAlign w:val="bottom"/>
          </w:tcPr>
          <w:p>
            <w:pPr>
              <w:spacing w:after="0"/>
              <w:rPr>
                <w:sz w:val="6"/>
                <w:szCs w:val="6"/>
                <w:color w:val="auto"/>
              </w:rPr>
            </w:pPr>
          </w:p>
        </w:tc>
        <w:tc>
          <w:tcPr>
            <w:tcW w:w="540" w:type="dxa"/>
            <w:vAlign w:val="bottom"/>
            <w:vMerge w:val="restart"/>
          </w:tcPr>
          <w:p>
            <w:pPr>
              <w:ind w:left="280"/>
              <w:spacing w:after="0"/>
              <w:rPr>
                <w:sz w:val="20"/>
                <w:szCs w:val="20"/>
                <w:color w:val="auto"/>
              </w:rPr>
            </w:pPr>
            <w:r>
              <w:rPr>
                <w:rFonts w:ascii="Arial" w:cs="Arial" w:eastAsia="Arial" w:hAnsi="Arial"/>
                <w:sz w:val="10"/>
                <w:szCs w:val="10"/>
                <w:color w:val="464446"/>
                <w:w w:val="95"/>
              </w:rPr>
              <w:t>7</w:t>
            </w:r>
            <w:r>
              <w:rPr>
                <w:rFonts w:ascii="Arial" w:cs="Arial" w:eastAsia="Arial" w:hAnsi="Arial"/>
                <w:sz w:val="10"/>
                <w:szCs w:val="10"/>
                <w:color w:val="757775"/>
                <w:w w:val="95"/>
              </w:rPr>
              <w:t>,</w:t>
            </w:r>
            <w:r>
              <w:rPr>
                <w:rFonts w:ascii="Arial" w:cs="Arial" w:eastAsia="Arial" w:hAnsi="Arial"/>
                <w:sz w:val="10"/>
                <w:szCs w:val="10"/>
                <w:color w:val="464446"/>
                <w:w w:val="95"/>
              </w:rPr>
              <w:t>672</w:t>
            </w: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2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Arial" w:cs="Arial" w:eastAsia="Arial" w:hAnsi="Arial"/>
                <w:sz w:val="10"/>
                <w:szCs w:val="10"/>
                <w:color w:val="313133"/>
              </w:rPr>
              <w:t xml:space="preserve">Increa </w:t>
            </w:r>
            <w:r>
              <w:rPr>
                <w:rFonts w:ascii="Arial" w:cs="Arial" w:eastAsia="Arial" w:hAnsi="Arial"/>
                <w:sz w:val="10"/>
                <w:szCs w:val="10"/>
                <w:color w:val="5D5D60"/>
              </w:rPr>
              <w:t>se</w:t>
            </w:r>
            <w:r>
              <w:rPr>
                <w:rFonts w:ascii="Arial" w:cs="Arial" w:eastAsia="Arial" w:hAnsi="Arial"/>
                <w:sz w:val="10"/>
                <w:szCs w:val="10"/>
                <w:color w:val="313133"/>
              </w:rPr>
              <w:t xml:space="preserve"> </w:t>
            </w:r>
            <w:r>
              <w:rPr>
                <w:rFonts w:ascii="Arial" w:cs="Arial" w:eastAsia="Arial" w:hAnsi="Arial"/>
                <w:sz w:val="10"/>
                <w:szCs w:val="10"/>
                <w:color w:val="464446"/>
              </w:rPr>
              <w:t>i</w:t>
            </w:r>
            <w:r>
              <w:rPr>
                <w:rFonts w:ascii="Arial" w:cs="Arial" w:eastAsia="Arial" w:hAnsi="Arial"/>
                <w:sz w:val="10"/>
                <w:szCs w:val="10"/>
                <w:color w:val="5D5D60"/>
              </w:rPr>
              <w:t>s</w:t>
            </w:r>
            <w:r>
              <w:rPr>
                <w:rFonts w:ascii="Arial" w:cs="Arial" w:eastAsia="Arial" w:hAnsi="Arial"/>
                <w:sz w:val="10"/>
                <w:szCs w:val="10"/>
                <w:color w:val="313133"/>
              </w:rPr>
              <w:t xml:space="preserve"> </w:t>
            </w:r>
            <w:r>
              <w:rPr>
                <w:rFonts w:ascii="Arial" w:cs="Arial" w:eastAsia="Arial" w:hAnsi="Arial"/>
                <w:sz w:val="10"/>
                <w:szCs w:val="10"/>
                <w:color w:val="1F1F23"/>
              </w:rPr>
              <w:t>l</w:t>
            </w:r>
            <w:r>
              <w:rPr>
                <w:rFonts w:ascii="Arial" w:cs="Arial" w:eastAsia="Arial" w:hAnsi="Arial"/>
                <w:sz w:val="10"/>
                <w:szCs w:val="10"/>
                <w:color w:val="464446"/>
              </w:rPr>
              <w:t>e</w:t>
            </w:r>
            <w:r>
              <w:rPr>
                <w:rFonts w:ascii="Arial" w:cs="Arial" w:eastAsia="Arial" w:hAnsi="Arial"/>
                <w:sz w:val="10"/>
                <w:szCs w:val="10"/>
                <w:color w:val="5D5D60"/>
              </w:rPr>
              <w:t>ss</w:t>
            </w:r>
            <w:r>
              <w:rPr>
                <w:rFonts w:ascii="Arial" w:cs="Arial" w:eastAsia="Arial" w:hAnsi="Arial"/>
                <w:sz w:val="10"/>
                <w:szCs w:val="10"/>
                <w:color w:val="313133"/>
              </w:rPr>
              <w:t xml:space="preserve"> than th</w:t>
            </w:r>
            <w:r>
              <w:rPr>
                <w:rFonts w:ascii="Arial" w:cs="Arial" w:eastAsia="Arial" w:hAnsi="Arial"/>
                <w:sz w:val="10"/>
                <w:szCs w:val="10"/>
                <w:color w:val="5D5D60"/>
              </w:rPr>
              <w:t>e</w:t>
            </w:r>
            <w:r>
              <w:rPr>
                <w:rFonts w:ascii="Arial" w:cs="Arial" w:eastAsia="Arial" w:hAnsi="Arial"/>
                <w:sz w:val="10"/>
                <w:szCs w:val="10"/>
                <w:color w:val="313133"/>
              </w:rPr>
              <w:t xml:space="preserve"> </w:t>
            </w:r>
            <w:r>
              <w:rPr>
                <w:rFonts w:ascii="Arial" w:cs="Arial" w:eastAsia="Arial" w:hAnsi="Arial"/>
                <w:sz w:val="10"/>
                <w:szCs w:val="10"/>
                <w:color w:val="5D5D60"/>
              </w:rPr>
              <w:t>1</w:t>
            </w:r>
            <w:r>
              <w:rPr>
                <w:rFonts w:ascii="Arial" w:cs="Arial" w:eastAsia="Arial" w:hAnsi="Arial"/>
                <w:sz w:val="10"/>
                <w:szCs w:val="10"/>
                <w:color w:val="464446"/>
              </w:rPr>
              <w:t>0%</w:t>
            </w:r>
            <w:r>
              <w:rPr>
                <w:rFonts w:ascii="Arial" w:cs="Arial" w:eastAsia="Arial" w:hAnsi="Arial"/>
                <w:sz w:val="10"/>
                <w:szCs w:val="10"/>
                <w:color w:val="313133"/>
              </w:rPr>
              <w:t xml:space="preserve"> Thresho</w:t>
            </w:r>
            <w:r>
              <w:rPr>
                <w:rFonts w:ascii="Arial" w:cs="Arial" w:eastAsia="Arial" w:hAnsi="Arial"/>
                <w:sz w:val="10"/>
                <w:szCs w:val="10"/>
                <w:color w:val="5D5D60"/>
              </w:rPr>
              <w:t>l</w:t>
            </w:r>
            <w:r>
              <w:rPr>
                <w:rFonts w:ascii="Arial" w:cs="Arial" w:eastAsia="Arial" w:hAnsi="Arial"/>
                <w:sz w:val="10"/>
                <w:szCs w:val="10"/>
                <w:color w:val="464446"/>
              </w:rPr>
              <w:t>d</w:t>
            </w:r>
            <w:r>
              <w:rPr>
                <w:rFonts w:ascii="Arial" w:cs="Arial" w:eastAsia="Arial" w:hAnsi="Arial"/>
                <w:sz w:val="10"/>
                <w:szCs w:val="10"/>
                <w:color w:val="5D5D60"/>
              </w:rPr>
              <w:t>,</w:t>
            </w:r>
            <w:r>
              <w:rPr>
                <w:rFonts w:ascii="Arial" w:cs="Arial" w:eastAsia="Arial" w:hAnsi="Arial"/>
                <w:sz w:val="10"/>
                <w:szCs w:val="10"/>
                <w:color w:val="313133"/>
              </w:rPr>
              <w:t xml:space="preserve"> </w:t>
            </w:r>
            <w:r>
              <w:rPr>
                <w:rFonts w:ascii="Arial" w:cs="Arial" w:eastAsia="Arial" w:hAnsi="Arial"/>
                <w:sz w:val="10"/>
                <w:szCs w:val="10"/>
                <w:color w:val="464446"/>
              </w:rPr>
              <w:t>so Bay</w:t>
            </w:r>
            <w:r>
              <w:rPr>
                <w:rFonts w:ascii="Arial" w:cs="Arial" w:eastAsia="Arial" w:hAnsi="Arial"/>
                <w:sz w:val="10"/>
                <w:szCs w:val="10"/>
                <w:color w:val="5D5D60"/>
              </w:rPr>
              <w:t>e</w:t>
            </w:r>
            <w:r>
              <w:rPr>
                <w:rFonts w:ascii="Arial" w:cs="Arial" w:eastAsia="Arial" w:hAnsi="Arial"/>
                <w:sz w:val="10"/>
                <w:szCs w:val="10"/>
                <w:color w:val="1F1F23"/>
              </w:rPr>
              <w:t>r</w:t>
            </w:r>
            <w:r>
              <w:rPr>
                <w:rFonts w:ascii="Arial" w:cs="Arial" w:eastAsia="Arial" w:hAnsi="Arial"/>
                <w:sz w:val="10"/>
                <w:szCs w:val="10"/>
                <w:color w:val="313133"/>
              </w:rPr>
              <w:t xml:space="preserve"> </w:t>
            </w:r>
            <w:r>
              <w:rPr>
                <w:rFonts w:ascii="Arial" w:cs="Arial" w:eastAsia="Arial" w:hAnsi="Arial"/>
                <w:sz w:val="10"/>
                <w:szCs w:val="10"/>
                <w:color w:val="464446"/>
              </w:rPr>
              <w:t>absorbs</w:t>
            </w:r>
            <w:r>
              <w:rPr>
                <w:rFonts w:ascii="Arial" w:cs="Arial" w:eastAsia="Arial" w:hAnsi="Arial"/>
                <w:sz w:val="10"/>
                <w:szCs w:val="10"/>
                <w:color w:val="313133"/>
              </w:rPr>
              <w:t xml:space="preserve"> 100</w:t>
            </w:r>
            <w:r>
              <w:rPr>
                <w:rFonts w:ascii="Arial" w:cs="Arial" w:eastAsia="Arial" w:hAnsi="Arial"/>
                <w:sz w:val="10"/>
                <w:szCs w:val="10"/>
                <w:color w:val="5D5D60"/>
              </w:rPr>
              <w:t>%</w:t>
            </w:r>
            <w:r>
              <w:rPr>
                <w:rFonts w:ascii="Arial" w:cs="Arial" w:eastAsia="Arial" w:hAnsi="Arial"/>
                <w:sz w:val="10"/>
                <w:szCs w:val="10"/>
                <w:color w:val="313133"/>
              </w:rPr>
              <w:t xml:space="preserve"> </w:t>
            </w:r>
            <w:r>
              <w:rPr>
                <w:rFonts w:ascii="Arial" w:cs="Arial" w:eastAsia="Arial" w:hAnsi="Arial"/>
                <w:sz w:val="10"/>
                <w:szCs w:val="10"/>
                <w:color w:val="464446"/>
              </w:rPr>
              <w:t>of</w:t>
            </w:r>
            <w:r>
              <w:rPr>
                <w:rFonts w:ascii="Arial" w:cs="Arial" w:eastAsia="Arial" w:hAnsi="Arial"/>
                <w:sz w:val="10"/>
                <w:szCs w:val="10"/>
                <w:color w:val="313133"/>
              </w:rPr>
              <w:t xml:space="preserve"> th</w:t>
            </w:r>
            <w:r>
              <w:rPr>
                <w:rFonts w:ascii="Arial" w:cs="Arial" w:eastAsia="Arial" w:hAnsi="Arial"/>
                <w:sz w:val="10"/>
                <w:szCs w:val="10"/>
                <w:color w:val="5D5D60"/>
              </w:rPr>
              <w:t>e</w:t>
            </w:r>
            <w:r>
              <w:rPr>
                <w:rFonts w:ascii="Arial" w:cs="Arial" w:eastAsia="Arial" w:hAnsi="Arial"/>
                <w:sz w:val="10"/>
                <w:szCs w:val="10"/>
                <w:color w:val="313133"/>
              </w:rPr>
              <w:t xml:space="preserve"> </w:t>
            </w:r>
            <w:r>
              <w:rPr>
                <w:rFonts w:ascii="Arial" w:cs="Arial" w:eastAsia="Arial" w:hAnsi="Arial"/>
                <w:sz w:val="10"/>
                <w:szCs w:val="10"/>
                <w:color w:val="464446"/>
              </w:rPr>
              <w:t>co</w:t>
            </w:r>
            <w:r>
              <w:rPr>
                <w:rFonts w:ascii="Arial" w:cs="Arial" w:eastAsia="Arial" w:hAnsi="Arial"/>
                <w:sz w:val="10"/>
                <w:szCs w:val="10"/>
                <w:color w:val="5D5D60"/>
              </w:rPr>
              <w:t>s</w:t>
            </w:r>
            <w:r>
              <w:rPr>
                <w:rFonts w:ascii="Arial" w:cs="Arial" w:eastAsia="Arial" w:hAnsi="Arial"/>
                <w:sz w:val="10"/>
                <w:szCs w:val="10"/>
                <w:color w:val="313133"/>
              </w:rPr>
              <w:t>t</w:t>
            </w:r>
          </w:p>
        </w:tc>
        <w:tc>
          <w:tcPr>
            <w:tcW w:w="0" w:type="dxa"/>
            <w:vAlign w:val="bottom"/>
          </w:tcPr>
          <w:p>
            <w:pPr>
              <w:spacing w:after="0"/>
              <w:rPr>
                <w:sz w:val="1"/>
                <w:szCs w:val="1"/>
                <w:color w:val="auto"/>
              </w:rPr>
            </w:pPr>
          </w:p>
        </w:tc>
      </w:tr>
      <w:tr>
        <w:trPr>
          <w:trHeight w:val="117"/>
        </w:trPr>
        <w:tc>
          <w:tcPr>
            <w:tcW w:w="2220" w:type="dxa"/>
            <w:vAlign w:val="bottom"/>
            <w:gridSpan w:val="2"/>
          </w:tcPr>
          <w:p>
            <w:pPr>
              <w:ind w:left="120"/>
              <w:spacing w:after="0"/>
              <w:rPr>
                <w:sz w:val="20"/>
                <w:szCs w:val="20"/>
                <w:color w:val="auto"/>
              </w:rPr>
            </w:pPr>
            <w:r>
              <w:rPr>
                <w:rFonts w:ascii="Arial" w:cs="Arial" w:eastAsia="Arial" w:hAnsi="Arial"/>
                <w:sz w:val="10"/>
                <w:szCs w:val="10"/>
                <w:color w:val="1F1F23"/>
              </w:rPr>
              <w:t>T</w:t>
            </w:r>
            <w:r>
              <w:rPr>
                <w:rFonts w:ascii="Arial" w:cs="Arial" w:eastAsia="Arial" w:hAnsi="Arial"/>
                <w:sz w:val="10"/>
                <w:szCs w:val="10"/>
                <w:color w:val="464446"/>
              </w:rPr>
              <w:t>ota</w:t>
            </w:r>
            <w:r>
              <w:rPr>
                <w:rFonts w:ascii="Arial" w:cs="Arial" w:eastAsia="Arial" w:hAnsi="Arial"/>
                <w:sz w:val="10"/>
                <w:szCs w:val="10"/>
                <w:color w:val="5D5D60"/>
              </w:rPr>
              <w:t>l</w:t>
            </w:r>
            <w:r>
              <w:rPr>
                <w:rFonts w:ascii="Arial" w:cs="Arial" w:eastAsia="Arial" w:hAnsi="Arial"/>
                <w:sz w:val="10"/>
                <w:szCs w:val="10"/>
                <w:color w:val="1F1F23"/>
              </w:rPr>
              <w:t xml:space="preserve"> </w:t>
            </w:r>
            <w:r>
              <w:rPr>
                <w:rFonts w:ascii="Arial" w:cs="Arial" w:eastAsia="Arial" w:hAnsi="Arial"/>
                <w:sz w:val="10"/>
                <w:szCs w:val="10"/>
                <w:color w:val="313133"/>
              </w:rPr>
              <w:t>(O f</w:t>
            </w:r>
            <w:r>
              <w:rPr>
                <w:rFonts w:ascii="Arial" w:cs="Arial" w:eastAsia="Arial" w:hAnsi="Arial"/>
                <w:sz w:val="10"/>
                <w:szCs w:val="10"/>
                <w:color w:val="5D5D60"/>
              </w:rPr>
              <w:t>f</w:t>
            </w:r>
            <w:r>
              <w:rPr>
                <w:rFonts w:ascii="Arial" w:cs="Arial" w:eastAsia="Arial" w:hAnsi="Arial"/>
                <w:sz w:val="10"/>
                <w:szCs w:val="10"/>
                <w:color w:val="1F1F23"/>
              </w:rPr>
              <w:t>i</w:t>
            </w:r>
            <w:r>
              <w:rPr>
                <w:rFonts w:ascii="Arial" w:cs="Arial" w:eastAsia="Arial" w:hAnsi="Arial"/>
                <w:sz w:val="10"/>
                <w:szCs w:val="10"/>
                <w:color w:val="464446"/>
              </w:rPr>
              <w:t>ce)</w:t>
            </w:r>
            <w:r>
              <w:rPr>
                <w:rFonts w:ascii="Arial" w:cs="Arial" w:eastAsia="Arial" w:hAnsi="Arial"/>
                <w:sz w:val="10"/>
                <w:szCs w:val="10"/>
                <w:color w:val="1F1F23"/>
              </w:rPr>
              <w:t xml:space="preserve"> </w:t>
            </w:r>
            <w:r>
              <w:rPr>
                <w:rFonts w:ascii="Arial" w:cs="Arial" w:eastAsia="Arial" w:hAnsi="Arial"/>
                <w:sz w:val="10"/>
                <w:szCs w:val="10"/>
                <w:color w:val="313133"/>
              </w:rPr>
              <w:t>Bu</w:t>
            </w:r>
            <w:r>
              <w:rPr>
                <w:rFonts w:ascii="Arial" w:cs="Arial" w:eastAsia="Arial" w:hAnsi="Arial"/>
                <w:sz w:val="10"/>
                <w:szCs w:val="10"/>
                <w:color w:val="5D5D60"/>
              </w:rPr>
              <w:t>i</w:t>
            </w:r>
            <w:r>
              <w:rPr>
                <w:rFonts w:ascii="Arial" w:cs="Arial" w:eastAsia="Arial" w:hAnsi="Arial"/>
                <w:sz w:val="10"/>
                <w:szCs w:val="10"/>
                <w:color w:val="1F1F23"/>
              </w:rPr>
              <w:t xml:space="preserve"> ld</w:t>
            </w:r>
            <w:r>
              <w:rPr>
                <w:rFonts w:ascii="Arial" w:cs="Arial" w:eastAsia="Arial" w:hAnsi="Arial"/>
                <w:sz w:val="10"/>
                <w:szCs w:val="10"/>
                <w:color w:val="5D5D60"/>
              </w:rPr>
              <w:t>i</w:t>
            </w:r>
            <w:r>
              <w:rPr>
                <w:rFonts w:ascii="Arial" w:cs="Arial" w:eastAsia="Arial" w:hAnsi="Arial"/>
                <w:sz w:val="10"/>
                <w:szCs w:val="10"/>
                <w:color w:val="464446"/>
              </w:rPr>
              <w:t>ng Operat</w:t>
            </w:r>
            <w:r>
              <w:rPr>
                <w:rFonts w:ascii="Arial" w:cs="Arial" w:eastAsia="Arial" w:hAnsi="Arial"/>
                <w:sz w:val="10"/>
                <w:szCs w:val="10"/>
                <w:color w:val="1F1F23"/>
              </w:rPr>
              <w:t xml:space="preserve"> </w:t>
            </w:r>
            <w:r>
              <w:rPr>
                <w:rFonts w:ascii="Arial" w:cs="Arial" w:eastAsia="Arial" w:hAnsi="Arial"/>
                <w:sz w:val="10"/>
                <w:szCs w:val="10"/>
                <w:color w:val="5D5D60"/>
              </w:rPr>
              <w:t>i</w:t>
            </w:r>
            <w:r>
              <w:rPr>
                <w:rFonts w:ascii="Arial" w:cs="Arial" w:eastAsia="Arial" w:hAnsi="Arial"/>
                <w:sz w:val="10"/>
                <w:szCs w:val="10"/>
                <w:color w:val="1F1F23"/>
              </w:rPr>
              <w:t xml:space="preserve"> </w:t>
            </w:r>
            <w:r>
              <w:rPr>
                <w:rFonts w:ascii="Arial" w:cs="Arial" w:eastAsia="Arial" w:hAnsi="Arial"/>
                <w:sz w:val="10"/>
                <w:szCs w:val="10"/>
                <w:color w:val="313133"/>
              </w:rPr>
              <w:t>ng</w:t>
            </w:r>
            <w:r>
              <w:rPr>
                <w:rFonts w:ascii="Arial" w:cs="Arial" w:eastAsia="Arial" w:hAnsi="Arial"/>
                <w:sz w:val="10"/>
                <w:szCs w:val="10"/>
                <w:color w:val="1F1F23"/>
              </w:rPr>
              <w:t xml:space="preserve">    </w:t>
            </w:r>
            <w:r>
              <w:rPr>
                <w:rFonts w:ascii="Arial" w:cs="Arial" w:eastAsia="Arial" w:hAnsi="Arial"/>
                <w:sz w:val="10"/>
                <w:szCs w:val="10"/>
                <w:color w:val="5D5D60"/>
              </w:rPr>
              <w:t>1</w:t>
            </w:r>
          </w:p>
        </w:tc>
        <w:tc>
          <w:tcPr>
            <w:tcW w:w="580" w:type="dxa"/>
            <w:vAlign w:val="bottom"/>
          </w:tcPr>
          <w:p>
            <w:pPr>
              <w:jc w:val="right"/>
              <w:ind w:right="9"/>
              <w:spacing w:after="0" w:line="117" w:lineRule="exact"/>
              <w:rPr>
                <w:sz w:val="20"/>
                <w:szCs w:val="20"/>
                <w:color w:val="auto"/>
              </w:rPr>
            </w:pPr>
            <w:r>
              <w:rPr>
                <w:rFonts w:ascii="Arial" w:cs="Arial" w:eastAsia="Arial" w:hAnsi="Arial"/>
                <w:sz w:val="12"/>
                <w:szCs w:val="12"/>
                <w:color w:val="464446"/>
              </w:rPr>
              <w:t xml:space="preserve">$ </w:t>
            </w:r>
            <w:r>
              <w:rPr>
                <w:rFonts w:ascii="Arial" w:cs="Arial" w:eastAsia="Arial" w:hAnsi="Arial"/>
                <w:sz w:val="9"/>
                <w:szCs w:val="9"/>
                <w:color w:val="5D5D60"/>
              </w:rPr>
              <w:t>1</w:t>
            </w:r>
          </w:p>
        </w:tc>
        <w:tc>
          <w:tcPr>
            <w:tcW w:w="300" w:type="dxa"/>
            <w:vAlign w:val="bottom"/>
          </w:tcPr>
          <w:p>
            <w:pPr>
              <w:ind w:left="60"/>
              <w:spacing w:after="0" w:line="117" w:lineRule="exact"/>
              <w:rPr>
                <w:sz w:val="20"/>
                <w:szCs w:val="20"/>
                <w:color w:val="auto"/>
              </w:rPr>
            </w:pPr>
            <w:r>
              <w:rPr>
                <w:rFonts w:ascii="Arial" w:cs="Arial" w:eastAsia="Arial" w:hAnsi="Arial"/>
                <w:sz w:val="12"/>
                <w:szCs w:val="12"/>
                <w:color w:val="464446"/>
              </w:rPr>
              <w:t>$</w:t>
            </w:r>
          </w:p>
        </w:tc>
        <w:tc>
          <w:tcPr>
            <w:tcW w:w="360" w:type="dxa"/>
            <w:vAlign w:val="bottom"/>
          </w:tcPr>
          <w:p>
            <w:pPr>
              <w:ind w:left="40"/>
              <w:spacing w:after="0"/>
              <w:rPr>
                <w:sz w:val="20"/>
                <w:szCs w:val="20"/>
                <w:color w:val="auto"/>
              </w:rPr>
            </w:pPr>
            <w:r>
              <w:rPr>
                <w:rFonts w:ascii="Arial" w:cs="Arial" w:eastAsia="Arial" w:hAnsi="Arial"/>
                <w:sz w:val="10"/>
                <w:szCs w:val="10"/>
                <w:color w:val="464446"/>
              </w:rPr>
              <w:t>79,70</w:t>
            </w:r>
          </w:p>
        </w:tc>
        <w:tc>
          <w:tcPr>
            <w:tcW w:w="720" w:type="dxa"/>
            <w:vAlign w:val="bottom"/>
          </w:tcPr>
          <w:p>
            <w:pPr>
              <w:jc w:val="center"/>
              <w:ind w:right="43"/>
              <w:spacing w:after="0"/>
              <w:rPr>
                <w:sz w:val="20"/>
                <w:szCs w:val="20"/>
                <w:color w:val="auto"/>
              </w:rPr>
            </w:pPr>
            <w:r>
              <w:rPr>
                <w:rFonts w:ascii="Arial" w:cs="Arial" w:eastAsia="Arial" w:hAnsi="Arial"/>
                <w:sz w:val="10"/>
                <w:szCs w:val="10"/>
                <w:color w:val="464446"/>
                <w:w w:val="96"/>
              </w:rPr>
              <w:t>6</w:t>
            </w:r>
            <w:r>
              <w:rPr>
                <w:rFonts w:ascii="Arial" w:cs="Arial" w:eastAsia="Arial" w:hAnsi="Arial"/>
                <w:sz w:val="10"/>
                <w:szCs w:val="10"/>
                <w:color w:val="5D5D60"/>
                <w:w w:val="96"/>
              </w:rPr>
              <w:t>%</w:t>
            </w:r>
          </w:p>
        </w:tc>
        <w:tc>
          <w:tcPr>
            <w:tcW w:w="540" w:type="dxa"/>
            <w:vAlign w:val="bottom"/>
          </w:tcPr>
          <w:p>
            <w:pPr>
              <w:spacing w:after="0"/>
              <w:rPr>
                <w:sz w:val="10"/>
                <w:szCs w:val="10"/>
                <w:color w:val="auto"/>
              </w:rPr>
            </w:pPr>
          </w:p>
        </w:tc>
        <w:tc>
          <w:tcPr>
            <w:tcW w:w="220" w:type="dxa"/>
            <w:vAlign w:val="bottom"/>
          </w:tcPr>
          <w:p>
            <w:pPr>
              <w:jc w:val="right"/>
              <w:ind w:right="10"/>
              <w:spacing w:after="0"/>
              <w:rPr>
                <w:sz w:val="20"/>
                <w:szCs w:val="20"/>
                <w:color w:val="auto"/>
              </w:rPr>
            </w:pPr>
            <w:r>
              <w:rPr>
                <w:rFonts w:ascii="Arial" w:cs="Arial" w:eastAsia="Arial" w:hAnsi="Arial"/>
                <w:sz w:val="10"/>
                <w:szCs w:val="10"/>
                <w:color w:val="313133"/>
              </w:rPr>
              <w:t xml:space="preserve">0 </w:t>
            </w:r>
            <w:r>
              <w:rPr>
                <w:rFonts w:ascii="Arial" w:cs="Arial" w:eastAsia="Arial" w:hAnsi="Arial"/>
                <w:sz w:val="10"/>
                <w:szCs w:val="10"/>
                <w:color w:val="464446"/>
              </w:rPr>
              <w:t>$</w:t>
            </w:r>
          </w:p>
        </w:tc>
        <w:tc>
          <w:tcPr>
            <w:tcW w:w="440" w:type="dxa"/>
            <w:vAlign w:val="bottom"/>
          </w:tcPr>
          <w:p>
            <w:pPr>
              <w:jc w:val="right"/>
              <w:spacing w:after="0"/>
              <w:rPr>
                <w:sz w:val="20"/>
                <w:szCs w:val="20"/>
                <w:color w:val="auto"/>
              </w:rPr>
            </w:pPr>
            <w:r>
              <w:rPr>
                <w:rFonts w:ascii="Arial" w:cs="Arial" w:eastAsia="Arial" w:hAnsi="Arial"/>
                <w:sz w:val="10"/>
                <w:szCs w:val="10"/>
                <w:color w:val="5D5D60"/>
              </w:rPr>
              <w:t>7</w:t>
            </w:r>
            <w:r>
              <w:rPr>
                <w:rFonts w:ascii="Arial" w:cs="Arial" w:eastAsia="Arial" w:hAnsi="Arial"/>
                <w:sz w:val="10"/>
                <w:szCs w:val="10"/>
                <w:color w:val="464446"/>
              </w:rPr>
              <w:t>9,701</w:t>
            </w:r>
          </w:p>
        </w:tc>
        <w:tc>
          <w:tcPr>
            <w:tcW w:w="280" w:type="dxa"/>
            <w:vAlign w:val="bottom"/>
          </w:tcPr>
          <w:p>
            <w:pPr>
              <w:jc w:val="right"/>
              <w:ind w:right="70"/>
              <w:spacing w:after="0"/>
              <w:rPr>
                <w:sz w:val="20"/>
                <w:szCs w:val="20"/>
                <w:color w:val="auto"/>
              </w:rPr>
            </w:pPr>
            <w:r>
              <w:rPr>
                <w:rFonts w:ascii="Arial" w:cs="Arial" w:eastAsia="Arial" w:hAnsi="Arial"/>
                <w:sz w:val="10"/>
                <w:szCs w:val="10"/>
                <w:color w:val="464446"/>
              </w:rPr>
              <w:t>$</w:t>
            </w:r>
          </w:p>
        </w:tc>
        <w:tc>
          <w:tcPr>
            <w:tcW w:w="4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60" w:type="dxa"/>
            <w:vAlign w:val="bottom"/>
          </w:tcPr>
          <w:p>
            <w:pPr>
              <w:ind w:left="120"/>
              <w:spacing w:after="0"/>
              <w:rPr>
                <w:sz w:val="20"/>
                <w:szCs w:val="20"/>
                <w:color w:val="auto"/>
              </w:rPr>
            </w:pPr>
            <w:r>
              <w:rPr>
                <w:rFonts w:ascii="Arial" w:cs="Arial" w:eastAsia="Arial" w:hAnsi="Arial"/>
                <w:sz w:val="10"/>
                <w:szCs w:val="10"/>
                <w:color w:val="313133"/>
              </w:rPr>
              <w:t xml:space="preserve">Exp </w:t>
            </w:r>
            <w:r>
              <w:rPr>
                <w:rFonts w:ascii="Arial" w:cs="Arial" w:eastAsia="Arial" w:hAnsi="Arial"/>
                <w:sz w:val="10"/>
                <w:szCs w:val="10"/>
                <w:color w:val="464446"/>
              </w:rPr>
              <w:t>$</w:t>
            </w:r>
          </w:p>
        </w:tc>
        <w:tc>
          <w:tcPr>
            <w:tcW w:w="960" w:type="dxa"/>
            <w:vAlign w:val="bottom"/>
          </w:tcPr>
          <w:p>
            <w:pPr>
              <w:jc w:val="right"/>
              <w:spacing w:after="0"/>
              <w:rPr>
                <w:sz w:val="20"/>
                <w:szCs w:val="20"/>
                <w:color w:val="auto"/>
              </w:rPr>
            </w:pPr>
            <w:r>
              <w:rPr>
                <w:rFonts w:ascii="Arial" w:cs="Arial" w:eastAsia="Arial" w:hAnsi="Arial"/>
                <w:sz w:val="10"/>
                <w:szCs w:val="10"/>
                <w:color w:val="464446"/>
              </w:rPr>
              <w:t>,</w:t>
            </w:r>
            <w:r>
              <w:rPr>
                <w:rFonts w:ascii="Arial" w:cs="Arial" w:eastAsia="Arial" w:hAnsi="Arial"/>
                <w:sz w:val="10"/>
                <w:szCs w:val="10"/>
                <w:color w:val="5D5D60"/>
              </w:rPr>
              <w:t>32</w:t>
            </w:r>
            <w:r>
              <w:rPr>
                <w:rFonts w:ascii="Arial" w:cs="Arial" w:eastAsia="Arial" w:hAnsi="Arial"/>
                <w:sz w:val="10"/>
                <w:szCs w:val="10"/>
                <w:color w:val="464446"/>
              </w:rPr>
              <w:t>0,</w:t>
            </w:r>
            <w:r>
              <w:rPr>
                <w:rFonts w:ascii="Arial" w:cs="Arial" w:eastAsia="Arial" w:hAnsi="Arial"/>
                <w:sz w:val="10"/>
                <w:szCs w:val="10"/>
                <w:color w:val="5D5D60"/>
              </w:rPr>
              <w:t>2</w:t>
            </w:r>
            <w:r>
              <w:rPr>
                <w:rFonts w:ascii="Arial" w:cs="Arial" w:eastAsia="Arial" w:hAnsi="Arial"/>
                <w:sz w:val="10"/>
                <w:szCs w:val="10"/>
                <w:color w:val="464446"/>
              </w:rPr>
              <w:t>99</w:t>
            </w:r>
          </w:p>
        </w:tc>
        <w:tc>
          <w:tcPr>
            <w:tcW w:w="580" w:type="dxa"/>
            <w:vAlign w:val="bottom"/>
          </w:tcPr>
          <w:p>
            <w:pPr>
              <w:jc w:val="right"/>
              <w:ind w:right="9"/>
              <w:spacing w:after="0"/>
              <w:rPr>
                <w:sz w:val="20"/>
                <w:szCs w:val="20"/>
                <w:color w:val="auto"/>
              </w:rPr>
            </w:pPr>
            <w:r>
              <w:rPr>
                <w:rFonts w:ascii="Arial" w:cs="Arial" w:eastAsia="Arial" w:hAnsi="Arial"/>
                <w:sz w:val="10"/>
                <w:szCs w:val="10"/>
                <w:color w:val="464446"/>
              </w:rPr>
              <w:t>,400,000</w:t>
            </w:r>
          </w:p>
        </w:tc>
        <w:tc>
          <w:tcPr>
            <w:tcW w:w="300" w:type="dxa"/>
            <w:vAlign w:val="bottom"/>
          </w:tcPr>
          <w:p>
            <w:pPr>
              <w:spacing w:after="0"/>
              <w:rPr>
                <w:sz w:val="12"/>
                <w:szCs w:val="12"/>
                <w:color w:val="auto"/>
              </w:rPr>
            </w:pPr>
          </w:p>
        </w:tc>
        <w:tc>
          <w:tcPr>
            <w:tcW w:w="360" w:type="dxa"/>
            <w:vAlign w:val="bottom"/>
          </w:tcPr>
          <w:p>
            <w:pPr>
              <w:ind w:left="40"/>
              <w:spacing w:after="0"/>
              <w:rPr>
                <w:sz w:val="20"/>
                <w:szCs w:val="20"/>
                <w:color w:val="auto"/>
              </w:rPr>
            </w:pPr>
            <w:r>
              <w:rPr>
                <w:rFonts w:ascii="Arial" w:cs="Arial" w:eastAsia="Arial" w:hAnsi="Arial"/>
                <w:sz w:val="10"/>
                <w:szCs w:val="10"/>
                <w:color w:val="5D5D60"/>
              </w:rPr>
              <w:t>1</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G</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Landlord’s Rules</w:t>
      </w:r>
    </w:p>
    <w:p>
      <w:pPr>
        <w:spacing w:after="0" w:line="247" w:lineRule="exact"/>
        <w:rPr>
          <w:sz w:val="20"/>
          <w:szCs w:val="20"/>
          <w:color w:val="auto"/>
        </w:rPr>
      </w:pPr>
    </w:p>
    <w:p>
      <w:pPr>
        <w:ind w:left="280" w:right="220" w:firstLine="589"/>
        <w:spacing w:after="0" w:line="276" w:lineRule="auto"/>
        <w:tabs>
          <w:tab w:leader="none" w:pos="117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sidewalks, entrances, passages, courts, elevators, vestibules, stairways, corridors or halls shall not be obstructed or used for any purpose other than ingress and egress. Landlord shall control the Common Areas.</w:t>
      </w:r>
    </w:p>
    <w:p>
      <w:pPr>
        <w:spacing w:after="0" w:line="173" w:lineRule="exact"/>
        <w:rPr>
          <w:rFonts w:ascii="Arial" w:cs="Arial" w:eastAsia="Arial" w:hAnsi="Arial"/>
          <w:sz w:val="17"/>
          <w:szCs w:val="17"/>
          <w:color w:val="auto"/>
        </w:rPr>
      </w:pPr>
    </w:p>
    <w:p>
      <w:pPr>
        <w:ind w:left="1160" w:hanging="291"/>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7"/>
          <w:szCs w:val="17"/>
          <w:color w:val="auto"/>
        </w:rPr>
        <w:t>No awnings or other projections shall be attached to the outside walls of the Building without Landlord’s prior written approval.</w:t>
      </w:r>
    </w:p>
    <w:p>
      <w:pPr>
        <w:spacing w:after="0" w:line="254" w:lineRule="exact"/>
        <w:rPr>
          <w:rFonts w:ascii="Arial" w:cs="Arial" w:eastAsia="Arial" w:hAnsi="Arial"/>
          <w:sz w:val="16"/>
          <w:szCs w:val="16"/>
          <w:color w:val="auto"/>
        </w:rPr>
      </w:pPr>
    </w:p>
    <w:p>
      <w:pPr>
        <w:ind w:left="280" w:firstLine="589"/>
        <w:spacing w:after="0" w:line="256" w:lineRule="auto"/>
        <w:tabs>
          <w:tab w:leader="none" w:pos="1170" w:val="left"/>
        </w:tabs>
        <w:numPr>
          <w:ilvl w:val="0"/>
          <w:numId w:val="76"/>
        </w:numPr>
        <w:rPr>
          <w:rFonts w:ascii="Arial" w:cs="Arial" w:eastAsia="Arial" w:hAnsi="Arial"/>
          <w:sz w:val="17"/>
          <w:szCs w:val="17"/>
          <w:color w:val="auto"/>
        </w:rPr>
      </w:pPr>
      <w:r>
        <w:rPr>
          <w:rFonts w:ascii="Arial" w:cs="Arial" w:eastAsia="Arial" w:hAnsi="Arial"/>
          <w:sz w:val="18"/>
          <w:szCs w:val="18"/>
          <w:color w:val="auto"/>
        </w:rPr>
        <w:t>No sign, advertisement, notice or handbill shall be exhibited, distributed, painted or affixed by any tenant on, about or from any part of the Premises, the Building or in the Common Areas including the parking area without the prior written consent of Landlord. In the event of the violation of the foregoing by any tenant, Landlord may remove or stop same without any liability, and may charge the expense incurred in such removal or stopping to tenant. Notwithstanding the foregoing, any signage</w:t>
      </w:r>
    </w:p>
    <w:p>
      <w:pPr>
        <w:sectPr>
          <w:pgSz w:w="11900" w:h="16838" w:orient="portrait"/>
          <w:cols w:equalWidth="0" w:num="1">
            <w:col w:w="11040"/>
          </w:cols>
          <w:pgMar w:left="300" w:top="361" w:right="5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permitted by Landlord pursuant to Section 9.05 of the Lease shall be considered consented to by Landlord for purposes of this Rule.</w:t>
      </w:r>
    </w:p>
    <w:p>
      <w:pPr>
        <w:spacing w:after="0" w:line="230" w:lineRule="exact"/>
        <w:rPr>
          <w:sz w:val="20"/>
          <w:szCs w:val="20"/>
          <w:color w:val="auto"/>
        </w:rPr>
      </w:pPr>
    </w:p>
    <w:p>
      <w:pPr>
        <w:jc w:val="both"/>
        <w:ind w:right="80" w:firstLine="589"/>
        <w:spacing w:after="0" w:line="309" w:lineRule="auto"/>
        <w:tabs>
          <w:tab w:leader="none" w:pos="890" w:val="left"/>
        </w:tabs>
        <w:numPr>
          <w:ilvl w:val="0"/>
          <w:numId w:val="77"/>
        </w:numPr>
        <w:rPr>
          <w:rFonts w:ascii="Arial" w:cs="Arial" w:eastAsia="Arial" w:hAnsi="Arial"/>
          <w:sz w:val="15"/>
          <w:szCs w:val="15"/>
          <w:color w:val="auto"/>
        </w:rPr>
      </w:pPr>
      <w:r>
        <w:rPr>
          <w:rFonts w:ascii="Arial" w:cs="Arial" w:eastAsia="Arial" w:hAnsi="Arial"/>
          <w:sz w:val="16"/>
          <w:szCs w:val="16"/>
          <w:color w:val="auto"/>
        </w:rPr>
        <w:t>The sinks and toilets and other plumbing fixtures shall not be used for any purpose other than those for which they were constructed, and no sweepings, rubbish, rags, or other substances shall be thrown therein. All damages resulting from any misuse of the fixtures shall be borne by the tenant who, or whose subtenants, assignees or any of their servants, employees, agents, visitors or licensees shall have caused the same.</w:t>
      </w:r>
    </w:p>
    <w:p>
      <w:pPr>
        <w:spacing w:after="0" w:line="164" w:lineRule="exact"/>
        <w:rPr>
          <w:rFonts w:ascii="Arial" w:cs="Arial" w:eastAsia="Arial" w:hAnsi="Arial"/>
          <w:sz w:val="15"/>
          <w:szCs w:val="15"/>
          <w:color w:val="auto"/>
        </w:rPr>
      </w:pPr>
    </w:p>
    <w:p>
      <w:pPr>
        <w:ind w:firstLine="589"/>
        <w:spacing w:after="0" w:line="284" w:lineRule="auto"/>
        <w:tabs>
          <w:tab w:leader="none" w:pos="890" w:val="left"/>
        </w:tabs>
        <w:numPr>
          <w:ilvl w:val="0"/>
          <w:numId w:val="77"/>
        </w:numPr>
        <w:rPr>
          <w:rFonts w:ascii="Arial" w:cs="Arial" w:eastAsia="Arial" w:hAnsi="Arial"/>
          <w:sz w:val="16"/>
          <w:szCs w:val="16"/>
          <w:color w:val="auto"/>
        </w:rPr>
      </w:pPr>
      <w:r>
        <w:rPr>
          <w:rFonts w:ascii="Arial" w:cs="Arial" w:eastAsia="Arial" w:hAnsi="Arial"/>
          <w:sz w:val="17"/>
          <w:szCs w:val="17"/>
          <w:color w:val="auto"/>
        </w:rPr>
        <w:t>No boring, cutting or stringing of wires or laying of any floor coverings shall be permitted, except with the prior written consent of the Landlord and as the Landlord may direct. Notwithstanding the foregoing, this Rule shall not restrict any of the foregoing activities that are required for the installation of the Initial Tenant Improvements approved by Landlord pursuant to Section 1.11 of the Lease.</w:t>
      </w:r>
    </w:p>
    <w:p>
      <w:pPr>
        <w:spacing w:after="0" w:line="168" w:lineRule="exact"/>
        <w:rPr>
          <w:rFonts w:ascii="Arial" w:cs="Arial" w:eastAsia="Arial" w:hAnsi="Arial"/>
          <w:sz w:val="16"/>
          <w:szCs w:val="16"/>
          <w:color w:val="auto"/>
        </w:rPr>
      </w:pPr>
    </w:p>
    <w:p>
      <w:pPr>
        <w:jc w:val="both"/>
        <w:ind w:right="120" w:firstLine="589"/>
        <w:spacing w:after="0" w:line="261" w:lineRule="auto"/>
        <w:tabs>
          <w:tab w:leader="none" w:pos="890" w:val="left"/>
        </w:tabs>
        <w:numPr>
          <w:ilvl w:val="0"/>
          <w:numId w:val="77"/>
        </w:numPr>
        <w:rPr>
          <w:rFonts w:ascii="Arial" w:cs="Arial" w:eastAsia="Arial" w:hAnsi="Arial"/>
          <w:sz w:val="17"/>
          <w:szCs w:val="17"/>
          <w:color w:val="auto"/>
        </w:rPr>
      </w:pPr>
      <w:r>
        <w:rPr>
          <w:rFonts w:ascii="Arial" w:cs="Arial" w:eastAsia="Arial" w:hAnsi="Arial"/>
          <w:sz w:val="18"/>
          <w:szCs w:val="18"/>
          <w:color w:val="auto"/>
        </w:rPr>
        <w:t>No vehicles, birds or animals of any kind (except service dogs) shall be brought into or kept in or about the Premises. Cooking in the Premises shall be confined to the kitchen area and shall be limited to activities consistent with normal office use. No tenant shall cause or permit any unusual or objectionable odors to be produced in or permeate from the Premises.</w:t>
      </w:r>
    </w:p>
    <w:p>
      <w:pPr>
        <w:spacing w:after="0" w:line="199" w:lineRule="exact"/>
        <w:rPr>
          <w:rFonts w:ascii="Arial" w:cs="Arial" w:eastAsia="Arial" w:hAnsi="Arial"/>
          <w:sz w:val="17"/>
          <w:szCs w:val="17"/>
          <w:color w:val="auto"/>
        </w:rPr>
      </w:pPr>
    </w:p>
    <w:p>
      <w:pPr>
        <w:ind w:left="880" w:hanging="291"/>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8"/>
          <w:szCs w:val="18"/>
          <w:color w:val="auto"/>
        </w:rPr>
        <w:t>The Premises shall not be used for lodging or sleeping or for any immoral or illegal purpose.</w:t>
      </w:r>
    </w:p>
    <w:p>
      <w:pPr>
        <w:spacing w:after="0" w:line="243" w:lineRule="exact"/>
        <w:rPr>
          <w:sz w:val="20"/>
          <w:szCs w:val="20"/>
          <w:color w:val="auto"/>
        </w:rPr>
      </w:pPr>
    </w:p>
    <w:p>
      <w:pPr>
        <w:ind w:right="80" w:firstLine="589"/>
        <w:spacing w:after="0" w:line="284" w:lineRule="auto"/>
        <w:tabs>
          <w:tab w:leader="none" w:pos="890" w:val="left"/>
        </w:tabs>
        <w:numPr>
          <w:ilvl w:val="0"/>
          <w:numId w:val="78"/>
        </w:numPr>
        <w:rPr>
          <w:rFonts w:ascii="Arial" w:cs="Arial" w:eastAsia="Arial" w:hAnsi="Arial"/>
          <w:sz w:val="16"/>
          <w:szCs w:val="16"/>
          <w:color w:val="auto"/>
        </w:rPr>
      </w:pPr>
      <w:r>
        <w:rPr>
          <w:rFonts w:ascii="Arial" w:cs="Arial" w:eastAsia="Arial" w:hAnsi="Arial"/>
          <w:sz w:val="17"/>
          <w:szCs w:val="17"/>
          <w:color w:val="auto"/>
        </w:rPr>
        <w:t>No tenant shall make, or permit to be made any unseemly, excessive or disturbing noises or disturb or interfere with occupants of this or neighboring buildings or premises or those having business with them, whether by the use of any musical instrument, radio, phonograph, unusual noise, or in any other way. No tenant shall throw anything out of doors, windows or down the passageways.</w:t>
      </w:r>
    </w:p>
    <w:p>
      <w:pPr>
        <w:spacing w:after="0" w:line="168" w:lineRule="exact"/>
        <w:rPr>
          <w:rFonts w:ascii="Arial" w:cs="Arial" w:eastAsia="Arial" w:hAnsi="Arial"/>
          <w:sz w:val="16"/>
          <w:szCs w:val="16"/>
          <w:color w:val="auto"/>
        </w:rPr>
      </w:pPr>
    </w:p>
    <w:p>
      <w:pPr>
        <w:ind w:right="440" w:firstLine="589"/>
        <w:spacing w:after="0" w:line="276" w:lineRule="auto"/>
        <w:tabs>
          <w:tab w:leader="none" w:pos="974" w:val="left"/>
        </w:tabs>
        <w:numPr>
          <w:ilvl w:val="0"/>
          <w:numId w:val="78"/>
        </w:numPr>
        <w:rPr>
          <w:rFonts w:ascii="Arial" w:cs="Arial" w:eastAsia="Arial" w:hAnsi="Arial"/>
          <w:sz w:val="17"/>
          <w:szCs w:val="17"/>
          <w:color w:val="auto"/>
        </w:rPr>
      </w:pPr>
      <w:r>
        <w:rPr>
          <w:rFonts w:ascii="Arial" w:cs="Arial" w:eastAsia="Arial" w:hAnsi="Arial"/>
          <w:sz w:val="18"/>
          <w:szCs w:val="18"/>
          <w:color w:val="auto"/>
        </w:rPr>
        <w:t>No tenant, subtenant or assignee nor any of its servants, employees, agents, visitors or licensees, shall at any time bring or keep upon the Premises any firearm.</w:t>
      </w:r>
    </w:p>
    <w:p>
      <w:pPr>
        <w:spacing w:after="0" w:line="173" w:lineRule="exact"/>
        <w:rPr>
          <w:rFonts w:ascii="Arial" w:cs="Arial" w:eastAsia="Arial" w:hAnsi="Arial"/>
          <w:sz w:val="17"/>
          <w:szCs w:val="17"/>
          <w:color w:val="auto"/>
        </w:rPr>
      </w:pPr>
    </w:p>
    <w:p>
      <w:pPr>
        <w:ind w:right="220" w:firstLine="589"/>
        <w:spacing w:after="0" w:line="284" w:lineRule="auto"/>
        <w:tabs>
          <w:tab w:leader="none" w:pos="10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additional locks or bolts of any kind shall be placed upon any of the doors or windows by any tenant, without the prior written consent of Landlord, nor shall any changes be made to existing locks or the mechanism thereof without the prior written consent of Landlord. Notwithstanding the foregoing, any locks or bolts that are part of Tenant’s Initial Tenant Improvements approved by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Seminis-Mission-Oxnard CA-Landlords Rules-Exhibit G FINAL.docx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Landlord pursuant to Section 1.11 of the Lease shall be considered consented to by Landlord for purposes of this Rule.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firstLine="589"/>
        <w:spacing w:after="0" w:line="256" w:lineRule="auto"/>
        <w:tabs>
          <w:tab w:leader="none" w:pos="974" w:val="left"/>
        </w:tabs>
        <w:numPr>
          <w:ilvl w:val="0"/>
          <w:numId w:val="79"/>
        </w:numPr>
        <w:rPr>
          <w:rFonts w:ascii="Arial" w:cs="Arial" w:eastAsia="Arial" w:hAnsi="Arial"/>
          <w:sz w:val="17"/>
          <w:szCs w:val="17"/>
          <w:color w:val="auto"/>
        </w:rPr>
      </w:pPr>
      <w:r>
        <w:rPr>
          <w:rFonts w:ascii="Arial" w:cs="Arial" w:eastAsia="Arial" w:hAnsi="Arial"/>
          <w:sz w:val="18"/>
          <w:szCs w:val="18"/>
          <w:color w:val="auto"/>
        </w:rPr>
        <w:t>No tenant shall overload the floors of the Premises. All damage to the floor, structure or foundation of the Building due to improper positioning or storage items or materials shall be repaired by Landlord at the sole cost and expense of tenant, who shall reimburse Landlord immediately therefor upon demand. All removals or the carrying in or out of any safes, freight, furniture, or bulky matter of any description must take place during the hours that Landlord shall reasonably determine from time to time.</w:t>
      </w:r>
    </w:p>
    <w:p>
      <w:pPr>
        <w:spacing w:after="0" w:line="204" w:lineRule="exact"/>
        <w:rPr>
          <w:rFonts w:ascii="Arial" w:cs="Arial" w:eastAsia="Arial" w:hAnsi="Arial"/>
          <w:sz w:val="17"/>
          <w:szCs w:val="17"/>
          <w:color w:val="auto"/>
        </w:rPr>
      </w:pPr>
    </w:p>
    <w:p>
      <w:pPr>
        <w:ind w:left="960" w:hanging="371"/>
        <w:spacing w:after="0"/>
        <w:tabs>
          <w:tab w:leader="none" w:pos="960" w:val="left"/>
        </w:tabs>
        <w:numPr>
          <w:ilvl w:val="0"/>
          <w:numId w:val="79"/>
        </w:numPr>
        <w:rPr>
          <w:rFonts w:ascii="Arial" w:cs="Arial" w:eastAsia="Arial" w:hAnsi="Arial"/>
          <w:sz w:val="17"/>
          <w:szCs w:val="17"/>
          <w:color w:val="auto"/>
        </w:rPr>
      </w:pPr>
      <w:r>
        <w:rPr>
          <w:rFonts w:ascii="Arial" w:cs="Arial" w:eastAsia="Arial" w:hAnsi="Arial"/>
          <w:sz w:val="18"/>
          <w:szCs w:val="18"/>
          <w:color w:val="auto"/>
        </w:rPr>
        <w:t>Each tenant shall be responsible for all persons entering the Building at tenant's invitation, express or implied.</w:t>
      </w:r>
    </w:p>
    <w:p>
      <w:pPr>
        <w:spacing w:after="0" w:line="230" w:lineRule="exact"/>
        <w:rPr>
          <w:sz w:val="20"/>
          <w:szCs w:val="20"/>
          <w:color w:val="auto"/>
        </w:rPr>
      </w:pPr>
    </w:p>
    <w:p>
      <w:pPr>
        <w:ind w:right="460" w:firstLine="589"/>
        <w:spacing w:after="0" w:line="276" w:lineRule="auto"/>
        <w:tabs>
          <w:tab w:leader="none" w:pos="936" w:val="left"/>
        </w:tabs>
        <w:numPr>
          <w:ilvl w:val="0"/>
          <w:numId w:val="80"/>
        </w:numPr>
        <w:rPr>
          <w:rFonts w:ascii="Arial" w:cs="Arial" w:eastAsia="Arial" w:hAnsi="Arial"/>
          <w:sz w:val="15"/>
          <w:szCs w:val="15"/>
          <w:color w:val="auto"/>
        </w:rPr>
      </w:pPr>
      <w:r>
        <w:rPr>
          <w:rFonts w:ascii="Arial" w:cs="Arial" w:eastAsia="Arial" w:hAnsi="Arial"/>
          <w:sz w:val="18"/>
          <w:szCs w:val="18"/>
          <w:color w:val="auto"/>
        </w:rPr>
        <w:t>No tenant shall purchase janitorial or maintenance or other like services, from any person or persons not approved by Landlord. Tenants shall be responsible for all acts of such persons while performing services purchased by tenants.</w:t>
      </w:r>
    </w:p>
    <w:p>
      <w:pPr>
        <w:spacing w:after="0" w:line="186" w:lineRule="exact"/>
        <w:rPr>
          <w:rFonts w:ascii="Arial" w:cs="Arial" w:eastAsia="Arial" w:hAnsi="Arial"/>
          <w:sz w:val="15"/>
          <w:szCs w:val="15"/>
          <w:color w:val="auto"/>
        </w:rPr>
      </w:pPr>
    </w:p>
    <w:p>
      <w:pPr>
        <w:ind w:left="920" w:hanging="331"/>
        <w:spacing w:after="0"/>
        <w:tabs>
          <w:tab w:leader="none" w:pos="920" w:val="left"/>
        </w:tabs>
        <w:numPr>
          <w:ilvl w:val="0"/>
          <w:numId w:val="80"/>
        </w:numPr>
        <w:rPr>
          <w:rFonts w:ascii="Arial" w:cs="Arial" w:eastAsia="Arial" w:hAnsi="Arial"/>
          <w:sz w:val="14"/>
          <w:szCs w:val="14"/>
          <w:color w:val="auto"/>
        </w:rPr>
      </w:pPr>
      <w:r>
        <w:rPr>
          <w:rFonts w:ascii="Arial" w:cs="Arial" w:eastAsia="Arial" w:hAnsi="Arial"/>
          <w:sz w:val="17"/>
          <w:szCs w:val="17"/>
          <w:color w:val="auto"/>
        </w:rPr>
        <w:t>Canvassing, soliciting and peddling in the Building are prohibited, and each tenant shall report and otherwise cooperate to prevent</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the same.</w:t>
      </w:r>
    </w:p>
    <w:p>
      <w:pPr>
        <w:sectPr>
          <w:pgSz w:w="11900" w:h="16838" w:orient="portrait"/>
          <w:cols w:equalWidth="0" w:num="1">
            <w:col w:w="10740"/>
          </w:cols>
          <w:pgMar w:left="580" w:top="348" w:right="579" w:bottom="1440" w:gutter="0" w:footer="0" w:header="0"/>
        </w:sectPr>
      </w:pPr>
    </w:p>
    <w:bookmarkStart w:id="109" w:name="page110"/>
    <w:bookmarkEnd w:id="109"/>
    <w:p>
      <w:pPr>
        <w:ind w:left="920" w:hanging="331"/>
        <w:spacing w:after="0"/>
        <w:tabs>
          <w:tab w:leader="none" w:pos="920" w:val="left"/>
        </w:tabs>
        <w:numPr>
          <w:ilvl w:val="0"/>
          <w:numId w:val="81"/>
        </w:numPr>
        <w:rPr>
          <w:rFonts w:ascii="Arial" w:cs="Arial" w:eastAsia="Arial" w:hAnsi="Arial"/>
          <w:sz w:val="14"/>
          <w:szCs w:val="14"/>
          <w:color w:val="auto"/>
        </w:rPr>
      </w:pPr>
      <w:r>
        <w:rPr>
          <w:rFonts w:ascii="Arial" w:cs="Arial" w:eastAsia="Arial" w:hAnsi="Arial"/>
          <w:sz w:val="17"/>
          <w:szCs w:val="17"/>
          <w:color w:val="auto"/>
        </w:rPr>
        <w:t>No air-conditioning unit or other similar apparatus shall be installed or used by any tenant without the written consent of Landlord.</w:t>
      </w:r>
    </w:p>
    <w:p>
      <w:pPr>
        <w:spacing w:after="0" w:line="241" w:lineRule="exact"/>
        <w:rPr>
          <w:rFonts w:ascii="Arial" w:cs="Arial" w:eastAsia="Arial" w:hAnsi="Arial"/>
          <w:sz w:val="14"/>
          <w:szCs w:val="14"/>
          <w:color w:val="auto"/>
        </w:rPr>
      </w:pPr>
    </w:p>
    <w:p>
      <w:pPr>
        <w:ind w:left="920" w:hanging="331"/>
        <w:spacing w:after="0"/>
        <w:tabs>
          <w:tab w:leader="none" w:pos="9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The scheduling of tenant move-ins shall be subject to the reasonable discretion of Landlord.</w:t>
      </w:r>
    </w:p>
    <w:p>
      <w:pPr>
        <w:spacing w:after="0" w:line="242" w:lineRule="exact"/>
        <w:rPr>
          <w:rFonts w:ascii="Arial" w:cs="Arial" w:eastAsia="Arial" w:hAnsi="Arial"/>
          <w:sz w:val="15"/>
          <w:szCs w:val="15"/>
          <w:color w:val="auto"/>
        </w:rPr>
      </w:pPr>
    </w:p>
    <w:p>
      <w:pPr>
        <w:ind w:left="920" w:hanging="331"/>
        <w:spacing w:after="0"/>
        <w:tabs>
          <w:tab w:leader="none" w:pos="9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The Building is a smoke-free Building. Smoking is strictly prohibited within the Building. Smoking shall only be allowed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areas designated as a smoking area by Landlord.</w:t>
      </w:r>
    </w:p>
    <w:p>
      <w:pPr>
        <w:spacing w:after="0" w:line="227" w:lineRule="exact"/>
        <w:rPr>
          <w:sz w:val="20"/>
          <w:szCs w:val="20"/>
          <w:color w:val="auto"/>
        </w:rPr>
      </w:pPr>
    </w:p>
    <w:p>
      <w:pPr>
        <w:ind w:right="540" w:firstLine="589"/>
        <w:spacing w:after="0" w:line="276" w:lineRule="auto"/>
        <w:tabs>
          <w:tab w:leader="none" w:pos="936" w:val="left"/>
        </w:tabs>
        <w:numPr>
          <w:ilvl w:val="0"/>
          <w:numId w:val="82"/>
        </w:numPr>
        <w:rPr>
          <w:rFonts w:ascii="Arial" w:cs="Arial" w:eastAsia="Arial" w:hAnsi="Arial"/>
          <w:sz w:val="15"/>
          <w:szCs w:val="15"/>
          <w:color w:val="auto"/>
        </w:rPr>
      </w:pPr>
      <w:r>
        <w:rPr>
          <w:rFonts w:ascii="Arial" w:cs="Arial" w:eastAsia="Arial" w:hAnsi="Arial"/>
          <w:sz w:val="18"/>
          <w:szCs w:val="18"/>
          <w:color w:val="auto"/>
        </w:rPr>
        <w:t>Tenants will insure that all doors are securely locked, and water faucets, electric lights and non-essential electric machinery are turned off before leaving the Building.</w:t>
      </w:r>
    </w:p>
    <w:p>
      <w:pPr>
        <w:spacing w:after="0" w:line="173" w:lineRule="exact"/>
        <w:rPr>
          <w:rFonts w:ascii="Arial" w:cs="Arial" w:eastAsia="Arial" w:hAnsi="Arial"/>
          <w:sz w:val="15"/>
          <w:szCs w:val="15"/>
          <w:color w:val="auto"/>
        </w:rPr>
      </w:pPr>
    </w:p>
    <w:p>
      <w:pPr>
        <w:ind w:right="180" w:firstLine="589"/>
        <w:spacing w:after="0" w:line="251" w:lineRule="auto"/>
        <w:tabs>
          <w:tab w:leader="none" w:pos="936" w:val="left"/>
        </w:tabs>
        <w:numPr>
          <w:ilvl w:val="0"/>
          <w:numId w:val="82"/>
        </w:numPr>
        <w:rPr>
          <w:rFonts w:ascii="Arial" w:cs="Arial" w:eastAsia="Arial" w:hAnsi="Arial"/>
          <w:sz w:val="15"/>
          <w:szCs w:val="15"/>
          <w:color w:val="auto"/>
        </w:rPr>
      </w:pPr>
      <w:r>
        <w:rPr>
          <w:rFonts w:ascii="Arial" w:cs="Arial" w:eastAsia="Arial" w:hAnsi="Arial"/>
          <w:sz w:val="18"/>
          <w:szCs w:val="18"/>
          <w:color w:val="auto"/>
        </w:rPr>
        <w:t>Parking spaces associated with the Building are intended for the exclusive use of passenger automobiles. Except for intermittent deliveries, no vehicles other than passenger automobiles may be parked in a parking space without the express written permission of Landlord. Tenant, its employees, customers, invitees and guests shall, when using the parking facilities in and around the Building, observe and obey all signs regarding fire lanes and no-parking and driving speed zones and designated handicapped and visitor spaces, and when parking always park between the designated lines. Landlord reserves the right to tow away, at the expense of the owner, any vehicle which is improperly parked or parked in a no-parking zone or in a designated handicapped area, and any vehicle which is left in any parking lot in violation of the foregoing regulation.</w:t>
      </w:r>
    </w:p>
    <w:p>
      <w:pPr>
        <w:spacing w:after="0" w:line="196" w:lineRule="exact"/>
        <w:rPr>
          <w:rFonts w:ascii="Arial" w:cs="Arial" w:eastAsia="Arial" w:hAnsi="Arial"/>
          <w:sz w:val="15"/>
          <w:szCs w:val="15"/>
          <w:color w:val="auto"/>
        </w:rPr>
      </w:pPr>
    </w:p>
    <w:p>
      <w:pPr>
        <w:ind w:left="920" w:hanging="331"/>
        <w:spacing w:after="0"/>
        <w:tabs>
          <w:tab w:leader="none" w:pos="920" w:val="left"/>
        </w:tabs>
        <w:numPr>
          <w:ilvl w:val="0"/>
          <w:numId w:val="82"/>
        </w:numPr>
        <w:rPr>
          <w:rFonts w:ascii="Arial" w:cs="Arial" w:eastAsia="Arial" w:hAnsi="Arial"/>
          <w:sz w:val="15"/>
          <w:szCs w:val="15"/>
          <w:color w:val="auto"/>
        </w:rPr>
      </w:pPr>
      <w:r>
        <w:rPr>
          <w:rFonts w:ascii="Arial" w:cs="Arial" w:eastAsia="Arial" w:hAnsi="Arial"/>
          <w:sz w:val="18"/>
          <w:szCs w:val="18"/>
          <w:color w:val="auto"/>
        </w:rPr>
        <w:t>Tenant shall not generate any trash in the Premises other than trash associated with normal office use.</w:t>
      </w:r>
    </w:p>
    <w:p>
      <w:pPr>
        <w:spacing w:after="0" w:line="242" w:lineRule="exact"/>
        <w:rPr>
          <w:rFonts w:ascii="Arial" w:cs="Arial" w:eastAsia="Arial" w:hAnsi="Arial"/>
          <w:sz w:val="15"/>
          <w:szCs w:val="15"/>
          <w:color w:val="auto"/>
        </w:rPr>
      </w:pPr>
    </w:p>
    <w:p>
      <w:pPr>
        <w:ind w:left="920" w:hanging="331"/>
        <w:spacing w:after="0"/>
        <w:tabs>
          <w:tab w:leader="none" w:pos="920" w:val="left"/>
        </w:tabs>
        <w:numPr>
          <w:ilvl w:val="0"/>
          <w:numId w:val="82"/>
        </w:numPr>
        <w:rPr>
          <w:rFonts w:ascii="Arial" w:cs="Arial" w:eastAsia="Arial" w:hAnsi="Arial"/>
          <w:sz w:val="15"/>
          <w:szCs w:val="15"/>
          <w:color w:val="auto"/>
        </w:rPr>
      </w:pPr>
      <w:r>
        <w:rPr>
          <w:rFonts w:ascii="Arial" w:cs="Arial" w:eastAsia="Arial" w:hAnsi="Arial"/>
          <w:sz w:val="18"/>
          <w:szCs w:val="18"/>
          <w:color w:val="auto"/>
        </w:rPr>
        <w:t>No firearms of any kind shall be permitted in the Premises or anywhere else on Landlord’s Campus.</w:t>
      </w:r>
    </w:p>
    <w:p>
      <w:pPr>
        <w:spacing w:after="0" w:line="68" w:lineRule="exact"/>
        <w:rPr>
          <w:sz w:val="20"/>
          <w:szCs w:val="20"/>
          <w:color w:val="auto"/>
        </w:rPr>
      </w:pPr>
    </w:p>
    <w:p>
      <w:pPr>
        <w:ind w:firstLine="599"/>
        <w:spacing w:after="0" w:line="289" w:lineRule="auto"/>
        <w:rPr>
          <w:sz w:val="20"/>
          <w:szCs w:val="20"/>
          <w:color w:val="auto"/>
        </w:rPr>
      </w:pPr>
      <w:r>
        <w:rPr>
          <w:rFonts w:ascii="Arial" w:cs="Arial" w:eastAsia="Arial" w:hAnsi="Arial"/>
          <w:sz w:val="16"/>
          <w:szCs w:val="16"/>
          <w:color w:val="auto"/>
        </w:rPr>
        <w:t>The Landlord reserves the right to make such other and further reasonable, uniform rules and regulations as in its judgment may from time to time be necessary for the safety, care and cleanliness of the Building and Common Areas, and for the preservation of good order therein. Notwithstanding the foregoing, Except in the case rules related to an emergency (i.e., a condition posing an immediate threat of harm or damage to person or property) Landlord shall notify Tenant of any new rules affecting Tenant by written notice before any rules shall take effect. Notwithstanding the foregoing, (i) if and to the extent any new rule conflicts with any right granted to Tenant under the Lease, the provisions of the Lease shall govern, and (ii) Landlord agrees to meet with Tenant to discuss any objection that Tenant may have to a proposed new rule.</w:t>
      </w:r>
    </w:p>
    <w:p>
      <w:pPr>
        <w:sectPr>
          <w:pgSz w:w="11900" w:h="16838" w:orient="portrait"/>
          <w:cols w:equalWidth="0" w:num="1">
            <w:col w:w="10780"/>
          </w:cols>
          <w:pgMar w:left="580" w:top="585" w:right="5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1036320</wp:posOffset>
            </wp:positionH>
            <wp:positionV relativeFrom="page">
              <wp:posOffset>263525</wp:posOffset>
            </wp:positionV>
            <wp:extent cx="5086985" cy="6189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086985" cy="618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360" w:type="dxa"/>
            <w:vAlign w:val="bottom"/>
            <w:gridSpan w:val="5"/>
          </w:tcPr>
          <w:p>
            <w:pPr>
              <w:ind w:left="1300"/>
              <w:spacing w:after="0"/>
              <w:rPr>
                <w:sz w:val="20"/>
                <w:szCs w:val="20"/>
                <w:color w:val="auto"/>
              </w:rPr>
            </w:pPr>
            <w:r>
              <w:rPr>
                <w:rFonts w:ascii="Arial" w:cs="Arial" w:eastAsia="Arial" w:hAnsi="Arial"/>
                <w:sz w:val="30"/>
                <w:szCs w:val="30"/>
                <w:b w:val="1"/>
                <w:bCs w:val="1"/>
                <w:color w:val="151315"/>
              </w:rPr>
              <w:t>del Sol, Parking Map</w:t>
            </w:r>
          </w:p>
        </w:tc>
        <w:tc>
          <w:tcPr>
            <w:tcW w:w="200" w:type="dxa"/>
            <w:vAlign w:val="bottom"/>
          </w:tcPr>
          <w:p>
            <w:pPr>
              <w:spacing w:after="0"/>
              <w:rPr>
                <w:sz w:val="24"/>
                <w:szCs w:val="24"/>
                <w:color w:val="auto"/>
              </w:rPr>
            </w:pPr>
          </w:p>
        </w:tc>
        <w:tc>
          <w:tcPr>
            <w:tcW w:w="900" w:type="dxa"/>
            <w:vAlign w:val="bottom"/>
            <w:tcBorders>
              <w:bottom w:val="single" w:sz="8" w:color="151315"/>
            </w:tcBorders>
          </w:tcPr>
          <w:p>
            <w:pPr>
              <w:spacing w:after="0"/>
              <w:rPr>
                <w:sz w:val="20"/>
                <w:szCs w:val="20"/>
                <w:color w:val="auto"/>
              </w:rPr>
            </w:pPr>
            <w:r>
              <w:rPr>
                <w:rFonts w:ascii="Arial" w:cs="Arial" w:eastAsia="Arial" w:hAnsi="Arial"/>
                <w:sz w:val="18"/>
                <w:szCs w:val="18"/>
                <w:b w:val="1"/>
                <w:bCs w:val="1"/>
                <w:color w:val="151315"/>
                <w:w w:val="98"/>
              </w:rPr>
              <w:t>EXHIBIT H</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000" w:type="dxa"/>
            <w:vAlign w:val="bottom"/>
            <w:vMerge w:val="restart"/>
          </w:tcPr>
          <w:p>
            <w:pPr>
              <w:spacing w:after="0"/>
              <w:rPr>
                <w:sz w:val="20"/>
                <w:szCs w:val="20"/>
                <w:color w:val="auto"/>
              </w:rPr>
            </w:pPr>
            <w:r>
              <w:rPr>
                <w:rFonts w:ascii="Arial" w:cs="Arial" w:eastAsia="Arial" w:hAnsi="Arial"/>
                <w:sz w:val="17"/>
                <w:szCs w:val="17"/>
                <w:b w:val="1"/>
                <w:bCs w:val="1"/>
                <w:color w:val="151315"/>
              </w:rPr>
              <w:t>Parking Lot</w:t>
            </w:r>
          </w:p>
        </w:tc>
        <w:tc>
          <w:tcPr>
            <w:tcW w:w="20" w:type="dxa"/>
            <w:vAlign w:val="bottom"/>
          </w:tcPr>
          <w:p>
            <w:pPr>
              <w:spacing w:after="0"/>
              <w:rPr>
                <w:sz w:val="5"/>
                <w:szCs w:val="5"/>
                <w:color w:val="auto"/>
              </w:rPr>
            </w:pPr>
          </w:p>
        </w:tc>
        <w:tc>
          <w:tcPr>
            <w:tcW w:w="1120" w:type="dxa"/>
            <w:vAlign w:val="bottom"/>
            <w:vMerge w:val="restart"/>
          </w:tcPr>
          <w:p>
            <w:pPr>
              <w:jc w:val="center"/>
              <w:ind w:right="237"/>
              <w:spacing w:after="0"/>
              <w:rPr>
                <w:sz w:val="20"/>
                <w:szCs w:val="20"/>
                <w:color w:val="auto"/>
              </w:rPr>
            </w:pPr>
            <w:r>
              <w:rPr>
                <w:rFonts w:ascii="Arial" w:cs="Arial" w:eastAsia="Arial" w:hAnsi="Arial"/>
                <w:sz w:val="17"/>
                <w:szCs w:val="17"/>
                <w:b w:val="1"/>
                <w:bCs w:val="1"/>
                <w:color w:val="151315"/>
                <w:w w:val="96"/>
              </w:rPr>
              <w:t>Parking</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151315"/>
                <w:w w:val="99"/>
              </w:rPr>
              <w:t>Handicap</w:t>
            </w:r>
          </w:p>
        </w:tc>
        <w:tc>
          <w:tcPr>
            <w:tcW w:w="0" w:type="dxa"/>
            <w:vAlign w:val="bottom"/>
          </w:tcPr>
          <w:p>
            <w:pPr>
              <w:spacing w:after="0"/>
              <w:rPr>
                <w:sz w:val="1"/>
                <w:szCs w:val="1"/>
                <w:color w:val="auto"/>
              </w:rPr>
            </w:pPr>
          </w:p>
        </w:tc>
      </w:tr>
      <w:tr>
        <w:trPr>
          <w:trHeight w:val="250"/>
        </w:trPr>
        <w:tc>
          <w:tcPr>
            <w:tcW w:w="20" w:type="dxa"/>
            <w:vAlign w:val="bottom"/>
            <w:shd w:val="clear" w:color="auto" w:fill="000000"/>
          </w:tcPr>
          <w:p>
            <w:pPr>
              <w:spacing w:after="0"/>
              <w:rPr>
                <w:sz w:val="21"/>
                <w:szCs w:val="21"/>
                <w:color w:val="auto"/>
              </w:rPr>
            </w:pPr>
          </w:p>
        </w:tc>
        <w:tc>
          <w:tcPr>
            <w:tcW w:w="3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vMerge w:val="restart"/>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000000"/>
          </w:tcPr>
          <w:p>
            <w:pPr>
              <w:spacing w:after="0"/>
              <w:rPr>
                <w:sz w:val="18"/>
                <w:szCs w:val="18"/>
                <w:color w:val="auto"/>
              </w:rPr>
            </w:pPr>
          </w:p>
        </w:tc>
        <w:tc>
          <w:tcPr>
            <w:tcW w:w="30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000000"/>
          </w:tcPr>
          <w:p>
            <w:pPr>
              <w:spacing w:after="0"/>
              <w:rPr>
                <w:sz w:val="20"/>
                <w:szCs w:val="20"/>
                <w:color w:val="auto"/>
              </w:rPr>
            </w:pPr>
          </w:p>
        </w:tc>
        <w:tc>
          <w:tcPr>
            <w:tcW w:w="3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120" w:type="dxa"/>
            <w:vAlign w:val="bottom"/>
          </w:tcPr>
          <w:p>
            <w:pPr>
              <w:jc w:val="center"/>
              <w:ind w:right="217"/>
              <w:spacing w:after="0"/>
              <w:rPr>
                <w:sz w:val="20"/>
                <w:szCs w:val="20"/>
                <w:color w:val="auto"/>
              </w:rPr>
            </w:pPr>
            <w:r>
              <w:rPr>
                <w:rFonts w:ascii="Arial" w:cs="Arial" w:eastAsia="Arial" w:hAnsi="Arial"/>
                <w:sz w:val="17"/>
                <w:szCs w:val="17"/>
                <w:b w:val="1"/>
                <w:bCs w:val="1"/>
                <w:color w:val="151315"/>
                <w:w w:val="97"/>
              </w:rPr>
              <w:t>Spots</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73"/>
              <w:spacing w:after="0"/>
              <w:rPr>
                <w:sz w:val="20"/>
                <w:szCs w:val="20"/>
                <w:color w:val="auto"/>
              </w:rPr>
            </w:pPr>
            <w:r>
              <w:rPr>
                <w:rFonts w:ascii="Arial" w:cs="Arial" w:eastAsia="Arial" w:hAnsi="Arial"/>
                <w:sz w:val="17"/>
                <w:szCs w:val="17"/>
                <w:b w:val="1"/>
                <w:bCs w:val="1"/>
                <w:color w:val="151315"/>
              </w:rPr>
              <w:t>Spots</w:t>
            </w:r>
          </w:p>
        </w:tc>
        <w:tc>
          <w:tcPr>
            <w:tcW w:w="0" w:type="dxa"/>
            <w:vAlign w:val="bottom"/>
          </w:tcPr>
          <w:p>
            <w:pPr>
              <w:spacing w:after="0"/>
              <w:rPr>
                <w:sz w:val="1"/>
                <w:szCs w:val="1"/>
                <w:color w:val="auto"/>
              </w:rPr>
            </w:pPr>
          </w:p>
        </w:tc>
      </w:tr>
      <w:tr>
        <w:trPr>
          <w:trHeight w:val="241"/>
        </w:trPr>
        <w:tc>
          <w:tcPr>
            <w:tcW w:w="20" w:type="dxa"/>
            <w:vAlign w:val="bottom"/>
            <w:shd w:val="clear" w:color="auto" w:fill="000000"/>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151315"/>
              </w:rPr>
              <w:t>North West Parking</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151315"/>
                <w:w w:val="99"/>
              </w:rPr>
              <w:t>2</w:t>
            </w:r>
            <w:r>
              <w:rPr>
                <w:rFonts w:ascii="Arial" w:cs="Arial" w:eastAsia="Arial" w:hAnsi="Arial"/>
                <w:sz w:val="18"/>
                <w:szCs w:val="18"/>
                <w:color w:val="363436"/>
                <w:w w:val="99"/>
              </w:rPr>
              <w:t>1</w:t>
            </w:r>
            <w:r>
              <w:rPr>
                <w:rFonts w:ascii="Arial" w:cs="Arial" w:eastAsia="Arial" w:hAnsi="Arial"/>
                <w:sz w:val="18"/>
                <w:szCs w:val="18"/>
                <w:color w:val="151315"/>
                <w:w w:val="99"/>
              </w:rPr>
              <w:t>6</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151315"/>
              </w:rPr>
              <w:t>2</w:t>
            </w:r>
          </w:p>
        </w:tc>
        <w:tc>
          <w:tcPr>
            <w:tcW w:w="0" w:type="dxa"/>
            <w:vAlign w:val="bottom"/>
          </w:tcPr>
          <w:p>
            <w:pPr>
              <w:spacing w:after="0"/>
              <w:rPr>
                <w:sz w:val="1"/>
                <w:szCs w:val="1"/>
                <w:color w:val="auto"/>
              </w:rPr>
            </w:pPr>
          </w:p>
        </w:tc>
      </w:tr>
      <w:tr>
        <w:trPr>
          <w:trHeight w:val="125"/>
        </w:trPr>
        <w:tc>
          <w:tcPr>
            <w:tcW w:w="20" w:type="dxa"/>
            <w:vAlign w:val="bottom"/>
            <w:shd w:val="clear" w:color="auto" w:fill="000000"/>
          </w:tcPr>
          <w:p>
            <w:pPr>
              <w:spacing w:after="0"/>
              <w:rPr>
                <w:sz w:val="10"/>
                <w:szCs w:val="10"/>
                <w:color w:val="auto"/>
              </w:rPr>
            </w:pPr>
          </w:p>
        </w:tc>
        <w:tc>
          <w:tcPr>
            <w:tcW w:w="30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000000"/>
          </w:tcPr>
          <w:p>
            <w:pPr>
              <w:spacing w:after="0"/>
              <w:rPr>
                <w:sz w:val="22"/>
                <w:szCs w:val="22"/>
                <w:color w:val="auto"/>
              </w:rPr>
            </w:pPr>
          </w:p>
        </w:tc>
        <w:tc>
          <w:tcPr>
            <w:tcW w:w="3000" w:type="dxa"/>
            <w:vAlign w:val="bottom"/>
          </w:tcPr>
          <w:p>
            <w:pPr>
              <w:spacing w:after="0"/>
              <w:rPr>
                <w:sz w:val="20"/>
                <w:szCs w:val="20"/>
                <w:color w:val="auto"/>
              </w:rPr>
            </w:pPr>
            <w:r>
              <w:rPr>
                <w:rFonts w:ascii="Arial" w:cs="Arial" w:eastAsia="Arial" w:hAnsi="Arial"/>
                <w:sz w:val="18"/>
                <w:szCs w:val="18"/>
                <w:color w:val="151315"/>
              </w:rPr>
              <w:t>North East Parking</w:t>
            </w:r>
          </w:p>
        </w:tc>
        <w:tc>
          <w:tcPr>
            <w:tcW w:w="1140" w:type="dxa"/>
            <w:vAlign w:val="bottom"/>
            <w:gridSpan w:val="2"/>
          </w:tcPr>
          <w:p>
            <w:pPr>
              <w:jc w:val="center"/>
              <w:spacing w:after="0"/>
              <w:rPr>
                <w:sz w:val="20"/>
                <w:szCs w:val="20"/>
                <w:color w:val="auto"/>
              </w:rPr>
            </w:pPr>
            <w:r>
              <w:rPr>
                <w:rFonts w:ascii="Arial" w:cs="Arial" w:eastAsia="Arial" w:hAnsi="Arial"/>
                <w:sz w:val="18"/>
                <w:szCs w:val="18"/>
                <w:color w:val="151315"/>
                <w:w w:val="99"/>
              </w:rPr>
              <w:t>34</w:t>
            </w:r>
          </w:p>
        </w:tc>
        <w:tc>
          <w:tcPr>
            <w:tcW w:w="20" w:type="dxa"/>
            <w:vAlign w:val="bottom"/>
            <w:shd w:val="clear" w:color="auto" w:fill="000000"/>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151315"/>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9"/>
                <w:szCs w:val="19"/>
                <w:b w:val="1"/>
                <w:bCs w:val="1"/>
                <w:color w:val="151315"/>
                <w:w w:val="94"/>
              </w:rPr>
              <w:t>250</w:t>
            </w: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151315"/>
              </w:rPr>
              <w:t>4</w:t>
            </w:r>
          </w:p>
        </w:tc>
        <w:tc>
          <w:tcPr>
            <w:tcW w:w="0" w:type="dxa"/>
            <w:vAlign w:val="bottom"/>
          </w:tcPr>
          <w:p>
            <w:pPr>
              <w:spacing w:after="0"/>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7"/>
                <w:szCs w:val="17"/>
                <w:b w:val="1"/>
                <w:bCs w:val="1"/>
                <w:color w:val="151315"/>
              </w:rPr>
              <w:t>Total Mission Produce</w:t>
            </w:r>
          </w:p>
        </w:tc>
        <w:tc>
          <w:tcPr>
            <w:tcW w:w="11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shd w:val="clear" w:color="auto" w:fill="000000"/>
          </w:tcPr>
          <w:p>
            <w:pPr>
              <w:spacing w:after="0"/>
              <w:rPr>
                <w:sz w:val="22"/>
                <w:szCs w:val="22"/>
                <w:color w:val="auto"/>
              </w:rPr>
            </w:pPr>
          </w:p>
        </w:tc>
        <w:tc>
          <w:tcPr>
            <w:tcW w:w="3000" w:type="dxa"/>
            <w:vAlign w:val="bottom"/>
          </w:tcPr>
          <w:p>
            <w:pPr>
              <w:spacing w:after="0"/>
              <w:rPr>
                <w:sz w:val="20"/>
                <w:szCs w:val="20"/>
                <w:color w:val="auto"/>
              </w:rPr>
            </w:pPr>
            <w:r>
              <w:rPr>
                <w:rFonts w:ascii="Arial" w:cs="Arial" w:eastAsia="Arial" w:hAnsi="Arial"/>
                <w:sz w:val="18"/>
                <w:szCs w:val="18"/>
                <w:color w:val="151315"/>
              </w:rPr>
              <w:t>West Parking (Bayer)</w:t>
            </w:r>
          </w:p>
        </w:tc>
        <w:tc>
          <w:tcPr>
            <w:tcW w:w="1140" w:type="dxa"/>
            <w:vAlign w:val="bottom"/>
            <w:gridSpan w:val="2"/>
          </w:tcPr>
          <w:p>
            <w:pPr>
              <w:jc w:val="center"/>
              <w:spacing w:after="0"/>
              <w:rPr>
                <w:sz w:val="20"/>
                <w:szCs w:val="20"/>
                <w:color w:val="auto"/>
              </w:rPr>
            </w:pPr>
            <w:r>
              <w:rPr>
                <w:rFonts w:ascii="Arial" w:cs="Arial" w:eastAsia="Arial" w:hAnsi="Arial"/>
                <w:sz w:val="18"/>
                <w:szCs w:val="18"/>
                <w:color w:val="151315"/>
                <w:w w:val="99"/>
              </w:rPr>
              <w:t>244</w:t>
            </w:r>
          </w:p>
        </w:tc>
        <w:tc>
          <w:tcPr>
            <w:tcW w:w="20" w:type="dxa"/>
            <w:vAlign w:val="bottom"/>
            <w:shd w:val="clear" w:color="auto" w:fill="000000"/>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151315"/>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151315"/>
              </w:rPr>
              <w:t>3</w:t>
            </w:r>
          </w:p>
        </w:tc>
        <w:tc>
          <w:tcPr>
            <w:tcW w:w="0" w:type="dxa"/>
            <w:vAlign w:val="bottom"/>
          </w:tcPr>
          <w:p>
            <w:pPr>
              <w:spacing w:after="0"/>
              <w:rPr>
                <w:sz w:val="1"/>
                <w:szCs w:val="1"/>
                <w:color w:val="auto"/>
              </w:rPr>
            </w:pPr>
          </w:p>
        </w:tc>
      </w:tr>
      <w:tr>
        <w:trPr>
          <w:trHeight w:val="284"/>
        </w:trPr>
        <w:tc>
          <w:tcPr>
            <w:tcW w:w="20" w:type="dxa"/>
            <w:vAlign w:val="bottom"/>
            <w:shd w:val="clear" w:color="auto" w:fill="000000"/>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8"/>
                <w:szCs w:val="18"/>
                <w:color w:val="151315"/>
              </w:rPr>
              <w:t>Green House (Bayer)</w:t>
            </w:r>
          </w:p>
        </w:tc>
        <w:tc>
          <w:tcPr>
            <w:tcW w:w="1140" w:type="dxa"/>
            <w:vAlign w:val="bottom"/>
            <w:gridSpan w:val="2"/>
          </w:tcPr>
          <w:p>
            <w:pPr>
              <w:jc w:val="center"/>
              <w:spacing w:after="0"/>
              <w:rPr>
                <w:sz w:val="20"/>
                <w:szCs w:val="20"/>
                <w:color w:val="auto"/>
              </w:rPr>
            </w:pPr>
            <w:r>
              <w:rPr>
                <w:rFonts w:ascii="Arial" w:cs="Arial" w:eastAsia="Arial" w:hAnsi="Arial"/>
                <w:sz w:val="18"/>
                <w:szCs w:val="18"/>
                <w:color w:val="363436"/>
                <w:w w:val="99"/>
              </w:rPr>
              <w:t>1</w:t>
            </w:r>
            <w:r>
              <w:rPr>
                <w:rFonts w:ascii="Arial" w:cs="Arial" w:eastAsia="Arial" w:hAnsi="Arial"/>
                <w:sz w:val="18"/>
                <w:szCs w:val="18"/>
                <w:color w:val="151315"/>
                <w:w w:val="99"/>
              </w:rPr>
              <w:t>5</w:t>
            </w:r>
          </w:p>
        </w:tc>
        <w:tc>
          <w:tcPr>
            <w:tcW w:w="2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151315"/>
                <w:w w:val="99"/>
              </w:rPr>
              <w:t>8</w:t>
            </w: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151315"/>
              </w:rPr>
              <w:t>0</w:t>
            </w: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151315"/>
              </w:rPr>
              <w:t>Maintenance (Bayer)</w:t>
            </w:r>
          </w:p>
        </w:tc>
        <w:tc>
          <w:tcPr>
            <w:tcW w:w="11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-1586865</wp:posOffset>
            </wp:positionV>
            <wp:extent cx="5817235" cy="158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5817235" cy="158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30"/>
          <w:szCs w:val="30"/>
          <w:b w:val="1"/>
          <w:bCs w:val="1"/>
          <w:color w:val="151315"/>
        </w:rPr>
        <w:t>2700 Camino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151315"/>
        </w:rPr>
        <w:t>Notes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151315"/>
        </w:rPr>
        <w:t>Mission Produce Parking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151315"/>
        </w:rPr>
        <w:t>Mission Produce Parking</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151315"/>
        </w:rPr>
        <w:t>6 Motorcycle Spots</w:t>
      </w:r>
    </w:p>
    <w:p>
      <w:pPr>
        <w:sectPr>
          <w:pgSz w:w="11900" w:h="16838" w:orient="portrait"/>
          <w:cols w:equalWidth="0" w:num="2">
            <w:col w:w="5480" w:space="180"/>
            <w:col w:w="5520"/>
          </w:cols>
          <w:pgMar w:left="320" w:top="1440" w:right="399" w:bottom="1440"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ind w:right="-139"/>
        <w:spacing w:after="0"/>
        <w:rPr>
          <w:sz w:val="20"/>
          <w:szCs w:val="20"/>
          <w:color w:val="auto"/>
        </w:rPr>
      </w:pPr>
      <w:r>
        <w:rPr>
          <w:rFonts w:ascii="Arial" w:cs="Arial" w:eastAsia="Arial" w:hAnsi="Arial"/>
          <w:sz w:val="23"/>
          <w:szCs w:val="23"/>
          <w:b w:val="1"/>
          <w:bCs w:val="1"/>
          <w:color w:val="232F84"/>
        </w:rPr>
        <w:t>CONSENT OF INDEPENDENT REGISTERED PUBLIC ACCOUNTING FIRM</w:t>
      </w:r>
    </w:p>
    <w:p>
      <w:pPr>
        <w:spacing w:after="0" w:line="239" w:lineRule="exact"/>
        <w:rPr>
          <w:sz w:val="20"/>
          <w:szCs w:val="20"/>
          <w:color w:val="auto"/>
        </w:rPr>
      </w:pPr>
    </w:p>
    <w:p>
      <w:pPr>
        <w:ind w:firstLine="600"/>
        <w:spacing w:after="0" w:line="248" w:lineRule="auto"/>
        <w:rPr>
          <w:sz w:val="20"/>
          <w:szCs w:val="20"/>
          <w:color w:val="auto"/>
        </w:rPr>
      </w:pPr>
      <w:r>
        <w:rPr>
          <w:rFonts w:ascii="Arial" w:cs="Arial" w:eastAsia="Arial" w:hAnsi="Arial"/>
          <w:sz w:val="15"/>
          <w:szCs w:val="15"/>
          <w:color w:val="auto"/>
        </w:rPr>
        <w:t>We consent to the incorporation by reference in Registration Statement No. 333-248596 on Form S-8 of our report dated January 19, 2021, relating to the consolidated financial statements of Mission Produce, Inc. and subsidiaries (the “Company”) appearing in this Annual Report on Form 10-K of the Company for the year ended October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January 19, 2021</w:t>
      </w:r>
    </w:p>
    <w:p>
      <w:pPr>
        <w:sectPr>
          <w:pgSz w:w="11900" w:h="16838" w:orient="portrait"/>
          <w:cols w:equalWidth="0" w:num="1">
            <w:col w:w="11120"/>
          </w:cols>
          <w:pgMar w:left="320" w:top="1400" w:right="45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23"/>
          <w:szCs w:val="23"/>
          <w:b w:val="1"/>
          <w:bCs w:val="1"/>
          <w:color w:val="232F84"/>
        </w:rPr>
        <w:t>CERTIFICATION OF CHIEF EXECUTIVE OFFICER</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232F84"/>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Stephen J. Barnard, certify that:</w:t>
      </w:r>
    </w:p>
    <w:p>
      <w:pPr>
        <w:spacing w:after="0" w:line="202" w:lineRule="exact"/>
        <w:rPr>
          <w:sz w:val="20"/>
          <w:szCs w:val="20"/>
          <w:color w:val="auto"/>
        </w:rPr>
      </w:pPr>
    </w:p>
    <w:p>
      <w:pPr>
        <w:ind w:left="600" w:hanging="300"/>
        <w:spacing w:after="0"/>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Mission Produce, Inc.;</w:t>
      </w:r>
    </w:p>
    <w:p>
      <w:pPr>
        <w:spacing w:after="0" w:line="202" w:lineRule="exact"/>
        <w:rPr>
          <w:rFonts w:ascii="Arial" w:cs="Arial" w:eastAsia="Arial" w:hAnsi="Arial"/>
          <w:sz w:val="15"/>
          <w:szCs w:val="15"/>
          <w:color w:val="auto"/>
        </w:rPr>
      </w:pPr>
    </w:p>
    <w:p>
      <w:pPr>
        <w:ind w:left="600" w:right="120" w:hanging="300"/>
        <w:spacing w:after="0" w:line="253"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5"/>
          <w:szCs w:val="15"/>
          <w:color w:val="auto"/>
        </w:rPr>
      </w:pPr>
    </w:p>
    <w:p>
      <w:pPr>
        <w:ind w:left="600" w:right="420" w:hanging="300"/>
        <w:spacing w:after="0" w:line="253"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5"/>
          <w:szCs w:val="15"/>
          <w:color w:val="auto"/>
        </w:rPr>
      </w:pPr>
    </w:p>
    <w:p>
      <w:pPr>
        <w:ind w:left="600" w:right="40" w:hanging="300"/>
        <w:spacing w:after="0" w:line="248"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5"/>
          <w:szCs w:val="15"/>
          <w:color w:val="auto"/>
        </w:rPr>
      </w:pPr>
    </w:p>
    <w:p>
      <w:pPr>
        <w:ind w:left="1200" w:right="160" w:hanging="300"/>
        <w:spacing w:after="0" w:line="248" w:lineRule="auto"/>
        <w:tabs>
          <w:tab w:leader="none" w:pos="1221" w:val="left"/>
        </w:tabs>
        <w:numPr>
          <w:ilvl w:val="1"/>
          <w:numId w:val="8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5"/>
          <w:szCs w:val="15"/>
          <w:color w:val="auto"/>
        </w:rPr>
      </w:pPr>
    </w:p>
    <w:p>
      <w:pPr>
        <w:ind w:left="1200" w:hanging="300"/>
        <w:spacing w:after="0"/>
        <w:tabs>
          <w:tab w:leader="none" w:pos="12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[paragraph omitted in accordance with Exchange Act Rule 13a-14(a)];</w:t>
      </w:r>
    </w:p>
    <w:p>
      <w:pPr>
        <w:spacing w:after="0" w:line="202" w:lineRule="exact"/>
        <w:rPr>
          <w:rFonts w:ascii="Arial" w:cs="Arial" w:eastAsia="Arial" w:hAnsi="Arial"/>
          <w:sz w:val="15"/>
          <w:szCs w:val="15"/>
          <w:color w:val="auto"/>
        </w:rPr>
      </w:pPr>
    </w:p>
    <w:p>
      <w:pPr>
        <w:ind w:left="1200" w:right="40" w:hanging="300"/>
        <w:spacing w:after="0" w:line="253" w:lineRule="auto"/>
        <w:tabs>
          <w:tab w:leader="none" w:pos="1212" w:val="left"/>
        </w:tabs>
        <w:numPr>
          <w:ilvl w:val="1"/>
          <w:numId w:val="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5"/>
          <w:szCs w:val="15"/>
          <w:color w:val="auto"/>
        </w:rPr>
      </w:pPr>
    </w:p>
    <w:p>
      <w:pPr>
        <w:ind w:left="1200" w:right="100" w:hanging="300"/>
        <w:spacing w:after="0" w:line="248" w:lineRule="auto"/>
        <w:tabs>
          <w:tab w:leader="none" w:pos="1208" w:val="left"/>
        </w:tabs>
        <w:numPr>
          <w:ilvl w:val="1"/>
          <w:numId w:val="8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5"/>
          <w:szCs w:val="15"/>
          <w:color w:val="auto"/>
        </w:rPr>
      </w:pPr>
    </w:p>
    <w:p>
      <w:pPr>
        <w:ind w:left="600" w:hanging="300"/>
        <w:spacing w:after="0" w:line="253"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5"/>
          <w:szCs w:val="15"/>
          <w:color w:val="auto"/>
        </w:rPr>
      </w:pPr>
    </w:p>
    <w:p>
      <w:pPr>
        <w:ind w:left="1200" w:right="40" w:hanging="300"/>
        <w:spacing w:after="0" w:line="253" w:lineRule="auto"/>
        <w:tabs>
          <w:tab w:leader="none" w:pos="1221" w:val="left"/>
        </w:tabs>
        <w:numPr>
          <w:ilvl w:val="1"/>
          <w:numId w:val="8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5"/>
          <w:szCs w:val="15"/>
          <w:color w:val="auto"/>
        </w:rPr>
      </w:pPr>
    </w:p>
    <w:p>
      <w:pPr>
        <w:ind w:left="1200" w:right="200" w:hanging="300"/>
        <w:spacing w:after="0" w:line="253" w:lineRule="auto"/>
        <w:tabs>
          <w:tab w:leader="none" w:pos="1208" w:val="left"/>
        </w:tabs>
        <w:numPr>
          <w:ilvl w:val="1"/>
          <w:numId w:val="8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830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8255</wp:posOffset>
            </wp:positionV>
            <wp:extent cx="28016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2801620" cy="7620"/>
                    </a:xfrm>
                    <a:prstGeom prst="rect">
                      <a:avLst/>
                    </a:prstGeom>
                    <a:noFill/>
                  </pic:spPr>
                </pic:pic>
              </a:graphicData>
            </a:graphic>
          </wp:anchor>
        </w:drawing>
      </w:r>
    </w:p>
    <w:p>
      <w:pPr>
        <w:spacing w:after="0" w:line="32" w:lineRule="exact"/>
        <w:rPr>
          <w:sz w:val="20"/>
          <w:szCs w:val="20"/>
          <w:color w:val="auto"/>
        </w:rPr>
      </w:pPr>
    </w:p>
    <w:p>
      <w:pPr>
        <w:ind w:left="8400"/>
        <w:spacing w:after="0"/>
        <w:rPr>
          <w:sz w:val="20"/>
          <w:szCs w:val="20"/>
          <w:color w:val="auto"/>
        </w:rPr>
      </w:pPr>
      <w:r>
        <w:rPr>
          <w:rFonts w:ascii="Arial" w:cs="Arial" w:eastAsia="Arial" w:hAnsi="Arial"/>
          <w:sz w:val="15"/>
          <w:szCs w:val="15"/>
          <w:color w:val="auto"/>
        </w:rPr>
        <w:t>Stephen J. Barnard</w:t>
      </w:r>
    </w:p>
    <w:p>
      <w:pPr>
        <w:spacing w:after="0" w:line="24" w:lineRule="exact"/>
        <w:rPr>
          <w:sz w:val="20"/>
          <w:szCs w:val="20"/>
          <w:color w:val="auto"/>
        </w:rPr>
      </w:pPr>
    </w:p>
    <w:p>
      <w:pPr>
        <w:ind w:left="750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Date: January 19, 2021</w:t>
      </w:r>
    </w:p>
    <w:p>
      <w:pPr>
        <w:sectPr>
          <w:pgSz w:w="11900" w:h="16838" w:orient="portrait"/>
          <w:cols w:equalWidth="0" w:num="1">
            <w:col w:w="11180"/>
          </w:cols>
          <w:pgMar w:left="320" w:top="1400" w:right="399"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23"/>
          <w:szCs w:val="23"/>
          <w:b w:val="1"/>
          <w:bCs w:val="1"/>
          <w:color w:val="232F84"/>
        </w:rPr>
        <w:t>CERTIFICATION OF CHIEF FINANCIAL OFFICER</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232F84"/>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Bryan E. Giles, certify that:</w:t>
      </w:r>
    </w:p>
    <w:p>
      <w:pPr>
        <w:spacing w:after="0" w:line="202" w:lineRule="exact"/>
        <w:rPr>
          <w:sz w:val="20"/>
          <w:szCs w:val="20"/>
          <w:color w:val="auto"/>
        </w:rPr>
      </w:pPr>
    </w:p>
    <w:p>
      <w:pPr>
        <w:ind w:left="600" w:hanging="300"/>
        <w:spacing w:after="0"/>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Mission Produce, Inc.;</w:t>
      </w:r>
    </w:p>
    <w:p>
      <w:pPr>
        <w:spacing w:after="0" w:line="202" w:lineRule="exact"/>
        <w:rPr>
          <w:rFonts w:ascii="Arial" w:cs="Arial" w:eastAsia="Arial" w:hAnsi="Arial"/>
          <w:sz w:val="15"/>
          <w:szCs w:val="15"/>
          <w:color w:val="auto"/>
        </w:rPr>
      </w:pPr>
    </w:p>
    <w:p>
      <w:pPr>
        <w:ind w:left="600" w:right="120" w:hanging="300"/>
        <w:spacing w:after="0" w:line="253" w:lineRule="auto"/>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5"/>
          <w:szCs w:val="15"/>
          <w:color w:val="auto"/>
        </w:rPr>
      </w:pPr>
    </w:p>
    <w:p>
      <w:pPr>
        <w:ind w:left="600" w:right="420" w:hanging="300"/>
        <w:spacing w:after="0" w:line="253" w:lineRule="auto"/>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5"/>
          <w:szCs w:val="15"/>
          <w:color w:val="auto"/>
        </w:rPr>
      </w:pPr>
    </w:p>
    <w:p>
      <w:pPr>
        <w:ind w:left="600" w:right="40" w:hanging="300"/>
        <w:spacing w:after="0" w:line="248" w:lineRule="auto"/>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5"/>
          <w:szCs w:val="15"/>
          <w:color w:val="auto"/>
        </w:rPr>
      </w:pPr>
    </w:p>
    <w:p>
      <w:pPr>
        <w:ind w:left="1200" w:right="160" w:hanging="300"/>
        <w:spacing w:after="0" w:line="248" w:lineRule="auto"/>
        <w:tabs>
          <w:tab w:leader="none" w:pos="1221" w:val="left"/>
        </w:tabs>
        <w:numPr>
          <w:ilvl w:val="1"/>
          <w:numId w:val="8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5"/>
          <w:szCs w:val="15"/>
          <w:color w:val="auto"/>
        </w:rPr>
      </w:pPr>
    </w:p>
    <w:p>
      <w:pPr>
        <w:ind w:left="1200" w:hanging="300"/>
        <w:spacing w:after="0"/>
        <w:tabs>
          <w:tab w:leader="none" w:pos="1200" w:val="left"/>
        </w:tabs>
        <w:numPr>
          <w:ilvl w:val="1"/>
          <w:numId w:val="84"/>
        </w:numPr>
        <w:rPr>
          <w:rFonts w:ascii="Arial" w:cs="Arial" w:eastAsia="Arial" w:hAnsi="Arial"/>
          <w:sz w:val="15"/>
          <w:szCs w:val="15"/>
          <w:color w:val="auto"/>
        </w:rPr>
      </w:pPr>
      <w:r>
        <w:rPr>
          <w:rFonts w:ascii="Arial" w:cs="Arial" w:eastAsia="Arial" w:hAnsi="Arial"/>
          <w:sz w:val="15"/>
          <w:szCs w:val="15"/>
          <w:color w:val="auto"/>
        </w:rPr>
        <w:t>[paragraph omitted in accordance with Exchange Act Rule 13a-14(a)];</w:t>
      </w:r>
    </w:p>
    <w:p>
      <w:pPr>
        <w:spacing w:after="0" w:line="202" w:lineRule="exact"/>
        <w:rPr>
          <w:rFonts w:ascii="Arial" w:cs="Arial" w:eastAsia="Arial" w:hAnsi="Arial"/>
          <w:sz w:val="15"/>
          <w:szCs w:val="15"/>
          <w:color w:val="auto"/>
        </w:rPr>
      </w:pPr>
    </w:p>
    <w:p>
      <w:pPr>
        <w:ind w:left="1200" w:right="40" w:hanging="300"/>
        <w:spacing w:after="0" w:line="253" w:lineRule="auto"/>
        <w:tabs>
          <w:tab w:leader="none" w:pos="1212" w:val="left"/>
        </w:tabs>
        <w:numPr>
          <w:ilvl w:val="1"/>
          <w:numId w:val="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5"/>
          <w:szCs w:val="15"/>
          <w:color w:val="auto"/>
        </w:rPr>
      </w:pPr>
    </w:p>
    <w:p>
      <w:pPr>
        <w:ind w:left="1200" w:right="100" w:hanging="300"/>
        <w:spacing w:after="0" w:line="248" w:lineRule="auto"/>
        <w:tabs>
          <w:tab w:leader="none" w:pos="1208" w:val="left"/>
        </w:tabs>
        <w:numPr>
          <w:ilvl w:val="1"/>
          <w:numId w:val="8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5"/>
          <w:szCs w:val="15"/>
          <w:color w:val="auto"/>
        </w:rPr>
      </w:pPr>
    </w:p>
    <w:p>
      <w:pPr>
        <w:ind w:left="600" w:hanging="300"/>
        <w:spacing w:after="0" w:line="253" w:lineRule="auto"/>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5"/>
          <w:szCs w:val="15"/>
          <w:color w:val="auto"/>
        </w:rPr>
      </w:pPr>
    </w:p>
    <w:p>
      <w:pPr>
        <w:ind w:left="1200" w:right="40" w:hanging="300"/>
        <w:spacing w:after="0" w:line="253" w:lineRule="auto"/>
        <w:tabs>
          <w:tab w:leader="none" w:pos="1221" w:val="left"/>
        </w:tabs>
        <w:numPr>
          <w:ilvl w:val="1"/>
          <w:numId w:val="8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5"/>
          <w:szCs w:val="15"/>
          <w:color w:val="auto"/>
        </w:rPr>
      </w:pPr>
    </w:p>
    <w:p>
      <w:pPr>
        <w:ind w:left="1200" w:right="200" w:hanging="300"/>
        <w:spacing w:after="0" w:line="253" w:lineRule="auto"/>
        <w:tabs>
          <w:tab w:leader="none" w:pos="1208" w:val="left"/>
        </w:tabs>
        <w:numPr>
          <w:ilvl w:val="1"/>
          <w:numId w:val="8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jc w:val="center"/>
        <w:ind w:left="684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8255</wp:posOffset>
            </wp:positionV>
            <wp:extent cx="28016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801620" cy="7620"/>
                    </a:xfrm>
                    <a:prstGeom prst="rect">
                      <a:avLst/>
                    </a:prstGeom>
                    <a:noFill/>
                  </pic:spPr>
                </pic:pic>
              </a:graphicData>
            </a:graphic>
          </wp:anchor>
        </w:drawing>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5"/>
          <w:szCs w:val="15"/>
          <w:color w:val="auto"/>
        </w:rPr>
        <w:t>Bryan E. Giles</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5"/>
          <w:szCs w:val="15"/>
          <w:i w:val="1"/>
          <w:iCs w:val="1"/>
          <w:color w:val="auto"/>
        </w:rPr>
        <w:t>Chief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Date: January 19, 2021</w:t>
      </w:r>
    </w:p>
    <w:p>
      <w:pPr>
        <w:sectPr>
          <w:pgSz w:w="11900" w:h="16838" w:orient="portrait"/>
          <w:cols w:equalWidth="0" w:num="1">
            <w:col w:w="11180"/>
          </w:cols>
          <w:pgMar w:left="320" w:top="1400" w:right="39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23"/>
          <w:szCs w:val="23"/>
          <w:b w:val="1"/>
          <w:bCs w:val="1"/>
          <w:color w:val="232F84"/>
        </w:rPr>
        <w:t>CERTIFICATION OF CHIEF EXECUTIVE OFFICER</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232F84"/>
        </w:rPr>
        <w:t>PURSUANT TO SECTION 906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hereby certifies, to the best of his knowledge, that:</w:t>
      </w:r>
    </w:p>
    <w:p>
      <w:pPr>
        <w:spacing w:after="0" w:line="202" w:lineRule="exact"/>
        <w:rPr>
          <w:sz w:val="20"/>
          <w:szCs w:val="20"/>
          <w:color w:val="auto"/>
        </w:rPr>
      </w:pPr>
    </w:p>
    <w:p>
      <w:pPr>
        <w:ind w:left="600" w:hanging="300"/>
        <w:spacing w:after="0" w:line="253" w:lineRule="auto"/>
        <w:tabs>
          <w:tab w:leader="none" w:pos="608"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fiscal year ended October 31, 2020 (the “Report”) fully complies with the requirements of Section 13(a) or Section 15(d), as applicable, of the Securities Exchange Act of 1934, as amended; and</w:t>
      </w:r>
    </w:p>
    <w:p>
      <w:pPr>
        <w:spacing w:after="0" w:line="186" w:lineRule="exact"/>
        <w:rPr>
          <w:rFonts w:ascii="Arial" w:cs="Arial" w:eastAsia="Arial" w:hAnsi="Arial"/>
          <w:sz w:val="15"/>
          <w:szCs w:val="15"/>
          <w:color w:val="auto"/>
        </w:rPr>
      </w:pPr>
    </w:p>
    <w:p>
      <w:pPr>
        <w:ind w:left="600" w:hanging="300"/>
        <w:spacing w:after="0"/>
        <w:tabs>
          <w:tab w:leader="none" w:pos="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5" w:lineRule="exact"/>
        <w:rPr>
          <w:sz w:val="20"/>
          <w:szCs w:val="20"/>
          <w:color w:val="auto"/>
        </w:rPr>
      </w:pPr>
    </w:p>
    <w:p>
      <w:pPr>
        <w:ind w:left="830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8255</wp:posOffset>
            </wp:positionV>
            <wp:extent cx="28016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2801620" cy="7620"/>
                    </a:xfrm>
                    <a:prstGeom prst="rect">
                      <a:avLst/>
                    </a:prstGeom>
                    <a:noFill/>
                  </pic:spPr>
                </pic:pic>
              </a:graphicData>
            </a:graphic>
          </wp:anchor>
        </w:drawing>
      </w:r>
    </w:p>
    <w:p>
      <w:pPr>
        <w:spacing w:after="0" w:line="32" w:lineRule="exact"/>
        <w:rPr>
          <w:sz w:val="20"/>
          <w:szCs w:val="20"/>
          <w:color w:val="auto"/>
        </w:rPr>
      </w:pPr>
    </w:p>
    <w:p>
      <w:pPr>
        <w:ind w:left="8400"/>
        <w:spacing w:after="0"/>
        <w:rPr>
          <w:sz w:val="20"/>
          <w:szCs w:val="20"/>
          <w:color w:val="auto"/>
        </w:rPr>
      </w:pPr>
      <w:r>
        <w:rPr>
          <w:rFonts w:ascii="Arial" w:cs="Arial" w:eastAsia="Arial" w:hAnsi="Arial"/>
          <w:sz w:val="15"/>
          <w:szCs w:val="15"/>
          <w:color w:val="auto"/>
        </w:rPr>
        <w:t>Stephen J. Barnard</w:t>
      </w:r>
    </w:p>
    <w:p>
      <w:pPr>
        <w:spacing w:after="0" w:line="24" w:lineRule="exact"/>
        <w:rPr>
          <w:sz w:val="20"/>
          <w:szCs w:val="20"/>
          <w:color w:val="auto"/>
        </w:rPr>
      </w:pPr>
    </w:p>
    <w:p>
      <w:pPr>
        <w:ind w:left="750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Date: January 19, 2021</w:t>
      </w:r>
    </w:p>
    <w:p>
      <w:pPr>
        <w:sectPr>
          <w:pgSz w:w="11900" w:h="16838" w:orient="portrait"/>
          <w:cols w:equalWidth="0" w:num="1">
            <w:col w:w="11180"/>
          </w:cols>
          <w:pgMar w:left="320" w:top="1400" w:right="399" w:bottom="1440" w:gutter="0" w:footer="0" w:header="0"/>
        </w:sectPr>
      </w:pPr>
    </w:p>
    <w:bookmarkStart w:id="116" w:name="page117"/>
    <w:bookmarkEnd w:id="116"/>
    <w:p>
      <w:pPr>
        <w:jc w:val="center"/>
        <w:ind w:right="-79"/>
        <w:spacing w:after="0"/>
        <w:rPr>
          <w:sz w:val="20"/>
          <w:szCs w:val="20"/>
          <w:color w:val="auto"/>
        </w:rPr>
      </w:pPr>
      <w:r>
        <w:rPr>
          <w:rFonts w:ascii="Arial" w:cs="Arial" w:eastAsia="Arial" w:hAnsi="Arial"/>
          <w:sz w:val="23"/>
          <w:szCs w:val="23"/>
          <w:b w:val="1"/>
          <w:bCs w:val="1"/>
          <w:color w:val="232F84"/>
        </w:rPr>
        <w:t>CERTIFICATION OF CHIEF FINANCIAL OFFICER</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232F84"/>
        </w:rPr>
        <w:t>PURSUANT TO SECTION 906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hereby certifies, to the best of his knowledge, that:</w:t>
      </w:r>
    </w:p>
    <w:p>
      <w:pPr>
        <w:spacing w:after="0" w:line="202" w:lineRule="exact"/>
        <w:rPr>
          <w:sz w:val="20"/>
          <w:szCs w:val="20"/>
          <w:color w:val="auto"/>
        </w:rPr>
      </w:pPr>
    </w:p>
    <w:p>
      <w:pPr>
        <w:ind w:left="600" w:hanging="300"/>
        <w:spacing w:after="0" w:line="253" w:lineRule="auto"/>
        <w:tabs>
          <w:tab w:leader="none" w:pos="608"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fiscal year ended October 31, 2020 (the “Report”) fully complies with the requirements of Section 13(a) or Section 15(d), as applicable, of the Securities Exchange Act of 1934, as amended; and</w:t>
      </w:r>
    </w:p>
    <w:p>
      <w:pPr>
        <w:spacing w:after="0" w:line="186" w:lineRule="exact"/>
        <w:rPr>
          <w:rFonts w:ascii="Arial" w:cs="Arial" w:eastAsia="Arial" w:hAnsi="Arial"/>
          <w:sz w:val="15"/>
          <w:szCs w:val="15"/>
          <w:color w:val="auto"/>
        </w:rPr>
      </w:pPr>
    </w:p>
    <w:p>
      <w:pPr>
        <w:ind w:left="600" w:hanging="300"/>
        <w:spacing w:after="0"/>
        <w:tabs>
          <w:tab w:leader="none" w:pos="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jc w:val="center"/>
        <w:ind w:left="682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8255</wp:posOffset>
            </wp:positionV>
            <wp:extent cx="28016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2801620" cy="7620"/>
                    </a:xfrm>
                    <a:prstGeom prst="rect">
                      <a:avLst/>
                    </a:prstGeom>
                    <a:noFill/>
                  </pic:spPr>
                </pic:pic>
              </a:graphicData>
            </a:graphic>
          </wp:anchor>
        </w:drawing>
      </w:r>
    </w:p>
    <w:p>
      <w:pPr>
        <w:spacing w:after="0" w:line="32" w:lineRule="exact"/>
        <w:rPr>
          <w:sz w:val="20"/>
          <w:szCs w:val="20"/>
          <w:color w:val="auto"/>
        </w:rPr>
      </w:pPr>
    </w:p>
    <w:p>
      <w:pPr>
        <w:jc w:val="center"/>
        <w:ind w:left="6820"/>
        <w:spacing w:after="0"/>
        <w:rPr>
          <w:sz w:val="20"/>
          <w:szCs w:val="20"/>
          <w:color w:val="auto"/>
        </w:rPr>
      </w:pPr>
      <w:r>
        <w:rPr>
          <w:rFonts w:ascii="Arial" w:cs="Arial" w:eastAsia="Arial" w:hAnsi="Arial"/>
          <w:sz w:val="15"/>
          <w:szCs w:val="15"/>
          <w:color w:val="auto"/>
        </w:rPr>
        <w:t>Bryan E. Giles</w:t>
      </w:r>
    </w:p>
    <w:p>
      <w:pPr>
        <w:spacing w:after="0" w:line="36" w:lineRule="exact"/>
        <w:rPr>
          <w:sz w:val="20"/>
          <w:szCs w:val="20"/>
          <w:color w:val="auto"/>
        </w:rPr>
      </w:pPr>
    </w:p>
    <w:p>
      <w:pPr>
        <w:jc w:val="center"/>
        <w:ind w:left="6820"/>
        <w:spacing w:after="0"/>
        <w:rPr>
          <w:sz w:val="20"/>
          <w:szCs w:val="20"/>
          <w:color w:val="auto"/>
        </w:rPr>
      </w:pPr>
      <w:r>
        <w:rPr>
          <w:rFonts w:ascii="Arial" w:cs="Arial" w:eastAsia="Arial" w:hAnsi="Arial"/>
          <w:sz w:val="15"/>
          <w:szCs w:val="15"/>
          <w:i w:val="1"/>
          <w:iCs w:val="1"/>
          <w:color w:val="auto"/>
        </w:rPr>
        <w:t>Chief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Date: January 19, 2021</w:t>
      </w:r>
    </w:p>
    <w:sectPr>
      <w:pgSz w:w="11900" w:h="16838" w:orient="portrait"/>
      <w:cols w:equalWidth="0" w:num="1">
        <w:col w:w="11180"/>
      </w:cols>
      <w:pgMar w:left="320" w:top="14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lowerRoman"/>
      <w:start w:val="2"/>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lowerRoman"/>
      <w:start w:val="2"/>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2"/>
    </w:lvl>
  </w:abstractNum>
  <w:abstractNum w:abstractNumId="24">
    <w:nsid w:val="649BB77C"/>
    <w:multiLevelType w:val="hybridMultilevel"/>
    <w:lvl w:ilvl="0">
      <w:lvlJc w:val="left"/>
      <w:lvlText w:val="%1."/>
      <w:numFmt w:val="decimal"/>
      <w:start w:val="4"/>
    </w:lvl>
  </w:abstractNum>
  <w:abstractNum w:abstractNumId="25">
    <w:nsid w:val="275AC794"/>
    <w:multiLevelType w:val="hybridMultilevel"/>
    <w:lvl w:ilvl="0">
      <w:lvlJc w:val="left"/>
      <w:lvlText w:val="%1."/>
      <w:numFmt w:val="decimal"/>
      <w:start w:val="5"/>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6"/>
    </w:lvl>
  </w:abstractNum>
  <w:abstractNum w:abstractNumId="28">
    <w:nsid w:val="180115BE"/>
    <w:multiLevelType w:val="hybridMultilevel"/>
    <w:lvl w:ilvl="0">
      <w:lvlJc w:val="left"/>
      <w:lvlText w:val="%1."/>
      <w:numFmt w:val="decimal"/>
      <w:start w:val="7"/>
    </w:lvl>
  </w:abstractNum>
  <w:abstractNum w:abstractNumId="29">
    <w:nsid w:val="235BA861"/>
    <w:multiLevelType w:val="hybridMultilevel"/>
    <w:lvl w:ilvl="0">
      <w:lvlJc w:val="left"/>
      <w:lvlText w:val="%1."/>
      <w:numFmt w:val="decimal"/>
      <w:start w:val="8"/>
    </w:lvl>
  </w:abstractNum>
  <w:abstractNum w:abstractNumId="30">
    <w:nsid w:val="47398C89"/>
    <w:multiLevelType w:val="hybridMultilevel"/>
    <w:lvl w:ilvl="0">
      <w:lvlJc w:val="left"/>
      <w:lvlText w:val="%1."/>
      <w:numFmt w:val="decimal"/>
      <w:start w:val="9"/>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10"/>
    </w:lvl>
  </w:abstractNum>
  <w:abstractNum w:abstractNumId="35">
    <w:nsid w:val="10233C99"/>
    <w:multiLevelType w:val="hybridMultilevel"/>
    <w:lvl w:ilvl="0">
      <w:lvlJc w:val="left"/>
      <w:lvlText w:val="%1."/>
      <w:numFmt w:val="decimal"/>
      <w:start w:val="12"/>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3"/>
    </w:lvl>
  </w:abstractNum>
  <w:abstractNum w:abstractNumId="38">
    <w:nsid w:val="7E0C57B1"/>
    <w:multiLevelType w:val="hybridMultilevel"/>
    <w:lvl w:ilvl="0">
      <w:lvlJc w:val="left"/>
      <w:lvlText w:val="%1."/>
      <w:numFmt w:val="decimal"/>
      <w:start w:val="13"/>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14"/>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lowerRoman"/>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3"/>
    </w:lvl>
  </w:abstractNum>
  <w:abstractNum w:abstractNumId="46">
    <w:nsid w:val="4AD084E9"/>
    <w:multiLevelType w:val="hybridMultilevel"/>
    <w:lvl w:ilvl="0">
      <w:lvlJc w:val="left"/>
      <w:lvlText w:val="(%1)"/>
      <w:numFmt w:val="lowerRoman"/>
      <w:start w:val="2"/>
    </w:lvl>
  </w:abstractNum>
  <w:abstractNum w:abstractNumId="47">
    <w:nsid w:val="1F48EAA1"/>
    <w:multiLevelType w:val="hybridMultilevel"/>
    <w:lvl w:ilvl="0">
      <w:lvlJc w:val="left"/>
      <w:lvlText w:val="(%1)"/>
      <w:numFmt w:val="lowerRoman"/>
      <w:start w:val="1"/>
    </w:lvl>
    <w:lvl w:ilvl="1">
      <w:lvlJc w:val="left"/>
      <w:lvlText w:val="(%2)"/>
      <w:numFmt w:val="decimal"/>
      <w:start w:val="1"/>
    </w:lvl>
  </w:abstractNum>
  <w:abstractNum w:abstractNumId="48">
    <w:nsid w:val="1381823A"/>
    <w:multiLevelType w:val="hybridMultilevel"/>
    <w:lvl w:ilvl="0">
      <w:lvlJc w:val="left"/>
      <w:lvlText w:val="(%1)"/>
      <w:numFmt w:val="lowerRoman"/>
      <w:start w:val="2"/>
    </w:lvl>
  </w:abstractNum>
  <w:abstractNum w:abstractNumId="49">
    <w:nsid w:val="5DB70AE5"/>
    <w:multiLevelType w:val="hybridMultilevel"/>
    <w:lvl w:ilvl="0">
      <w:lvlJc w:val="left"/>
      <w:lvlText w:val="(%1)"/>
      <w:numFmt w:val="lowerLetter"/>
      <w:start w:val="4"/>
    </w:lvl>
  </w:abstractNum>
  <w:abstractNum w:abstractNumId="50">
    <w:nsid w:val="100F8FCA"/>
    <w:multiLevelType w:val="hybridMultilevel"/>
    <w:lvl w:ilvl="0">
      <w:lvlJc w:val="left"/>
      <w:lvlText w:val="(%1)"/>
      <w:numFmt w:val="lowerLetter"/>
      <w:start w:val="4"/>
    </w:lvl>
  </w:abstractNum>
  <w:abstractNum w:abstractNumId="51">
    <w:nsid w:val="6590700B"/>
    <w:multiLevelType w:val="hybridMultilevel"/>
    <w:lvl w:ilvl="0">
      <w:lvlJc w:val="left"/>
      <w:lvlText w:val="(%1)"/>
      <w:numFmt w:val="lowerLetter"/>
      <w:start w:val="8"/>
    </w:lvl>
  </w:abstractNum>
  <w:abstractNum w:abstractNumId="52">
    <w:nsid w:val="15014ACB"/>
    <w:multiLevelType w:val="hybridMultilevel"/>
    <w:lvl w:ilvl="0">
      <w:lvlJc w:val="left"/>
      <w:lvlText w:val="(%1)"/>
      <w:numFmt w:val="lowerLetter"/>
      <w:start w:val="11"/>
    </w:lvl>
  </w:abstractNum>
  <w:abstractNum w:abstractNumId="53">
    <w:nsid w:val="5F5E7FD0"/>
    <w:multiLevelType w:val="hybridMultilevel"/>
    <w:lvl w:ilvl="0">
      <w:lvlJc w:val="left"/>
      <w:lvlText w:val="(%1)"/>
      <w:numFmt w:val="lowerRoman"/>
      <w:start w:val="1"/>
    </w:lvl>
  </w:abstractNum>
  <w:abstractNum w:abstractNumId="54">
    <w:nsid w:val="98A3148"/>
    <w:multiLevelType w:val="hybridMultilevel"/>
    <w:lvl w:ilvl="0">
      <w:lvlJc w:val="left"/>
      <w:lvlText w:val="(%1)"/>
      <w:numFmt w:val="lowerRoman"/>
      <w:start w:val="2"/>
    </w:lvl>
  </w:abstractNum>
  <w:abstractNum w:abstractNumId="55">
    <w:nsid w:val="799D0247"/>
    <w:multiLevelType w:val="hybridMultilevel"/>
    <w:lvl w:ilvl="0">
      <w:lvlJc w:val="left"/>
      <w:lvlText w:val="(%1)"/>
      <w:numFmt w:val="lowerRoman"/>
      <w:start w:val="1"/>
    </w:lvl>
  </w:abstractNum>
  <w:abstractNum w:abstractNumId="56">
    <w:nsid w:val="6B94764"/>
    <w:multiLevelType w:val="hybridMultilevel"/>
    <w:lvl w:ilvl="0">
      <w:lvlJc w:val="left"/>
      <w:lvlText w:val="(%1)"/>
      <w:numFmt w:val="lowerRoman"/>
      <w:start w:val="2"/>
    </w:lvl>
  </w:abstractNum>
  <w:abstractNum w:abstractNumId="57">
    <w:nsid w:val="42C296BD"/>
    <w:multiLevelType w:val="hybridMultilevel"/>
    <w:lvl w:ilvl="0">
      <w:lvlJc w:val="left"/>
      <w:lvlText w:val="(%1)"/>
      <w:numFmt w:val="lowerRoman"/>
      <w:start w:val="1"/>
    </w:lvl>
  </w:abstractNum>
  <w:abstractNum w:abstractNumId="58">
    <w:nsid w:val="168E121F"/>
    <w:multiLevelType w:val="hybridMultilevel"/>
    <w:lvl w:ilvl="0">
      <w:lvlJc w:val="left"/>
      <w:lvlText w:val="%1"/>
      <w:numFmt w:val="decimal"/>
      <w:start w:val="1"/>
    </w:lvl>
    <w:lvl w:ilvl="1">
      <w:lvlJc w:val="left"/>
      <w:lvlText w:val="(%2)"/>
      <w:numFmt w:val="lowerLetter"/>
      <w:start w:val="1"/>
    </w:lvl>
  </w:abstractNum>
  <w:abstractNum w:abstractNumId="59">
    <w:nsid w:val="1EBA5D23"/>
    <w:multiLevelType w:val="hybridMultilevel"/>
    <w:lvl w:ilvl="0">
      <w:lvlJc w:val="left"/>
      <w:lvlText w:val="(%1)"/>
      <w:numFmt w:val="decimal"/>
      <w:start w:val="60"/>
    </w:lvl>
    <w:lvl w:ilvl="1">
      <w:lvlJc w:val="left"/>
      <w:lvlText w:val="%2"/>
      <w:numFmt w:val="lowerLetter"/>
      <w:start w:val="1"/>
    </w:lvl>
  </w:abstractNum>
  <w:abstractNum w:abstractNumId="60">
    <w:nsid w:val="661E3F1E"/>
    <w:multiLevelType w:val="hybridMultilevel"/>
    <w:lvl w:ilvl="0">
      <w:lvlJc w:val="left"/>
      <w:lvlText w:val="(%1)"/>
      <w:numFmt w:val="lowerLetter"/>
      <w:start w:val="5"/>
    </w:lvl>
  </w:abstractNum>
  <w:abstractNum w:abstractNumId="61">
    <w:nsid w:val="5DC79EA8"/>
    <w:multiLevelType w:val="hybridMultilevel"/>
    <w:lvl w:ilvl="0">
      <w:lvlJc w:val="left"/>
      <w:lvlText w:val="%1"/>
      <w:numFmt w:val="lowerLetter"/>
      <w:start w:val="1"/>
    </w:lvl>
    <w:lvl w:ilvl="1">
      <w:lvlJc w:val="left"/>
      <w:lvlText w:val="(%2)"/>
      <w:numFmt w:val="lowerLetter"/>
      <w:start w:val="1"/>
    </w:lvl>
  </w:abstractNum>
  <w:abstractNum w:abstractNumId="62">
    <w:nsid w:val="540A471C"/>
    <w:multiLevelType w:val="hybridMultilevel"/>
    <w:lvl w:ilvl="0">
      <w:lvlJc w:val="left"/>
      <w:lvlText w:val="(%1)"/>
      <w:numFmt w:val="lowerLetter"/>
      <w:start w:val="9"/>
    </w:lvl>
    <w:lvl w:ilvl="1">
      <w:lvlJc w:val="left"/>
      <w:lvlText w:val="(%2)"/>
      <w:numFmt w:val="lowerLetter"/>
      <w:start w:val="2"/>
    </w:lvl>
  </w:abstractNum>
  <w:abstractNum w:abstractNumId="63">
    <w:nsid w:val="7BD3EE7B"/>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61"/>
    </w:lvl>
  </w:abstractNum>
  <w:abstractNum w:abstractNumId="64">
    <w:nsid w:val="51D9C56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5">
    <w:nsid w:val="613EFDC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66">
    <w:nsid w:val="BF72B14"/>
    <w:multiLevelType w:val="hybridMultilevel"/>
    <w:lvl w:ilvl="0">
      <w:lvlJc w:val="left"/>
      <w:lvlText w:val="(%1)"/>
      <w:numFmt w:val="lowerRoman"/>
      <w:start w:val="3"/>
    </w:lvl>
    <w:lvl w:ilvl="1">
      <w:lvlJc w:val="left"/>
      <w:lvlText w:val="(%2)"/>
      <w:numFmt w:val="lowerRoman"/>
      <w:start w:val="5"/>
    </w:lvl>
  </w:abstractNum>
  <w:abstractNum w:abstractNumId="67">
    <w:nsid w:val="11447B73"/>
    <w:multiLevelType w:val="hybridMultilevel"/>
    <w:lvl w:ilvl="0">
      <w:lvlJc w:val="left"/>
      <w:lvlText w:val="(%1)"/>
      <w:numFmt w:val="lowerRoman"/>
      <w:start w:val="1"/>
    </w:lvl>
  </w:abstractNum>
  <w:abstractNum w:abstractNumId="68">
    <w:nsid w:val="42963E5A"/>
    <w:multiLevelType w:val="hybridMultilevel"/>
    <w:lvl w:ilvl="0">
      <w:lvlJc w:val="left"/>
      <w:lvlText w:val="(%1)"/>
      <w:numFmt w:val="lowerRoman"/>
      <w:start w:val="1"/>
    </w:lvl>
  </w:abstractNum>
  <w:abstractNum w:abstractNumId="69">
    <w:nsid w:val="A0382C5"/>
    <w:multiLevelType w:val="hybridMultilevel"/>
    <w:lvl w:ilvl="0">
      <w:lvlJc w:val="left"/>
      <w:lvlText w:val="(%1)"/>
      <w:numFmt w:val="lowerRoman"/>
      <w:start w:val="3"/>
    </w:lvl>
  </w:abstractNum>
  <w:abstractNum w:abstractNumId="70">
    <w:nsid w:val="8F2B15E"/>
    <w:multiLevelType w:val="hybridMultilevel"/>
    <w:lvl w:ilvl="0">
      <w:lvlJc w:val="left"/>
      <w:lvlText w:val="(%1)"/>
      <w:numFmt w:val="lowerRoman"/>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3"/>
    </w:lvl>
  </w:abstractNum>
  <w:abstractNum w:abstractNumId="73">
    <w:nsid w:val="68EB2F63"/>
    <w:multiLevelType w:val="hybridMultilevel"/>
    <w:lvl w:ilvl="0">
      <w:lvlJc w:val="left"/>
      <w:lvlText w:val="(%1)"/>
      <w:numFmt w:val="decimal"/>
      <w:start w:val="2"/>
    </w:lvl>
  </w:abstractNum>
  <w:abstractNum w:abstractNumId="74">
    <w:nsid w:val="4962813B"/>
    <w:multiLevelType w:val="hybridMultilevel"/>
    <w:lvl w:ilvl="0">
      <w:lvlJc w:val="left"/>
      <w:lvlText w:val="(%1)"/>
      <w:numFmt w:val="lowerRoman"/>
      <w:start w:val="5"/>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1."/>
      <w:numFmt w:val="decimal"/>
      <w:start w:val="4"/>
    </w:lvl>
  </w:abstractNum>
  <w:abstractNum w:abstractNumId="77">
    <w:nsid w:val="14330624"/>
    <w:multiLevelType w:val="hybridMultilevel"/>
    <w:lvl w:ilvl="0">
      <w:lvlJc w:val="left"/>
      <w:lvlText w:val="%1."/>
      <w:numFmt w:val="decimal"/>
      <w:start w:val="9"/>
    </w:lvl>
  </w:abstractNum>
  <w:abstractNum w:abstractNumId="78">
    <w:nsid w:val="7FFFCA11"/>
    <w:multiLevelType w:val="hybridMultilevel"/>
    <w:lvl w:ilvl="0">
      <w:lvlJc w:val="left"/>
      <w:lvlText w:val="%1."/>
      <w:numFmt w:val="decimal"/>
      <w:start w:val="12"/>
    </w:lvl>
  </w:abstractNum>
  <w:abstractNum w:abstractNumId="79">
    <w:nsid w:val="1A27709E"/>
    <w:multiLevelType w:val="hybridMultilevel"/>
    <w:lvl w:ilvl="0">
      <w:lvlJc w:val="left"/>
      <w:lvlText w:val="%1."/>
      <w:numFmt w:val="decimal"/>
      <w:start w:val="15"/>
    </w:lvl>
  </w:abstractNum>
  <w:abstractNum w:abstractNumId="80">
    <w:nsid w:val="71EA1109"/>
    <w:multiLevelType w:val="hybridMultilevel"/>
    <w:lvl w:ilvl="0">
      <w:lvlJc w:val="left"/>
      <w:lvlText w:val="%1."/>
      <w:numFmt w:val="decimal"/>
      <w:start w:val="17"/>
    </w:lvl>
  </w:abstractNum>
  <w:abstractNum w:abstractNumId="81">
    <w:nsid w:val="100F59DC"/>
    <w:multiLevelType w:val="hybridMultilevel"/>
    <w:lvl w:ilvl="0">
      <w:lvlJc w:val="left"/>
      <w:lvlText w:val="%1."/>
      <w:numFmt w:val="decimal"/>
      <w:start w:val="20"/>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lowerRoman"/>
      <w:start w:val="1"/>
    </w:lvl>
  </w:abstractNum>
  <w:abstractNum w:abstractNumId="85">
    <w:nsid w:val="94211F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jpeg"/><Relationship Id="rId47" Type="http://schemas.openxmlformats.org/officeDocument/2006/relationships/image" Target="media/image26.jpe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15" Type="http://schemas.openxmlformats.org/officeDocument/2006/relationships/hyperlink" Target="https://www.sec.gov/Archives/edgar/data/1802974/000119312520265099/d32849dex31.htm" TargetMode="External"/><Relationship Id="rId16" Type="http://schemas.openxmlformats.org/officeDocument/2006/relationships/hyperlink" Target="https://www.sec.gov/Archives/edgar/data/1802974/000119312520265099/d32849dex32.htm" TargetMode="External"/><Relationship Id="rId17" Type="http://schemas.openxmlformats.org/officeDocument/2006/relationships/hyperlink" Target="https://www.sec.gov/Archives/edgar/data/1802974/000119312520250637/d829132dex41.htm" TargetMode="External"/><Relationship Id="rId18" Type="http://schemas.openxmlformats.org/officeDocument/2006/relationships/hyperlink" Target="http://www.sec.gov/Archives/edgar/data/1802974/000119312520244616/d829132dex101.htm" TargetMode="External"/><Relationship Id="rId19" Type="http://schemas.openxmlformats.org/officeDocument/2006/relationships/hyperlink" Target="http://www.sec.gov/Archives/edgar/data/0001802974/000119312520239418/d829132dex102.htm" TargetMode="External"/><Relationship Id="rId20" Type="http://schemas.openxmlformats.org/officeDocument/2006/relationships/hyperlink" Target="http://www.sec.gov/Archives/edgar/data/0001802974/000119312520239418/d829132dex103.htm" TargetMode="External"/><Relationship Id="rId21" Type="http://schemas.openxmlformats.org/officeDocument/2006/relationships/hyperlink" Target="http://www.sec.gov/Archives/edgar/data/0001802974/000119312520239418/d829132dex104.htm" TargetMode="External"/><Relationship Id="rId22" Type="http://schemas.openxmlformats.org/officeDocument/2006/relationships/hyperlink" Target="http://www.sec.gov/Archives/edgar/data/0001802974/000119312520239418/d829132dex105.htm" TargetMode="External"/><Relationship Id="rId23" Type="http://schemas.openxmlformats.org/officeDocument/2006/relationships/hyperlink" Target="http://www.sec.gov/Archives/edgar/data/0001802974/000119312520239418/d829132dex106.htm" TargetMode="External"/><Relationship Id="rId24" Type="http://schemas.openxmlformats.org/officeDocument/2006/relationships/hyperlink" Target="http://www.sec.gov/Archives/edgar/data/0001802974/000119312520239418/d829132dex107.htm" TargetMode="External"/><Relationship Id="rId25" Type="http://schemas.openxmlformats.org/officeDocument/2006/relationships/hyperlink" Target="http://www.sec.gov/Archives/edgar/data/0001802974/000119312520239418/d829132dex108.htm" TargetMode="External"/><Relationship Id="rId26" Type="http://schemas.openxmlformats.org/officeDocument/2006/relationships/hyperlink" Target="https://www.sec.gov/Archives/edgar/data/1802974/000119312520250637/d829132dex109.htm" TargetMode="External"/><Relationship Id="rId27" Type="http://schemas.openxmlformats.org/officeDocument/2006/relationships/hyperlink" Target="https://www.sec.gov/Archives/edgar/data/1802974/000119312520250637/d829132dex1010.htm" TargetMode="External"/><Relationship Id="rId28" Type="http://schemas.openxmlformats.org/officeDocument/2006/relationships/hyperlink" Target="https://www.sec.gov/Archives/edgar/data/1802974/000119312520239418/d82913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2021-01-19T16:12:26Z</dcterms:created>
  <dcterms:modified xsi:type="dcterms:W3CDTF">2021-01-19T16:12:26Z</dcterms:modified>
</cp:coreProperties>
</file>